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Poppins" w:cs="Poppins" w:eastAsia="Poppins" w:hAnsi="Poppins"/>
        </w:rPr>
      </w:pPr>
      <w:bookmarkStart w:colFirst="0" w:colLast="0" w:name="_abwzksb74nb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Capstone Project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Project Code: KL-CAP-001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Client: Urban Trends Retail (Fictional)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Date: December 17 , 2025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Client Background: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UrbanTrends Retail is a UK-based online retailer selling unique all-occasion gifts. With over 1,000,000 rows of raw transaction data, the CEO suspects significant revenue leakage due to "ghost data," cancellations, and pricing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="240" w:lineRule="auto"/>
        <w:rPr>
          <w:rFonts w:ascii="Poppins" w:cs="Poppins" w:eastAsia="Poppins" w:hAnsi="Poppins"/>
        </w:rPr>
      </w:pPr>
      <w:bookmarkStart w:colFirst="0" w:colLast="0" w:name="_plzmgs1zkqdj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Section 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Data Hygiene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A1: Identifying Ghost Data.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Quantify the scale of missing values in the Customer ID field to determine the percentage of failed or guest transactions.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A2: Isolating Cancellations.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Segment all invoice numbers prepended with ‘C’ into a dedicated "cancelled_orders" table to prevent revenue skewing.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A3: Price Validation.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Identify and analyze transactions with a UnitPrice of $0.00 to distinguish between "free gifts," test products, and manual entry errors.</w:t>
      </w:r>
    </w:p>
    <w:p w:rsidR="00000000" w:rsidDel="00000000" w:rsidP="00000000" w:rsidRDefault="00000000" w:rsidRPr="00000000" w14:paraId="0000000B">
      <w:pPr>
        <w:pStyle w:val="Heading1"/>
        <w:spacing w:after="240" w:before="240" w:line="240" w:lineRule="auto"/>
        <w:rPr>
          <w:rFonts w:ascii="Poppins" w:cs="Poppins" w:eastAsia="Poppins" w:hAnsi="Poppins"/>
        </w:rPr>
      </w:pPr>
      <w:bookmarkStart w:colFirst="0" w:colLast="0" w:name="_u6ad4vbqo889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Section B: Revenue Intelligence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B1: Quarterly &amp; Monthly Performance.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Aggregate total revenue by month and visualize quarterly growth metrics to identify high-performing seasons.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B2: The "Power SKU" List.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Identify the Top 10 best-selling products based on total revenue generated rather than unit volume.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B3: High-Value Customer Identification.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Identify the Top 5 customers by total spend within the 2011 fiscal year for loyalty targeting.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B4: Geographic AOV Analysis.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Calculate the Average Order Value (AOV) for all international markets (excluding the UK) to find the highest-spending regions.</w:t>
      </w:r>
    </w:p>
    <w:p w:rsidR="00000000" w:rsidDel="00000000" w:rsidP="00000000" w:rsidRDefault="00000000" w:rsidRPr="00000000" w14:paraId="00000010">
      <w:pPr>
        <w:pStyle w:val="Heading1"/>
        <w:spacing w:after="240" w:before="240" w:line="240" w:lineRule="auto"/>
        <w:rPr>
          <w:rFonts w:ascii="Poppins" w:cs="Poppins" w:eastAsia="Poppins" w:hAnsi="Poppins"/>
        </w:rPr>
      </w:pPr>
      <w:bookmarkStart w:colFirst="0" w:colLast="0" w:name="_lh016hsmffqd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Section C: Executive Reporting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C1: Lifetime Net Revenue.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Calculate the total "clean" revenue for the business, excluding all cancellations and error entries.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Problem C2: Revenue Trend Analysis.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Produce a longitudinal trend line of monthly revenue from 2009 to 2011 to identify cyclical sales patterns.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center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3. Final Deliverable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 comprehensive audit report summarizing these findings and a GitHub repository containing the sanitized SQL scripts.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2333625</wp:posOffset>
          </wp:positionH>
          <wp:positionV relativeFrom="paragraph">
            <wp:posOffset>-48811</wp:posOffset>
          </wp:positionV>
          <wp:extent cx="1068225" cy="46507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8225" cy="46507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