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EFF4" w14:textId="77777777" w:rsidR="00B1248D" w:rsidRPr="006F3EB8" w:rsidRDefault="00B1248D">
      <w:pPr>
        <w:rPr>
          <w:rFonts w:ascii="Times New Roman" w:hAnsi="Times New Roman" w:cs="Times New Roman"/>
          <w:color w:val="000000" w:themeColor="text1"/>
        </w:rPr>
      </w:pPr>
    </w:p>
    <w:p w14:paraId="1C5569D7" w14:textId="770538EF" w:rsidR="00B1248D" w:rsidRPr="006F3EB8" w:rsidRDefault="006F3EB8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  <w:r w:rsidR="009C31CB" w:rsidRPr="006F3EB8">
        <w:rPr>
          <w:rFonts w:ascii="Times New Roman" w:hAnsi="Times New Roman" w:cs="Times New Roman"/>
          <w:color w:val="000000" w:themeColor="text1"/>
        </w:rPr>
        <w:t>. Regime Overlay on NIFTY 50 Price Action</w:t>
      </w:r>
    </w:p>
    <w:p w14:paraId="13CA1CDF" w14:textId="77777777" w:rsidR="00B1248D" w:rsidRPr="006F3EB8" w:rsidRDefault="009C31CB">
      <w:pPr>
        <w:jc w:val="center"/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B5D182" wp14:editId="2B331350">
            <wp:extent cx="5669280" cy="2473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gime_overla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6097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The time-series plot overlays the NIFTY 50 index level with colour-coded background bands representing the classified market regime. The secondary y-axis plots 30-day (solid) and 90-day (dashed) annualised volatility.</w:t>
      </w:r>
    </w:p>
    <w:p w14:paraId="7B0068ED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Regime Distribution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1248D" w:rsidRPr="006F3EB8" w14:paraId="1D96E366" w14:textId="77777777" w:rsidTr="006F3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C657C3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Regime</w:t>
            </w:r>
          </w:p>
        </w:tc>
        <w:tc>
          <w:tcPr>
            <w:tcW w:w="1440" w:type="dxa"/>
          </w:tcPr>
          <w:p w14:paraId="2921C3DC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Days</w:t>
            </w:r>
          </w:p>
        </w:tc>
        <w:tc>
          <w:tcPr>
            <w:tcW w:w="1440" w:type="dxa"/>
          </w:tcPr>
          <w:p w14:paraId="0F63979B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% Total</w:t>
            </w:r>
          </w:p>
        </w:tc>
        <w:tc>
          <w:tcPr>
            <w:tcW w:w="1440" w:type="dxa"/>
          </w:tcPr>
          <w:p w14:paraId="7ABBD020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Mean σ₃₀</w:t>
            </w:r>
          </w:p>
        </w:tc>
        <w:tc>
          <w:tcPr>
            <w:tcW w:w="1440" w:type="dxa"/>
          </w:tcPr>
          <w:p w14:paraId="122C4C05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Mean Mom₃₀</w:t>
            </w:r>
          </w:p>
        </w:tc>
        <w:tc>
          <w:tcPr>
            <w:tcW w:w="1440" w:type="dxa"/>
          </w:tcPr>
          <w:p w14:paraId="486D20FA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Mean Breadth</w:t>
            </w:r>
          </w:p>
        </w:tc>
      </w:tr>
      <w:tr w:rsidR="00B1248D" w:rsidRPr="006F3EB8" w14:paraId="5B3F82E1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9E8BF5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Bull</w:t>
            </w:r>
          </w:p>
        </w:tc>
        <w:tc>
          <w:tcPr>
            <w:tcW w:w="1440" w:type="dxa"/>
          </w:tcPr>
          <w:p w14:paraId="1D6C0FEC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590</w:t>
            </w:r>
          </w:p>
        </w:tc>
        <w:tc>
          <w:tcPr>
            <w:tcW w:w="1440" w:type="dxa"/>
          </w:tcPr>
          <w:p w14:paraId="55AB8303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45.6%</w:t>
            </w:r>
          </w:p>
        </w:tc>
        <w:tc>
          <w:tcPr>
            <w:tcW w:w="1440" w:type="dxa"/>
          </w:tcPr>
          <w:p w14:paraId="2FCDDF5C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11.6%</w:t>
            </w:r>
          </w:p>
        </w:tc>
        <w:tc>
          <w:tcPr>
            <w:tcW w:w="1440" w:type="dxa"/>
          </w:tcPr>
          <w:p w14:paraId="07FE9B07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+5.0%</w:t>
            </w:r>
          </w:p>
        </w:tc>
        <w:tc>
          <w:tcPr>
            <w:tcW w:w="1440" w:type="dxa"/>
          </w:tcPr>
          <w:p w14:paraId="4D8DFD69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77.6%</w:t>
            </w:r>
          </w:p>
        </w:tc>
      </w:tr>
      <w:tr w:rsidR="00B1248D" w:rsidRPr="006F3EB8" w14:paraId="078487B2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8CD47F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Bear</w:t>
            </w:r>
          </w:p>
        </w:tc>
        <w:tc>
          <w:tcPr>
            <w:tcW w:w="1440" w:type="dxa"/>
          </w:tcPr>
          <w:p w14:paraId="6BC0CF0C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228</w:t>
            </w:r>
          </w:p>
        </w:tc>
        <w:tc>
          <w:tcPr>
            <w:tcW w:w="1440" w:type="dxa"/>
          </w:tcPr>
          <w:p w14:paraId="5ED3E110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17.6%</w:t>
            </w:r>
          </w:p>
        </w:tc>
        <w:tc>
          <w:tcPr>
            <w:tcW w:w="1440" w:type="dxa"/>
          </w:tcPr>
          <w:p w14:paraId="016E1DA0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14.3%</w:t>
            </w:r>
          </w:p>
        </w:tc>
        <w:tc>
          <w:tcPr>
            <w:tcW w:w="1440" w:type="dxa"/>
          </w:tcPr>
          <w:p w14:paraId="78732B6F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−</w:t>
            </w: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4.1%</w:t>
            </w:r>
          </w:p>
        </w:tc>
        <w:tc>
          <w:tcPr>
            <w:tcW w:w="1440" w:type="dxa"/>
          </w:tcPr>
          <w:p w14:paraId="755636E3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29.1%</w:t>
            </w:r>
          </w:p>
        </w:tc>
      </w:tr>
      <w:tr w:rsidR="00B1248D" w:rsidRPr="006F3EB8" w14:paraId="6E58768F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567A6E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High Volatility</w:t>
            </w:r>
          </w:p>
        </w:tc>
        <w:tc>
          <w:tcPr>
            <w:tcW w:w="1440" w:type="dxa"/>
          </w:tcPr>
          <w:p w14:paraId="4AA37B5E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100</w:t>
            </w:r>
          </w:p>
        </w:tc>
        <w:tc>
          <w:tcPr>
            <w:tcW w:w="1440" w:type="dxa"/>
          </w:tcPr>
          <w:p w14:paraId="7CC0A1D5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7.7%</w:t>
            </w:r>
          </w:p>
        </w:tc>
        <w:tc>
          <w:tcPr>
            <w:tcW w:w="1440" w:type="dxa"/>
          </w:tcPr>
          <w:p w14:paraId="050D73AD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21.3%</w:t>
            </w:r>
          </w:p>
        </w:tc>
        <w:tc>
          <w:tcPr>
            <w:tcW w:w="1440" w:type="dxa"/>
          </w:tcPr>
          <w:p w14:paraId="701B5ABC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+0.4%</w:t>
            </w:r>
          </w:p>
        </w:tc>
        <w:tc>
          <w:tcPr>
            <w:tcW w:w="1440" w:type="dxa"/>
          </w:tcPr>
          <w:p w14:paraId="6474C28D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56.4%</w:t>
            </w:r>
          </w:p>
        </w:tc>
      </w:tr>
      <w:tr w:rsidR="00B1248D" w:rsidRPr="006F3EB8" w14:paraId="3957BFFE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C935E6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Low Volatility</w:t>
            </w:r>
          </w:p>
        </w:tc>
        <w:tc>
          <w:tcPr>
            <w:tcW w:w="1440" w:type="dxa"/>
          </w:tcPr>
          <w:p w14:paraId="0C258C67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209</w:t>
            </w:r>
          </w:p>
        </w:tc>
        <w:tc>
          <w:tcPr>
            <w:tcW w:w="1440" w:type="dxa"/>
          </w:tcPr>
          <w:p w14:paraId="178808B6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16.1%</w:t>
            </w:r>
          </w:p>
        </w:tc>
        <w:tc>
          <w:tcPr>
            <w:tcW w:w="1440" w:type="dxa"/>
          </w:tcPr>
          <w:p w14:paraId="58C2F7EC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10.6%</w:t>
            </w:r>
          </w:p>
        </w:tc>
        <w:tc>
          <w:tcPr>
            <w:tcW w:w="1440" w:type="dxa"/>
          </w:tcPr>
          <w:p w14:paraId="4AADEF5A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~0.0%</w:t>
            </w:r>
          </w:p>
        </w:tc>
        <w:tc>
          <w:tcPr>
            <w:tcW w:w="1440" w:type="dxa"/>
          </w:tcPr>
          <w:p w14:paraId="0DC428A3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51.9%</w:t>
            </w:r>
          </w:p>
        </w:tc>
      </w:tr>
      <w:tr w:rsidR="00B1248D" w:rsidRPr="006F3EB8" w14:paraId="7CBAB602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6D57C0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Transition</w:t>
            </w:r>
          </w:p>
        </w:tc>
        <w:tc>
          <w:tcPr>
            <w:tcW w:w="1440" w:type="dxa"/>
          </w:tcPr>
          <w:p w14:paraId="5BCC50D7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168</w:t>
            </w:r>
          </w:p>
        </w:tc>
        <w:tc>
          <w:tcPr>
            <w:tcW w:w="1440" w:type="dxa"/>
          </w:tcPr>
          <w:p w14:paraId="48463E1E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13.0%</w:t>
            </w:r>
          </w:p>
        </w:tc>
        <w:tc>
          <w:tcPr>
            <w:tcW w:w="1440" w:type="dxa"/>
          </w:tcPr>
          <w:p w14:paraId="49C9E1F6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15.8%</w:t>
            </w:r>
          </w:p>
        </w:tc>
        <w:tc>
          <w:tcPr>
            <w:tcW w:w="1440" w:type="dxa"/>
          </w:tcPr>
          <w:p w14:paraId="60EE64C5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−</w:t>
            </w: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0.5%</w:t>
            </w:r>
          </w:p>
        </w:tc>
        <w:tc>
          <w:tcPr>
            <w:tcW w:w="1440" w:type="dxa"/>
          </w:tcPr>
          <w:p w14:paraId="349CC191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51.0%</w:t>
            </w:r>
          </w:p>
        </w:tc>
      </w:tr>
    </w:tbl>
    <w:p w14:paraId="21E55EDE" w14:textId="77777777" w:rsidR="00B1248D" w:rsidRPr="006F3EB8" w:rsidRDefault="00B1248D">
      <w:pPr>
        <w:rPr>
          <w:rFonts w:ascii="Times New Roman" w:hAnsi="Times New Roman" w:cs="Times New Roman"/>
          <w:color w:val="000000" w:themeColor="text1"/>
        </w:rPr>
      </w:pPr>
    </w:p>
    <w:p w14:paraId="7775331A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Key Findings</w:t>
      </w:r>
    </w:p>
    <w:p w14:paraId="66365F15" w14:textId="6A58F1F9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Bull dominance: </w:t>
      </w:r>
      <w:r w:rsidRPr="006F3EB8">
        <w:rPr>
          <w:rFonts w:ascii="Times New Roman" w:hAnsi="Times New Roman" w:cs="Times New Roman"/>
          <w:color w:val="000000" w:themeColor="text1"/>
        </w:rPr>
        <w:t>NIFTY 50 spent 45.6% of the sample in Bull</w:t>
      </w:r>
      <w:r w:rsidR="006F3EB8">
        <w:rPr>
          <w:rFonts w:ascii="Times New Roman" w:hAnsi="Times New Roman" w:cs="Times New Roman"/>
          <w:color w:val="000000" w:themeColor="text1"/>
        </w:rPr>
        <w:t xml:space="preserve"> </w:t>
      </w:r>
      <w:r w:rsidRPr="006F3EB8">
        <w:rPr>
          <w:rFonts w:ascii="Times New Roman" w:hAnsi="Times New Roman" w:cs="Times New Roman"/>
          <w:color w:val="000000" w:themeColor="text1"/>
        </w:rPr>
        <w:t>positive momentum (+5.0%), low volatility (σ₃₀ = 11.6%), and broad participation (77.6% above 50-DMA). This confirms the paper's threshold: "&gt; 70% indicates broad participation in an uptrend" (§3.4.2).</w:t>
      </w:r>
    </w:p>
    <w:p w14:paraId="4EEAA589" w14:textId="14DEECA9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Bear regimes are sharp and narrow: </w:t>
      </w:r>
      <w:r w:rsidRPr="006F3EB8">
        <w:rPr>
          <w:rFonts w:ascii="Times New Roman" w:hAnsi="Times New Roman" w:cs="Times New Roman"/>
          <w:color w:val="000000" w:themeColor="text1"/>
        </w:rPr>
        <w:t>Bear phases (17.6% of days) show worst momentum (−4.1%), elevated volatility (14.3%), and collapsed breadth (29.1%</w:t>
      </w:r>
      <w:r w:rsidR="006F3EB8">
        <w:rPr>
          <w:rFonts w:ascii="Times New Roman" w:hAnsi="Times New Roman" w:cs="Times New Roman"/>
          <w:color w:val="000000" w:themeColor="text1"/>
        </w:rPr>
        <w:t xml:space="preserve"> </w:t>
      </w:r>
      <w:r w:rsidRPr="006F3EB8">
        <w:rPr>
          <w:rFonts w:ascii="Times New Roman" w:hAnsi="Times New Roman" w:cs="Times New Roman"/>
          <w:color w:val="000000" w:themeColor="text1"/>
        </w:rPr>
        <w:t>below the paper's 30% weakness threshold). Bear bands align with the Russia-Ukraine shock (Feb–Mar 2022), late-2024 sell-off, and early-2025 correction.</w:t>
      </w:r>
    </w:p>
    <w:p w14:paraId="1ADD4ABE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Volatility divergence as regime signal: </w:t>
      </w:r>
      <w:r w:rsidRPr="006F3EB8">
        <w:rPr>
          <w:rFonts w:ascii="Times New Roman" w:hAnsi="Times New Roman" w:cs="Times New Roman"/>
          <w:color w:val="000000" w:themeColor="text1"/>
        </w:rPr>
        <w:t xml:space="preserve">Per §3.5.4: "σ₃₀ </w:t>
      </w:r>
      <w:r w:rsidRPr="006F3EB8">
        <w:rPr>
          <w:rFonts w:ascii="Cambria Math" w:hAnsi="Cambria Math" w:cs="Cambria Math"/>
          <w:color w:val="000000" w:themeColor="text1"/>
        </w:rPr>
        <w:t>≫</w:t>
      </w:r>
      <w:r w:rsidRPr="006F3EB8">
        <w:rPr>
          <w:rFonts w:ascii="Times New Roman" w:hAnsi="Times New Roman" w:cs="Times New Roman"/>
          <w:color w:val="000000" w:themeColor="text1"/>
        </w:rPr>
        <w:t xml:space="preserve"> σ₉₀ may indicate a volatility breakout or regime transition." Every Bull→Bear/High-Vol transition in the overlay is preceded by σ₃₀ spiking above σ₉₀.</w:t>
      </w:r>
    </w:p>
    <w:p w14:paraId="368929ED" w14:textId="27737EB4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lastRenderedPageBreak/>
        <w:t xml:space="preserve">High Volatility is rare but dramatic: </w:t>
      </w:r>
      <w:r w:rsidRPr="006F3EB8">
        <w:rPr>
          <w:rFonts w:ascii="Times New Roman" w:hAnsi="Times New Roman" w:cs="Times New Roman"/>
          <w:color w:val="000000" w:themeColor="text1"/>
        </w:rPr>
        <w:t>Only 7.7% of days, with σ₃₀ &gt; 21% but near-zero momentum</w:t>
      </w:r>
      <w:r w:rsidRPr="006F3EB8">
        <w:rPr>
          <w:rFonts w:ascii="Times New Roman" w:hAnsi="Times New Roman" w:cs="Times New Roman"/>
          <w:color w:val="000000" w:themeColor="text1"/>
        </w:rPr>
        <w:t xml:space="preserve"> indicating violent two-way price action, not directional movement.</w:t>
      </w:r>
    </w:p>
    <w:p w14:paraId="471A26D7" w14:textId="4CE829D4" w:rsidR="00B1248D" w:rsidRPr="006F3EB8" w:rsidRDefault="006F3EB8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9C31CB" w:rsidRPr="006F3EB8">
        <w:rPr>
          <w:rFonts w:ascii="Times New Roman" w:hAnsi="Times New Roman" w:cs="Times New Roman"/>
          <w:color w:val="000000" w:themeColor="text1"/>
        </w:rPr>
        <w:t>. HMM State Posterior Probabilities</w:t>
      </w:r>
    </w:p>
    <w:p w14:paraId="5150D35B" w14:textId="77777777" w:rsidR="00B1248D" w:rsidRPr="006F3EB8" w:rsidRDefault="009C31CB">
      <w:pPr>
        <w:jc w:val="center"/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178A88C" wp14:editId="6CE6DD72">
            <wp:extent cx="5669280" cy="17670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mm_state_probabiliti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2E51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The heatmap shows posterior probability of each HMM latent state (Bull, Neutral, Bear, High Volatility) over time. Darker = higher probability (closer to 1.0).</w:t>
      </w:r>
    </w:p>
    <w:p w14:paraId="55028E40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Key Findings</w:t>
      </w:r>
    </w:p>
    <w:p w14:paraId="5E180943" w14:textId="1F8DD563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Clean state separation: </w:t>
      </w:r>
      <w:r w:rsidRPr="006F3EB8">
        <w:rPr>
          <w:rFonts w:ascii="Times New Roman" w:hAnsi="Times New Roman" w:cs="Times New Roman"/>
          <w:color w:val="000000" w:themeColor="text1"/>
        </w:rPr>
        <w:t xml:space="preserve">The HMM assigns near-1.0 probability to a single state for most dates, producing sharp block-like transitions </w:t>
      </w:r>
      <w:r w:rsidRPr="006F3EB8">
        <w:rPr>
          <w:rFonts w:ascii="Times New Roman" w:hAnsi="Times New Roman" w:cs="Times New Roman"/>
          <w:color w:val="000000" w:themeColor="text1"/>
        </w:rPr>
        <w:t>the multi-factor feature space provides strong discriminative power.</w:t>
      </w:r>
    </w:p>
    <w:p w14:paraId="5B282B47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Bull dominance 2023–mid 2024: </w:t>
      </w:r>
      <w:r w:rsidRPr="006F3EB8">
        <w:rPr>
          <w:rFonts w:ascii="Times New Roman" w:hAnsi="Times New Roman" w:cs="Times New Roman"/>
          <w:color w:val="000000" w:themeColor="text1"/>
        </w:rPr>
        <w:t>Bull state probability ≈ 1.0 continuously from late 2022 through mid-2024, matching the secular NIFTY 50 rally from ~17,000 to ~26,000.</w:t>
      </w:r>
    </w:p>
    <w:p w14:paraId="2F1117C3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Abrupt regime transitions: </w:t>
      </w:r>
      <w:r w:rsidRPr="006F3EB8">
        <w:rPr>
          <w:rFonts w:ascii="Times New Roman" w:hAnsi="Times New Roman" w:cs="Times New Roman"/>
          <w:color w:val="000000" w:themeColor="text1"/>
        </w:rPr>
        <w:t>Feb 2022: instant Bull → Bear (Russia-Ukraine). Oct 2024: sharp Bull → Bear (FII outflows). Mar 2026: rapid Neutral → Bear → High Volatility (tariff shock).</w:t>
      </w:r>
    </w:p>
    <w:p w14:paraId="3DC96CEE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Model confidence: </w:t>
      </w:r>
      <w:r w:rsidRPr="006F3EB8">
        <w:rPr>
          <w:rFonts w:ascii="Times New Roman" w:hAnsi="Times New Roman" w:cs="Times New Roman"/>
          <w:color w:val="000000" w:themeColor="text1"/>
        </w:rPr>
        <w:t>Near-binary posteriors (&gt;0.9) confirm well-calibrated Gaussian emission distributions. Ambiguous periods correspond to genuinely uncertain market conditions.</w:t>
      </w:r>
    </w:p>
    <w:p w14:paraId="7364BF2C" w14:textId="40DC9418" w:rsidR="00B1248D" w:rsidRPr="006F3EB8" w:rsidRDefault="006F3EB8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3</w:t>
      </w:r>
      <w:r w:rsidR="009C31CB" w:rsidRPr="006F3EB8">
        <w:rPr>
          <w:rFonts w:ascii="Times New Roman" w:hAnsi="Times New Roman" w:cs="Times New Roman"/>
          <w:color w:val="000000" w:themeColor="text1"/>
        </w:rPr>
        <w:t>. Markov Regime Transition Matrix</w:t>
      </w:r>
    </w:p>
    <w:p w14:paraId="7B06FD95" w14:textId="77777777" w:rsidR="00B1248D" w:rsidRPr="006F3EB8" w:rsidRDefault="009C31CB">
      <w:pPr>
        <w:jc w:val="center"/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CA4F67" wp14:editId="3F551F53">
            <wp:extent cx="4114800" cy="3672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ransit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2E0B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The 5×5 row-stochastic matrix quantifies the daily probability of moving from one regime (row) to another (column). Diagonal cells = regime persistence.</w:t>
      </w:r>
    </w:p>
    <w:p w14:paraId="37625202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Transition Probabilities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1248D" w:rsidRPr="006F3EB8" w14:paraId="23A19D0D" w14:textId="77777777" w:rsidTr="006F3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F0F3C9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From \ To</w:t>
            </w:r>
          </w:p>
        </w:tc>
        <w:tc>
          <w:tcPr>
            <w:tcW w:w="1440" w:type="dxa"/>
          </w:tcPr>
          <w:p w14:paraId="23C556CA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Bull</w:t>
            </w:r>
          </w:p>
        </w:tc>
        <w:tc>
          <w:tcPr>
            <w:tcW w:w="1440" w:type="dxa"/>
          </w:tcPr>
          <w:p w14:paraId="649F4505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Bear</w:t>
            </w:r>
          </w:p>
        </w:tc>
        <w:tc>
          <w:tcPr>
            <w:tcW w:w="1440" w:type="dxa"/>
          </w:tcPr>
          <w:p w14:paraId="4D27AF27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High Vol</w:t>
            </w:r>
          </w:p>
        </w:tc>
        <w:tc>
          <w:tcPr>
            <w:tcW w:w="1440" w:type="dxa"/>
          </w:tcPr>
          <w:p w14:paraId="067738F3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Low Vol</w:t>
            </w:r>
          </w:p>
        </w:tc>
        <w:tc>
          <w:tcPr>
            <w:tcW w:w="1440" w:type="dxa"/>
          </w:tcPr>
          <w:p w14:paraId="26D06439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Transition</w:t>
            </w:r>
          </w:p>
        </w:tc>
      </w:tr>
      <w:tr w:rsidR="00B1248D" w:rsidRPr="006F3EB8" w14:paraId="44AE9E1C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12B3FF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Bull</w:t>
            </w:r>
          </w:p>
        </w:tc>
        <w:tc>
          <w:tcPr>
            <w:tcW w:w="1440" w:type="dxa"/>
          </w:tcPr>
          <w:p w14:paraId="0A9000ED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0.946</w:t>
            </w:r>
          </w:p>
        </w:tc>
        <w:tc>
          <w:tcPr>
            <w:tcW w:w="1440" w:type="dxa"/>
          </w:tcPr>
          <w:p w14:paraId="51803BEB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  <w:tc>
          <w:tcPr>
            <w:tcW w:w="1440" w:type="dxa"/>
          </w:tcPr>
          <w:p w14:paraId="3F878C93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0.003</w:t>
            </w:r>
          </w:p>
        </w:tc>
        <w:tc>
          <w:tcPr>
            <w:tcW w:w="1440" w:type="dxa"/>
          </w:tcPr>
          <w:p w14:paraId="4E28B3F3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0.029</w:t>
            </w:r>
          </w:p>
        </w:tc>
        <w:tc>
          <w:tcPr>
            <w:tcW w:w="1440" w:type="dxa"/>
          </w:tcPr>
          <w:p w14:paraId="0A8C553C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0.022</w:t>
            </w:r>
          </w:p>
        </w:tc>
      </w:tr>
      <w:tr w:rsidR="00B1248D" w:rsidRPr="006F3EB8" w14:paraId="6B404339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F484AA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Bear</w:t>
            </w:r>
          </w:p>
        </w:tc>
        <w:tc>
          <w:tcPr>
            <w:tcW w:w="1440" w:type="dxa"/>
          </w:tcPr>
          <w:p w14:paraId="34926E90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  <w:tc>
          <w:tcPr>
            <w:tcW w:w="1440" w:type="dxa"/>
          </w:tcPr>
          <w:p w14:paraId="70A84714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0.899</w:t>
            </w:r>
          </w:p>
        </w:tc>
        <w:tc>
          <w:tcPr>
            <w:tcW w:w="1440" w:type="dxa"/>
          </w:tcPr>
          <w:p w14:paraId="02BBB006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0.031</w:t>
            </w:r>
          </w:p>
        </w:tc>
        <w:tc>
          <w:tcPr>
            <w:tcW w:w="1440" w:type="dxa"/>
          </w:tcPr>
          <w:p w14:paraId="755C7D11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0.048</w:t>
            </w:r>
          </w:p>
        </w:tc>
        <w:tc>
          <w:tcPr>
            <w:tcW w:w="1440" w:type="dxa"/>
          </w:tcPr>
          <w:p w14:paraId="7836D96E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0.022</w:t>
            </w:r>
          </w:p>
        </w:tc>
      </w:tr>
      <w:tr w:rsidR="00B1248D" w:rsidRPr="006F3EB8" w14:paraId="085A2B38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5FE210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High Vol</w:t>
            </w:r>
          </w:p>
        </w:tc>
        <w:tc>
          <w:tcPr>
            <w:tcW w:w="1440" w:type="dxa"/>
          </w:tcPr>
          <w:p w14:paraId="48703922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0.030</w:t>
            </w:r>
          </w:p>
        </w:tc>
        <w:tc>
          <w:tcPr>
            <w:tcW w:w="1440" w:type="dxa"/>
          </w:tcPr>
          <w:p w14:paraId="144CA578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0.051</w:t>
            </w:r>
          </w:p>
        </w:tc>
        <w:tc>
          <w:tcPr>
            <w:tcW w:w="1440" w:type="dxa"/>
          </w:tcPr>
          <w:p w14:paraId="5B74B772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0.889</w:t>
            </w:r>
          </w:p>
        </w:tc>
        <w:tc>
          <w:tcPr>
            <w:tcW w:w="1440" w:type="dxa"/>
          </w:tcPr>
          <w:p w14:paraId="27AE7BDD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  <w:tc>
          <w:tcPr>
            <w:tcW w:w="1440" w:type="dxa"/>
          </w:tcPr>
          <w:p w14:paraId="6BD292E4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0.030</w:t>
            </w:r>
          </w:p>
        </w:tc>
      </w:tr>
      <w:tr w:rsidR="00B1248D" w:rsidRPr="006F3EB8" w14:paraId="42AE8223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38B686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Low Vol</w:t>
            </w:r>
          </w:p>
        </w:tc>
        <w:tc>
          <w:tcPr>
            <w:tcW w:w="1440" w:type="dxa"/>
          </w:tcPr>
          <w:p w14:paraId="48BEE87A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0.077</w:t>
            </w:r>
          </w:p>
        </w:tc>
        <w:tc>
          <w:tcPr>
            <w:tcW w:w="1440" w:type="dxa"/>
          </w:tcPr>
          <w:p w14:paraId="5EE97A31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0.048</w:t>
            </w:r>
          </w:p>
        </w:tc>
        <w:tc>
          <w:tcPr>
            <w:tcW w:w="1440" w:type="dxa"/>
          </w:tcPr>
          <w:p w14:paraId="3E019CE4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0.000</w:t>
            </w:r>
          </w:p>
        </w:tc>
        <w:tc>
          <w:tcPr>
            <w:tcW w:w="1440" w:type="dxa"/>
          </w:tcPr>
          <w:p w14:paraId="5EECB0AA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0.833</w:t>
            </w:r>
          </w:p>
        </w:tc>
        <w:tc>
          <w:tcPr>
            <w:tcW w:w="1440" w:type="dxa"/>
          </w:tcPr>
          <w:p w14:paraId="394261CB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0.043</w:t>
            </w:r>
          </w:p>
        </w:tc>
      </w:tr>
      <w:tr w:rsidR="00B1248D" w:rsidRPr="006F3EB8" w14:paraId="3B2F202C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C346F1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Transition</w:t>
            </w:r>
          </w:p>
        </w:tc>
        <w:tc>
          <w:tcPr>
            <w:tcW w:w="1440" w:type="dxa"/>
          </w:tcPr>
          <w:p w14:paraId="4D85574E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0.071</w:t>
            </w:r>
          </w:p>
        </w:tc>
        <w:tc>
          <w:tcPr>
            <w:tcW w:w="1440" w:type="dxa"/>
          </w:tcPr>
          <w:p w14:paraId="0F731751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0.048</w:t>
            </w:r>
          </w:p>
        </w:tc>
        <w:tc>
          <w:tcPr>
            <w:tcW w:w="1440" w:type="dxa"/>
          </w:tcPr>
          <w:p w14:paraId="4D5238F2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0.018</w:t>
            </w:r>
          </w:p>
        </w:tc>
        <w:tc>
          <w:tcPr>
            <w:tcW w:w="1440" w:type="dxa"/>
          </w:tcPr>
          <w:p w14:paraId="665F706E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0.042</w:t>
            </w:r>
          </w:p>
        </w:tc>
        <w:tc>
          <w:tcPr>
            <w:tcW w:w="1440" w:type="dxa"/>
          </w:tcPr>
          <w:p w14:paraId="766927F7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0.821</w:t>
            </w:r>
          </w:p>
        </w:tc>
      </w:tr>
    </w:tbl>
    <w:p w14:paraId="19F21220" w14:textId="77777777" w:rsidR="00B1248D" w:rsidRPr="006F3EB8" w:rsidRDefault="00B1248D">
      <w:pPr>
        <w:rPr>
          <w:rFonts w:ascii="Times New Roman" w:hAnsi="Times New Roman" w:cs="Times New Roman"/>
          <w:color w:val="000000" w:themeColor="text1"/>
        </w:rPr>
      </w:pPr>
    </w:p>
    <w:p w14:paraId="76AE1CCE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Key Findings</w:t>
      </w:r>
    </w:p>
    <w:p w14:paraId="1093FA1C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Bull is most persistent (P = 0.946): </w:t>
      </w:r>
      <w:r w:rsidRPr="006F3EB8">
        <w:rPr>
          <w:rFonts w:ascii="Times New Roman" w:hAnsi="Times New Roman" w:cs="Times New Roman"/>
          <w:color w:val="000000" w:themeColor="text1"/>
        </w:rPr>
        <w:t>Expected duration ~18.5 days (empirical: 18.4 days). Bull almost never transitions directly to Bear (P = 0.000).</w:t>
      </w:r>
    </w:p>
    <w:p w14:paraId="17EEAD9C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Bear is highly sticky (P = 0.899): </w:t>
      </w:r>
      <w:r w:rsidRPr="006F3EB8">
        <w:rPr>
          <w:rFonts w:ascii="Times New Roman" w:hAnsi="Times New Roman" w:cs="Times New Roman"/>
          <w:color w:val="000000" w:themeColor="text1"/>
        </w:rPr>
        <w:t>Expected duration ~9.9 days. Exit path is primarily through Low Volatility (P = 0.048), not a direct jump to Bull (P = 0.000).</w:t>
      </w:r>
    </w:p>
    <w:p w14:paraId="3A86FE4F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No direct Bull ↔ Bear transitions: </w:t>
      </w:r>
      <w:r w:rsidRPr="006F3EB8">
        <w:rPr>
          <w:rFonts w:ascii="Times New Roman" w:hAnsi="Times New Roman" w:cs="Times New Roman"/>
          <w:color w:val="000000" w:themeColor="text1"/>
        </w:rPr>
        <w:t>P(Bull→Bear) = 0.000 and P(Bear→Bull) = 0.000. The market always passes through an intermediate state before reversing direction — validating the multi-factor approach.</w:t>
      </w:r>
    </w:p>
    <w:p w14:paraId="67D6DEDC" w14:textId="73EEED40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lastRenderedPageBreak/>
        <w:t xml:space="preserve">High Volatility escalation risk: </w:t>
      </w:r>
      <w:r w:rsidRPr="006F3EB8">
        <w:rPr>
          <w:rFonts w:ascii="Times New Roman" w:hAnsi="Times New Roman" w:cs="Times New Roman"/>
          <w:color w:val="000000" w:themeColor="text1"/>
        </w:rPr>
        <w:t>P(High Vol → Bear) = 0.051 &gt; P(High Vol → Bull) = 0.030. Volatility spikes are more likely to resolve into bear markets</w:t>
      </w:r>
      <w:r w:rsidRPr="006F3EB8">
        <w:rPr>
          <w:rFonts w:ascii="Times New Roman" w:hAnsi="Times New Roman" w:cs="Times New Roman"/>
          <w:color w:val="000000" w:themeColor="text1"/>
        </w:rPr>
        <w:t xml:space="preserve"> consistent with the leverage effect.</w:t>
      </w:r>
    </w:p>
    <w:p w14:paraId="393086AC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Transition as a "crossroads": </w:t>
      </w:r>
      <w:r w:rsidRPr="006F3EB8">
        <w:rPr>
          <w:rFonts w:ascii="Times New Roman" w:hAnsi="Times New Roman" w:cs="Times New Roman"/>
          <w:color w:val="000000" w:themeColor="text1"/>
        </w:rPr>
        <w:t>Lowest persistence (P = 0.821) with balanced exit probabilities: P(→Bull) = 0.071, P(→Bear) = 0.048. A genuine indeterminate regime.</w:t>
      </w:r>
    </w:p>
    <w:p w14:paraId="15AB4BC7" w14:textId="77777777" w:rsidR="00B1248D" w:rsidRPr="006F3EB8" w:rsidRDefault="00B1248D">
      <w:pPr>
        <w:rPr>
          <w:rFonts w:ascii="Times New Roman" w:hAnsi="Times New Roman" w:cs="Times New Roman"/>
          <w:color w:val="000000" w:themeColor="text1"/>
        </w:rPr>
      </w:pPr>
    </w:p>
    <w:p w14:paraId="6786DC38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Average Regime Durations (Empirical)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1248D" w:rsidRPr="006F3EB8" w14:paraId="7A943FE7" w14:textId="77777777" w:rsidTr="006F3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BB42C3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Regime</w:t>
            </w:r>
          </w:p>
        </w:tc>
        <w:tc>
          <w:tcPr>
            <w:tcW w:w="1728" w:type="dxa"/>
          </w:tcPr>
          <w:p w14:paraId="19FCF454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Mean (days)</w:t>
            </w:r>
          </w:p>
        </w:tc>
        <w:tc>
          <w:tcPr>
            <w:tcW w:w="1728" w:type="dxa"/>
          </w:tcPr>
          <w:p w14:paraId="18360AEB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Episodes</w:t>
            </w:r>
          </w:p>
        </w:tc>
        <w:tc>
          <w:tcPr>
            <w:tcW w:w="1728" w:type="dxa"/>
          </w:tcPr>
          <w:p w14:paraId="6C4D8906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Max</w:t>
            </w:r>
          </w:p>
        </w:tc>
        <w:tc>
          <w:tcPr>
            <w:tcW w:w="1728" w:type="dxa"/>
          </w:tcPr>
          <w:p w14:paraId="758E9919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Min</w:t>
            </w:r>
          </w:p>
        </w:tc>
      </w:tr>
      <w:tr w:rsidR="00B1248D" w:rsidRPr="006F3EB8" w14:paraId="27B56383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646972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Bull</w:t>
            </w:r>
          </w:p>
        </w:tc>
        <w:tc>
          <w:tcPr>
            <w:tcW w:w="1728" w:type="dxa"/>
          </w:tcPr>
          <w:p w14:paraId="3B2DFCE0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18.4</w:t>
            </w:r>
          </w:p>
        </w:tc>
        <w:tc>
          <w:tcPr>
            <w:tcW w:w="1728" w:type="dxa"/>
          </w:tcPr>
          <w:p w14:paraId="6E4AFBA2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32</w:t>
            </w:r>
          </w:p>
        </w:tc>
        <w:tc>
          <w:tcPr>
            <w:tcW w:w="1728" w:type="dxa"/>
          </w:tcPr>
          <w:p w14:paraId="4DA46306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82</w:t>
            </w:r>
          </w:p>
        </w:tc>
        <w:tc>
          <w:tcPr>
            <w:tcW w:w="1728" w:type="dxa"/>
          </w:tcPr>
          <w:p w14:paraId="3677A9AF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</w:tr>
      <w:tr w:rsidR="00B1248D" w:rsidRPr="006F3EB8" w14:paraId="686F36E7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B75042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Bear</w:t>
            </w:r>
          </w:p>
        </w:tc>
        <w:tc>
          <w:tcPr>
            <w:tcW w:w="1728" w:type="dxa"/>
          </w:tcPr>
          <w:p w14:paraId="378EF29B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9.9</w:t>
            </w:r>
          </w:p>
        </w:tc>
        <w:tc>
          <w:tcPr>
            <w:tcW w:w="1728" w:type="dxa"/>
          </w:tcPr>
          <w:p w14:paraId="01FDFD41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23</w:t>
            </w:r>
          </w:p>
        </w:tc>
        <w:tc>
          <w:tcPr>
            <w:tcW w:w="1728" w:type="dxa"/>
          </w:tcPr>
          <w:p w14:paraId="07E94B08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44</w:t>
            </w:r>
          </w:p>
        </w:tc>
        <w:tc>
          <w:tcPr>
            <w:tcW w:w="1728" w:type="dxa"/>
          </w:tcPr>
          <w:p w14:paraId="1BF03007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</w:tr>
      <w:tr w:rsidR="00B1248D" w:rsidRPr="006F3EB8" w14:paraId="2B04BCBC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9A199F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High Volatility</w:t>
            </w:r>
          </w:p>
        </w:tc>
        <w:tc>
          <w:tcPr>
            <w:tcW w:w="1728" w:type="dxa"/>
          </w:tcPr>
          <w:p w14:paraId="6BD58E86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8.3</w:t>
            </w:r>
          </w:p>
        </w:tc>
        <w:tc>
          <w:tcPr>
            <w:tcW w:w="1728" w:type="dxa"/>
          </w:tcPr>
          <w:p w14:paraId="7AC9997F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12</w:t>
            </w:r>
          </w:p>
        </w:tc>
        <w:tc>
          <w:tcPr>
            <w:tcW w:w="1728" w:type="dxa"/>
          </w:tcPr>
          <w:p w14:paraId="23128FDB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30</w:t>
            </w:r>
          </w:p>
        </w:tc>
        <w:tc>
          <w:tcPr>
            <w:tcW w:w="1728" w:type="dxa"/>
          </w:tcPr>
          <w:p w14:paraId="1A257BA2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</w:tr>
      <w:tr w:rsidR="00B1248D" w:rsidRPr="006F3EB8" w14:paraId="177E3975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C94BB1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Low Volatility</w:t>
            </w:r>
          </w:p>
        </w:tc>
        <w:tc>
          <w:tcPr>
            <w:tcW w:w="1728" w:type="dxa"/>
          </w:tcPr>
          <w:p w14:paraId="1869A583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6.0</w:t>
            </w:r>
          </w:p>
        </w:tc>
        <w:tc>
          <w:tcPr>
            <w:tcW w:w="1728" w:type="dxa"/>
          </w:tcPr>
          <w:p w14:paraId="27FF4EC2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35</w:t>
            </w:r>
          </w:p>
        </w:tc>
        <w:tc>
          <w:tcPr>
            <w:tcW w:w="1728" w:type="dxa"/>
          </w:tcPr>
          <w:p w14:paraId="087D3CD9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24</w:t>
            </w:r>
          </w:p>
        </w:tc>
        <w:tc>
          <w:tcPr>
            <w:tcW w:w="1728" w:type="dxa"/>
          </w:tcPr>
          <w:p w14:paraId="4794188A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</w:tr>
      <w:tr w:rsidR="00B1248D" w:rsidRPr="006F3EB8" w14:paraId="5F714A1F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6EF061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Transition</w:t>
            </w:r>
          </w:p>
        </w:tc>
        <w:tc>
          <w:tcPr>
            <w:tcW w:w="1728" w:type="dxa"/>
          </w:tcPr>
          <w:p w14:paraId="1B089FE5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5.6</w:t>
            </w:r>
          </w:p>
        </w:tc>
        <w:tc>
          <w:tcPr>
            <w:tcW w:w="1728" w:type="dxa"/>
          </w:tcPr>
          <w:p w14:paraId="34EAC1D3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30</w:t>
            </w:r>
          </w:p>
        </w:tc>
        <w:tc>
          <w:tcPr>
            <w:tcW w:w="1728" w:type="dxa"/>
          </w:tcPr>
          <w:p w14:paraId="2D1A86E2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38</w:t>
            </w:r>
          </w:p>
        </w:tc>
        <w:tc>
          <w:tcPr>
            <w:tcW w:w="1728" w:type="dxa"/>
          </w:tcPr>
          <w:p w14:paraId="6DB54DA9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</w:tr>
    </w:tbl>
    <w:p w14:paraId="18357FAD" w14:textId="77777777" w:rsidR="00B1248D" w:rsidRPr="006F3EB8" w:rsidRDefault="009C31C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5. 3D Regime Surface</w:t>
      </w:r>
    </w:p>
    <w:p w14:paraId="576FBF5A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The interactive 3D scatter plot maps every trading day into the feature space: X = σ₃₀ (30-day volatility), Y = MOM₃₀ (30-day momentum), Z = % Above 50-DMA (breadth).</w:t>
      </w:r>
    </w:p>
    <w:p w14:paraId="750CBFAD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Axis Mapping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248D" w:rsidRPr="006F3EB8" w14:paraId="3B82E2CE" w14:textId="77777777" w:rsidTr="006F3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243D7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Axis</w:t>
            </w:r>
          </w:p>
        </w:tc>
        <w:tc>
          <w:tcPr>
            <w:tcW w:w="2880" w:type="dxa"/>
          </w:tcPr>
          <w:p w14:paraId="0E91497A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Feature</w:t>
            </w:r>
          </w:p>
        </w:tc>
        <w:tc>
          <w:tcPr>
            <w:tcW w:w="2880" w:type="dxa"/>
          </w:tcPr>
          <w:p w14:paraId="76BC93E6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Paper Reference</w:t>
            </w:r>
          </w:p>
        </w:tc>
      </w:tr>
      <w:tr w:rsidR="00B1248D" w:rsidRPr="006F3EB8" w14:paraId="3045F749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43C33E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X</w:t>
            </w:r>
          </w:p>
        </w:tc>
        <w:tc>
          <w:tcPr>
            <w:tcW w:w="2880" w:type="dxa"/>
          </w:tcPr>
          <w:p w14:paraId="6DA5E328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σ₃₀ (30-day annualised volatility)</w:t>
            </w:r>
          </w:p>
        </w:tc>
        <w:tc>
          <w:tcPr>
            <w:tcW w:w="2880" w:type="dxa"/>
          </w:tcPr>
          <w:p w14:paraId="10087A3C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§3.5.2</w:t>
            </w:r>
          </w:p>
        </w:tc>
      </w:tr>
      <w:tr w:rsidR="00B1248D" w:rsidRPr="006F3EB8" w14:paraId="2C0789CF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C7ACC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Y</w:t>
            </w:r>
          </w:p>
        </w:tc>
        <w:tc>
          <w:tcPr>
            <w:tcW w:w="2880" w:type="dxa"/>
          </w:tcPr>
          <w:p w14:paraId="506F9E54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MOM₃₀ (30-day momentum)</w:t>
            </w:r>
          </w:p>
        </w:tc>
        <w:tc>
          <w:tcPr>
            <w:tcW w:w="2880" w:type="dxa"/>
          </w:tcPr>
          <w:p w14:paraId="6519DB86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§3.2.1, Eq. 3</w:t>
            </w:r>
          </w:p>
        </w:tc>
      </w:tr>
      <w:tr w:rsidR="00B1248D" w:rsidRPr="006F3EB8" w14:paraId="401C43CC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E93C8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Z</w:t>
            </w:r>
          </w:p>
        </w:tc>
        <w:tc>
          <w:tcPr>
            <w:tcW w:w="2880" w:type="dxa"/>
          </w:tcPr>
          <w:p w14:paraId="53B8215E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% Above 50-DMA (market breadth)</w:t>
            </w:r>
          </w:p>
        </w:tc>
        <w:tc>
          <w:tcPr>
            <w:tcW w:w="2880" w:type="dxa"/>
          </w:tcPr>
          <w:p w14:paraId="59E4F873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§3.4.2, Eq. 19</w:t>
            </w:r>
          </w:p>
        </w:tc>
      </w:tr>
    </w:tbl>
    <w:p w14:paraId="1761B1CB" w14:textId="77777777" w:rsidR="00B1248D" w:rsidRPr="006F3EB8" w:rsidRDefault="00B1248D">
      <w:pPr>
        <w:rPr>
          <w:rFonts w:ascii="Times New Roman" w:hAnsi="Times New Roman" w:cs="Times New Roman"/>
          <w:color w:val="000000" w:themeColor="text1"/>
        </w:rPr>
      </w:pPr>
    </w:p>
    <w:p w14:paraId="19EE7391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Key Findings</w:t>
      </w:r>
    </w:p>
    <w:p w14:paraId="6BD44BB4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Distinct cluster separation: </w:t>
      </w:r>
      <w:r w:rsidRPr="006F3EB8">
        <w:rPr>
          <w:rFonts w:ascii="Times New Roman" w:hAnsi="Times New Roman" w:cs="Times New Roman"/>
          <w:color w:val="000000" w:themeColor="text1"/>
        </w:rPr>
        <w:t>Bull: low σ₃₀ (8–15%), positive momentum, high breadth (60–98%). Bear: moderate σ₃₀, negative momentum, low breadth (12–40%). High Vol: highest σ₃₀ (17–27%), variable momentum.</w:t>
      </w:r>
    </w:p>
    <w:p w14:paraId="4A6923EA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Breadth provides critical discrimination: </w:t>
      </w:r>
      <w:r w:rsidRPr="006F3EB8">
        <w:rPr>
          <w:rFonts w:ascii="Times New Roman" w:hAnsi="Times New Roman" w:cs="Times New Roman"/>
          <w:color w:val="000000" w:themeColor="text1"/>
        </w:rPr>
        <w:t>Bull and Bear can overlap on volatility (~12%), but are perfectly separated on breadth: Bull &gt; 60%, Bear &lt; 40%.</w:t>
      </w:r>
    </w:p>
    <w:p w14:paraId="3E9394A9" w14:textId="0C34198B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High Volatility spans full breadth range: </w:t>
      </w:r>
      <w:r w:rsidRPr="006F3EB8">
        <w:rPr>
          <w:rFonts w:ascii="Times New Roman" w:hAnsi="Times New Roman" w:cs="Times New Roman"/>
          <w:color w:val="000000" w:themeColor="text1"/>
        </w:rPr>
        <w:t>Volatility spikes occur in both broad rallies and sharp sell-offs</w:t>
      </w:r>
      <w:r w:rsidRPr="006F3EB8">
        <w:rPr>
          <w:rFonts w:ascii="Times New Roman" w:hAnsi="Times New Roman" w:cs="Times New Roman"/>
          <w:color w:val="000000" w:themeColor="text1"/>
        </w:rPr>
        <w:t xml:space="preserve"> a key distinction from Bear markets.</w:t>
      </w:r>
    </w:p>
    <w:p w14:paraId="3EBAEA44" w14:textId="77777777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Intermediate regimes occupy the centre: </w:t>
      </w:r>
      <w:r w:rsidRPr="006F3EB8">
        <w:rPr>
          <w:rFonts w:ascii="Times New Roman" w:hAnsi="Times New Roman" w:cs="Times New Roman"/>
          <w:color w:val="000000" w:themeColor="text1"/>
        </w:rPr>
        <w:t>Low Volatility and Transition clusters sit in the boundary region between Bull and Bear, consistent with the transition matrix finding.</w:t>
      </w:r>
    </w:p>
    <w:p w14:paraId="23BA0880" w14:textId="104B825A" w:rsidR="00B1248D" w:rsidRPr="006F3EB8" w:rsidRDefault="006F3EB8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</w:t>
      </w:r>
      <w:r w:rsidR="009C31CB" w:rsidRPr="006F3EB8">
        <w:rPr>
          <w:rFonts w:ascii="Times New Roman" w:hAnsi="Times New Roman" w:cs="Times New Roman"/>
          <w:color w:val="000000" w:themeColor="text1"/>
        </w:rPr>
        <w:t>. Synthesis &amp; Conclusive Evidence</w:t>
      </w:r>
    </w:p>
    <w:p w14:paraId="32E4C927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Validation Against the Research Paper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248D" w:rsidRPr="006F3EB8" w14:paraId="1F370B41" w14:textId="77777777" w:rsidTr="006F3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05AEEB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Paper Claim</w:t>
            </w:r>
          </w:p>
        </w:tc>
        <w:tc>
          <w:tcPr>
            <w:tcW w:w="4320" w:type="dxa"/>
          </w:tcPr>
          <w:p w14:paraId="0B14275F" w14:textId="77777777" w:rsidR="00B1248D" w:rsidRPr="006F3EB8" w:rsidRDefault="009C31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Visualization Evidence</w:t>
            </w:r>
          </w:p>
        </w:tc>
      </w:tr>
      <w:tr w:rsidR="00B1248D" w:rsidRPr="006F3EB8" w14:paraId="65439FF5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B788BE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σ₃₀ </w:t>
            </w:r>
            <w:r w:rsidRPr="006F3EB8">
              <w:rPr>
                <w:rFonts w:ascii="Cambria Math" w:hAnsi="Cambria Math" w:cs="Cambria Math"/>
                <w:color w:val="000000" w:themeColor="text1"/>
                <w:sz w:val="18"/>
              </w:rPr>
              <w:t>≫</w:t>
            </w: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 xml:space="preserve"> σ₉₀ signals regime transition (§3.5.4)</w:t>
            </w:r>
          </w:p>
        </w:tc>
        <w:tc>
          <w:tcPr>
            <w:tcW w:w="4320" w:type="dxa"/>
          </w:tcPr>
          <w:p w14:paraId="2505A97B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Plot 1: Every Bull→Bear transition preceded by σ₃₀ crossing above σ₉₀</w:t>
            </w:r>
          </w:p>
        </w:tc>
      </w:tr>
      <w:tr w:rsidR="00B1248D" w:rsidRPr="006F3EB8" w14:paraId="288D9A85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5C76C2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&gt;70% above 50-DMA = broad uptrend (§3.4.2)</w:t>
            </w:r>
          </w:p>
        </w:tc>
        <w:tc>
          <w:tcPr>
            <w:tcW w:w="4320" w:type="dxa"/>
          </w:tcPr>
          <w:p w14:paraId="6C44DADF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Plots 1 &amp; 4: Bull regimes average 77.6% breadth</w:t>
            </w:r>
          </w:p>
        </w:tc>
      </w:tr>
      <w:tr w:rsidR="00B1248D" w:rsidRPr="006F3EB8" w14:paraId="63A46843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6D9D62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&lt;30% above 50-DMA = weakness (§3.4.2)</w:t>
            </w:r>
          </w:p>
        </w:tc>
        <w:tc>
          <w:tcPr>
            <w:tcW w:w="4320" w:type="dxa"/>
          </w:tcPr>
          <w:p w14:paraId="173B93DE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Plot 4: All Bear cluster points below 40% on Z-axis</w:t>
            </w:r>
          </w:p>
        </w:tc>
      </w:tr>
      <w:tr w:rsidR="00B1248D" w:rsidRPr="006F3EB8" w14:paraId="2C724FF7" w14:textId="77777777" w:rsidTr="006F3E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40D085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Multi-factor prevents look-ahead bias (§3.2.3)</w:t>
            </w:r>
          </w:p>
        </w:tc>
        <w:tc>
          <w:tcPr>
            <w:tcW w:w="4320" w:type="dxa"/>
          </w:tcPr>
          <w:p w14:paraId="128C53AA" w14:textId="77777777" w:rsidR="00B1248D" w:rsidRPr="006F3EB8" w:rsidRDefault="009C31C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Plot 3: No direct Bull↔Bear jumps — regimes evolve through intermediate states</w:t>
            </w:r>
          </w:p>
        </w:tc>
      </w:tr>
      <w:tr w:rsidR="00B1248D" w:rsidRPr="006F3EB8" w14:paraId="07ADE538" w14:textId="77777777" w:rsidTr="006F3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27AD7" w14:textId="77777777" w:rsidR="00B1248D" w:rsidRPr="006F3EB8" w:rsidRDefault="009C31C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Log returns improve volatility estimation (§3.5.1)</w:t>
            </w:r>
          </w:p>
        </w:tc>
        <w:tc>
          <w:tcPr>
            <w:tcW w:w="4320" w:type="dxa"/>
          </w:tcPr>
          <w:p w14:paraId="1ADF6838" w14:textId="77777777" w:rsidR="00B1248D" w:rsidRPr="006F3EB8" w:rsidRDefault="009C31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F3EB8">
              <w:rPr>
                <w:rFonts w:ascii="Times New Roman" w:hAnsi="Times New Roman" w:cs="Times New Roman"/>
                <w:color w:val="000000" w:themeColor="text1"/>
                <w:sz w:val="18"/>
              </w:rPr>
              <w:t>Plot 2: HMM produces near-binary posteriors — clean feature separation</w:t>
            </w:r>
          </w:p>
        </w:tc>
      </w:tr>
    </w:tbl>
    <w:p w14:paraId="353F43A7" w14:textId="77777777" w:rsidR="00B1248D" w:rsidRPr="006F3EB8" w:rsidRDefault="00B1248D">
      <w:pPr>
        <w:rPr>
          <w:rFonts w:ascii="Times New Roman" w:hAnsi="Times New Roman" w:cs="Times New Roman"/>
          <w:color w:val="000000" w:themeColor="text1"/>
        </w:rPr>
      </w:pPr>
    </w:p>
    <w:p w14:paraId="57131AE2" w14:textId="77777777" w:rsidR="00B1248D" w:rsidRPr="006F3EB8" w:rsidRDefault="009C31C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3EB8">
        <w:rPr>
          <w:rFonts w:ascii="Times New Roman" w:hAnsi="Times New Roman" w:cs="Times New Roman"/>
          <w:color w:val="000000" w:themeColor="text1"/>
          <w:sz w:val="24"/>
          <w:szCs w:val="24"/>
        </w:rPr>
        <w:t>Final Conclusions</w:t>
      </w:r>
    </w:p>
    <w:p w14:paraId="12FB394E" w14:textId="2616C7FB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Conclusion 1 </w:t>
      </w:r>
      <w:r w:rsidR="006F3EB8">
        <w:rPr>
          <w:rFonts w:ascii="Times New Roman" w:hAnsi="Times New Roman" w:cs="Times New Roman"/>
          <w:b/>
          <w:color w:val="000000" w:themeColor="text1"/>
        </w:rPr>
        <w:t>-</w:t>
      </w:r>
      <w:r w:rsidRPr="006F3EB8">
        <w:rPr>
          <w:rFonts w:ascii="Times New Roman" w:hAnsi="Times New Roman" w:cs="Times New Roman"/>
          <w:b/>
          <w:color w:val="000000" w:themeColor="text1"/>
        </w:rPr>
        <w:t xml:space="preserve"> Regime Persistence is Real and Quantifiable: </w:t>
      </w:r>
      <w:r w:rsidRPr="006F3EB8">
        <w:rPr>
          <w:rFonts w:ascii="Times New Roman" w:hAnsi="Times New Roman" w:cs="Times New Roman"/>
          <w:color w:val="000000" w:themeColor="text1"/>
        </w:rPr>
        <w:t>All five regimes exhibit strong autocorrelation (diagonal P ≥ 0.821). Bull markets are most persistent (P = 0.946, avg 18.4 days). Momentum signals during Bull have &gt;94% probability of remaining valid.</w:t>
      </w:r>
    </w:p>
    <w:p w14:paraId="4AD219B6" w14:textId="27D24048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Conclusion 2 </w:t>
      </w:r>
      <w:r w:rsidR="006F3EB8">
        <w:rPr>
          <w:rFonts w:ascii="Times New Roman" w:hAnsi="Times New Roman" w:cs="Times New Roman"/>
          <w:b/>
          <w:color w:val="000000" w:themeColor="text1"/>
        </w:rPr>
        <w:t>-</w:t>
      </w:r>
      <w:r w:rsidRPr="006F3EB8">
        <w:rPr>
          <w:rFonts w:ascii="Times New Roman" w:hAnsi="Times New Roman" w:cs="Times New Roman"/>
          <w:b/>
          <w:color w:val="000000" w:themeColor="text1"/>
        </w:rPr>
        <w:t xml:space="preserve"> Transitions are Orderly, Not Random: </w:t>
      </w:r>
      <w:r w:rsidRPr="006F3EB8">
        <w:rPr>
          <w:rFonts w:ascii="Times New Roman" w:hAnsi="Times New Roman" w:cs="Times New Roman"/>
          <w:color w:val="000000" w:themeColor="text1"/>
        </w:rPr>
        <w:t>The market never jumps from Bull to Bear directly. It always passes through intermediate states first, providing a leading indicator framework with asymmetric risk profiles.</w:t>
      </w:r>
    </w:p>
    <w:p w14:paraId="793133AE" w14:textId="2FBD3CED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Conclusion 3 </w:t>
      </w:r>
      <w:r w:rsidR="006F3EB8">
        <w:rPr>
          <w:rFonts w:ascii="Times New Roman" w:hAnsi="Times New Roman" w:cs="Times New Roman"/>
          <w:b/>
          <w:color w:val="000000" w:themeColor="text1"/>
        </w:rPr>
        <w:t>-</w:t>
      </w:r>
      <w:r w:rsidRPr="006F3EB8">
        <w:rPr>
          <w:rFonts w:ascii="Times New Roman" w:hAnsi="Times New Roman" w:cs="Times New Roman"/>
          <w:b/>
          <w:color w:val="000000" w:themeColor="text1"/>
        </w:rPr>
        <w:t xml:space="preserve"> Multi-Factor Approach is Superior: </w:t>
      </w:r>
      <w:r w:rsidRPr="006F3EB8">
        <w:rPr>
          <w:rFonts w:ascii="Times New Roman" w:hAnsi="Times New Roman" w:cs="Times New Roman"/>
          <w:color w:val="000000" w:themeColor="text1"/>
        </w:rPr>
        <w:t>No single indicator cleanly separates all five regimes. The combination of σ₃₀, momentum, and breadth creates well-separated clusters in the 3D feature space, validating §3.6.</w:t>
      </w:r>
    </w:p>
    <w:p w14:paraId="6F988EDF" w14:textId="1C122926" w:rsidR="00B1248D" w:rsidRPr="006F3EB8" w:rsidRDefault="009C31CB">
      <w:pPr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b/>
          <w:color w:val="000000" w:themeColor="text1"/>
        </w:rPr>
        <w:t xml:space="preserve">Conclusion 4 </w:t>
      </w:r>
      <w:r w:rsidR="006F3EB8">
        <w:rPr>
          <w:rFonts w:ascii="Times New Roman" w:hAnsi="Times New Roman" w:cs="Times New Roman"/>
          <w:b/>
          <w:color w:val="000000" w:themeColor="text1"/>
        </w:rPr>
        <w:t>-</w:t>
      </w:r>
      <w:r w:rsidRPr="006F3EB8">
        <w:rPr>
          <w:rFonts w:ascii="Times New Roman" w:hAnsi="Times New Roman" w:cs="Times New Roman"/>
          <w:b/>
          <w:color w:val="000000" w:themeColor="text1"/>
        </w:rPr>
        <w:t xml:space="preserve"> HMM Model is Well-Calibrated: </w:t>
      </w:r>
      <w:r w:rsidRPr="006F3EB8">
        <w:rPr>
          <w:rFonts w:ascii="Times New Roman" w:hAnsi="Times New Roman" w:cs="Times New Roman"/>
          <w:color w:val="000000" w:themeColor="text1"/>
        </w:rPr>
        <w:t>The 4-state Gaussian HMM produces near-binary posteriors (&gt;0.9). Ambiguous periods correspond to genuinely uncertain markets. Latent states align with rule-based classification.</w:t>
      </w:r>
    </w:p>
    <w:p w14:paraId="4AADFA2C" w14:textId="61D40ACE" w:rsidR="00B1248D" w:rsidRPr="006F3EB8" w:rsidRDefault="006F3EB8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</w:t>
      </w:r>
      <w:r w:rsidR="009C31CB" w:rsidRPr="006F3EB8">
        <w:rPr>
          <w:rFonts w:ascii="Times New Roman" w:hAnsi="Times New Roman" w:cs="Times New Roman"/>
          <w:color w:val="000000" w:themeColor="text1"/>
        </w:rPr>
        <w:t>. Implications for Strategy Design</w:t>
      </w:r>
    </w:p>
    <w:p w14:paraId="0F6338E3" w14:textId="77777777" w:rsidR="00B1248D" w:rsidRPr="006F3EB8" w:rsidRDefault="009C31CB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Momentum strategies (§3.2) should activate during Bull regimes (σ₃₀ &lt; 15%, breadth &gt; 70%, mom₃₀ &gt; 0) and deactivate upon Transition or Low Volatility signals.</w:t>
      </w:r>
    </w:p>
    <w:p w14:paraId="6C8A1A34" w14:textId="77777777" w:rsidR="00B1248D" w:rsidRPr="006F3EB8" w:rsidRDefault="009C31CB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Low-volatility screening (§3.5.3) is most effective during Low Volatility regimes where defensive positioning is appropriate.</w:t>
      </w:r>
    </w:p>
    <w:p w14:paraId="091C3082" w14:textId="77777777" w:rsidR="00B1248D" w:rsidRPr="006F3EB8" w:rsidRDefault="009C31CB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Risk management should escalate when the model signals a shift from Bull/Low-Vol to Transition, as Bear probability rises to 4.8% per day.</w:t>
      </w:r>
    </w:p>
    <w:p w14:paraId="526EF4E5" w14:textId="496F9496" w:rsidR="00B1248D" w:rsidRPr="006F3EB8" w:rsidRDefault="009C31CB" w:rsidP="006F3EB8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6F3EB8">
        <w:rPr>
          <w:rFonts w:ascii="Times New Roman" w:hAnsi="Times New Roman" w:cs="Times New Roman"/>
          <w:color w:val="000000" w:themeColor="text1"/>
        </w:rPr>
        <w:t>The High Volatility regime (σ₃₀ &gt; 20%) represents the highest-risk environment — reduce position sizes and widen stop-losses.</w:t>
      </w:r>
    </w:p>
    <w:sectPr w:rsidR="00B1248D" w:rsidRPr="006F3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805148">
    <w:abstractNumId w:val="8"/>
  </w:num>
  <w:num w:numId="2" w16cid:durableId="594447">
    <w:abstractNumId w:val="6"/>
  </w:num>
  <w:num w:numId="3" w16cid:durableId="568005788">
    <w:abstractNumId w:val="5"/>
  </w:num>
  <w:num w:numId="4" w16cid:durableId="1120341258">
    <w:abstractNumId w:val="4"/>
  </w:num>
  <w:num w:numId="5" w16cid:durableId="2094273633">
    <w:abstractNumId w:val="7"/>
  </w:num>
  <w:num w:numId="6" w16cid:durableId="923300355">
    <w:abstractNumId w:val="3"/>
  </w:num>
  <w:num w:numId="7" w16cid:durableId="2122145269">
    <w:abstractNumId w:val="2"/>
  </w:num>
  <w:num w:numId="8" w16cid:durableId="1181973054">
    <w:abstractNumId w:val="1"/>
  </w:num>
  <w:num w:numId="9" w16cid:durableId="75794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EB0"/>
    <w:rsid w:val="006F3EB8"/>
    <w:rsid w:val="00AA1D8D"/>
    <w:rsid w:val="00B124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CAD77A"/>
  <w14:defaultImageDpi w14:val="300"/>
  <w15:docId w15:val="{9D4A2577-3BDA-467F-9524-925A1E05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2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2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26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Prabhakar</cp:lastModifiedBy>
  <cp:revision>2</cp:revision>
  <dcterms:created xsi:type="dcterms:W3CDTF">2013-12-23T23:15:00Z</dcterms:created>
  <dcterms:modified xsi:type="dcterms:W3CDTF">2026-05-01T05:06:00Z</dcterms:modified>
  <cp:category/>
</cp:coreProperties>
</file>