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Task 2: Excel Analysis – Pivot Tables + Summary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Insights-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Phones are the top revenue-generating category, contributing approximately $1.71M, making them the strongest business-driving segment.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Copiers and Chairs are the second- and third-highest contributors, each generating over $1.5M in sales, indicating strong demand for office equipment and furniture.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Bookcases and Storage categories together contribute more than $2.6M, highlighting steady performance in storage-related products.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Low-ticket categories such as Labels, Fasteners, and Envelopes contribute less than $0.2M each, suggesting limited impact on overall revenue.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are heavily concentrated in a few top categories, with the top 5 categories accounting for a significant share of total sales, indicating opportunities for focused growth and optimization.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