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before="0" w:line="360" w:lineRule="auto"/>
        <w:jc w:val="left"/>
      </w:pPr>
    </w:p>
    <w:p>
      <w:pPr>
        <w:spacing w:after="120" w:before="0" w:line="360" w:lineRule="auto"/>
        <w:jc w:val="center"/>
      </w:pPr>
      <w:r>
        <w:rPr>
          <w:rFonts w:ascii="Times New Roman" w:hAnsi="Times New Roman" w:cs="Times New Roman"/>
          <w:b/>
          <w:i w:val="0"/>
          <w:sz w:val="36"/>
        </w:rPr>
        <w:t>INDIAN INSTITUTE OF MANAGEMENT ROHTAK</w:t>
      </w:r>
    </w:p>
    <w:p>
      <w:pPr>
        <w:spacing w:after="480" w:before="0" w:line="360" w:lineRule="auto"/>
        <w:jc w:val="center"/>
      </w:pPr>
      <w:r>
        <w:rPr>
          <w:rFonts w:ascii="Times New Roman" w:hAnsi="Times New Roman" w:cs="Times New Roman"/>
          <w:b w:val="0"/>
          <w:i/>
          <w:sz w:val="24"/>
        </w:rPr>
        <w:t>(IIM Rohtak)</w:t>
      </w:r>
    </w:p>
    <w:p>
      <w:pPr>
        <w:spacing w:after="40" w:before="0" w:line="360" w:lineRule="auto"/>
        <w:jc w:val="center"/>
      </w:pPr>
      <w:r>
        <w:rPr>
          <w:rFonts w:ascii="Times New Roman" w:hAnsi="Times New Roman" w:cs="Times New Roman"/>
          <w:b w:val="0"/>
          <w:i/>
          <w:sz w:val="24"/>
        </w:rPr>
        <w:t>Integrated Programme in Management — IPM-06</w:t>
      </w:r>
    </w:p>
    <w:p>
      <w:pPr>
        <w:spacing w:after="720" w:before="0" w:line="360" w:lineRule="auto"/>
        <w:jc w:val="center"/>
      </w:pPr>
      <w:r>
        <w:rPr>
          <w:rFonts w:ascii="Times New Roman" w:hAnsi="Times New Roman" w:cs="Times New Roman"/>
          <w:b w:val="0"/>
          <w:i/>
          <w:sz w:val="24"/>
        </w:rPr>
        <w:t>Term VI — Immersive Project (2024–2029)</w:t>
      </w:r>
    </w:p>
    <w:p>
      <w:pPr>
        <w:spacing w:after="360" w:before="0" w:line="360" w:lineRule="auto"/>
        <w:jc w:val="center"/>
      </w:pPr>
      <w:r>
        <w:rPr>
          <w:rFonts w:ascii="Times New Roman" w:hAnsi="Times New Roman" w:cs="Times New Roman"/>
          <w:b/>
          <w:i w:val="0"/>
          <w:sz w:val="32"/>
        </w:rPr>
        <w:t>FINAL PROJECT REPORT</w:t>
      </w:r>
    </w:p>
    <w:p>
      <w:pPr>
        <w:spacing w:after="120" w:before="0" w:line="360" w:lineRule="auto"/>
        <w:jc w:val="center"/>
      </w:pPr>
      <w:r>
        <w:rPr>
          <w:rFonts w:ascii="Times New Roman" w:hAnsi="Times New Roman" w:cs="Times New Roman"/>
          <w:b/>
          <w:i w:val="0"/>
          <w:sz w:val="28"/>
        </w:rPr>
        <w:t>The Convergence of Tokenized Deposits and Wholesale CBDCs:</w:t>
      </w:r>
    </w:p>
    <w:p>
      <w:pPr>
        <w:spacing w:after="960" w:before="0" w:line="360" w:lineRule="auto"/>
        <w:jc w:val="center"/>
      </w:pPr>
      <w:r>
        <w:rPr>
          <w:rFonts w:ascii="Times New Roman" w:hAnsi="Times New Roman" w:cs="Times New Roman"/>
          <w:b/>
          <w:i w:val="0"/>
          <w:sz w:val="28"/>
        </w:rPr>
        <w:t>A Comparative Analysis of Cross-Border Liquidity Efficiency (2025–2026)</w:t>
      </w:r>
    </w:p>
    <w:p>
      <w:pPr>
        <w:spacing w:after="80" w:before="0" w:line="360" w:lineRule="auto"/>
        <w:jc w:val="center"/>
      </w:pPr>
      <w:r>
        <w:rPr>
          <w:rFonts w:ascii="Times New Roman" w:hAnsi="Times New Roman" w:cs="Times New Roman"/>
          <w:b w:val="0"/>
          <w:i/>
          <w:sz w:val="24"/>
        </w:rPr>
        <w:t>Submitted by</w:t>
      </w:r>
    </w:p>
    <w:p>
      <w:pPr>
        <w:spacing w:after="40" w:before="0" w:line="360" w:lineRule="auto"/>
        <w:jc w:val="center"/>
      </w:pPr>
      <w:r>
        <w:rPr>
          <w:rFonts w:ascii="Times New Roman" w:hAnsi="Times New Roman" w:cs="Times New Roman"/>
          <w:b/>
          <w:i w:val="0"/>
          <w:sz w:val="26"/>
        </w:rPr>
        <w:t>Suryansh Namdeo</w:t>
      </w:r>
    </w:p>
    <w:p>
      <w:pPr>
        <w:spacing w:after="40" w:before="0" w:line="360" w:lineRule="auto"/>
        <w:jc w:val="center"/>
      </w:pPr>
      <w:r>
        <w:rPr>
          <w:rFonts w:ascii="Times New Roman" w:hAnsi="Times New Roman" w:cs="Times New Roman"/>
          <w:b w:val="0"/>
          <w:i w:val="0"/>
          <w:sz w:val="24"/>
        </w:rPr>
        <w:t>Roll No.: IPM06194</w:t>
      </w:r>
    </w:p>
    <w:p>
      <w:pPr>
        <w:spacing w:after="480" w:before="0" w:line="360" w:lineRule="auto"/>
        <w:jc w:val="center"/>
      </w:pPr>
      <w:r>
        <w:rPr>
          <w:rFonts w:ascii="Times New Roman" w:hAnsi="Times New Roman" w:cs="Times New Roman"/>
          <w:b w:val="0"/>
          <w:i w:val="0"/>
          <w:sz w:val="24"/>
        </w:rPr>
        <w:t>Programme: IPM (2nd Year), Batch 06, Section B</w:t>
      </w:r>
    </w:p>
    <w:p>
      <w:pPr>
        <w:spacing w:after="80" w:before="0" w:line="360" w:lineRule="auto"/>
        <w:jc w:val="center"/>
      </w:pPr>
      <w:r>
        <w:rPr>
          <w:rFonts w:ascii="Times New Roman" w:hAnsi="Times New Roman" w:cs="Times New Roman"/>
          <w:b w:val="0"/>
          <w:i/>
          <w:sz w:val="24"/>
        </w:rPr>
        <w:t>Under the Guidance of</w:t>
      </w:r>
    </w:p>
    <w:p>
      <w:pPr>
        <w:spacing w:after="40" w:before="0" w:line="360" w:lineRule="auto"/>
        <w:jc w:val="center"/>
      </w:pPr>
      <w:r>
        <w:rPr>
          <w:rFonts w:ascii="Times New Roman" w:hAnsi="Times New Roman" w:cs="Times New Roman"/>
          <w:b/>
          <w:i w:val="0"/>
          <w:sz w:val="26"/>
        </w:rPr>
        <w:t>Dr. Sarit Biswas</w:t>
      </w:r>
    </w:p>
    <w:p>
      <w:pPr>
        <w:spacing w:after="40" w:before="0" w:line="360" w:lineRule="auto"/>
        <w:jc w:val="center"/>
      </w:pPr>
      <w:r>
        <w:rPr>
          <w:rFonts w:ascii="Times New Roman" w:hAnsi="Times New Roman" w:cs="Times New Roman"/>
          <w:b w:val="0"/>
          <w:i w:val="0"/>
          <w:sz w:val="24"/>
        </w:rPr>
        <w:t>Chairperson, Executive Education — Finance</w:t>
      </w:r>
    </w:p>
    <w:p>
      <w:pPr>
        <w:spacing w:after="720" w:before="0" w:line="360" w:lineRule="auto"/>
        <w:jc w:val="center"/>
      </w:pPr>
      <w:r>
        <w:rPr>
          <w:rFonts w:ascii="Times New Roman" w:hAnsi="Times New Roman" w:cs="Times New Roman"/>
          <w:b w:val="0"/>
          <w:i w:val="0"/>
          <w:sz w:val="24"/>
        </w:rPr>
        <w:t>Indian Institute of Management Rohtak</w:t>
      </w:r>
    </w:p>
    <w:p>
      <w:pPr>
        <w:spacing w:after="0" w:before="0" w:line="360" w:lineRule="auto"/>
        <w:jc w:val="center"/>
      </w:pPr>
      <w:r>
        <w:rPr>
          <w:rFonts w:ascii="Times New Roman" w:hAnsi="Times New Roman" w:cs="Times New Roman"/>
          <w:b w:val="0"/>
          <w:i/>
          <w:sz w:val="24"/>
        </w:rPr>
        <w:t>Date of Final Submission: 01 June 2026</w:t>
      </w:r>
    </w:p>
    <w:p>
      <w:r>
        <w:br w:type="page"/>
      </w:r>
    </w:p>
    <w:p>
      <w:pPr>
        <w:spacing w:before="240" w:after="240" w:line="360" w:lineRule="auto"/>
        <w:jc w:val="center"/>
      </w:pPr>
      <w:r>
        <w:rPr>
          <w:rFonts w:ascii="Times New Roman" w:hAnsi="Times New Roman" w:cs="Times New Roman"/>
          <w:b/>
          <w:i w:val="0"/>
          <w:sz w:val="28"/>
        </w:rPr>
        <w:t>CERTIFICATE OF ORIGINALITY</w:t>
      </w:r>
    </w:p>
    <w:p>
      <w:pPr>
        <w:spacing w:after="0" w:before="0" w:line="360" w:lineRule="auto"/>
        <w:ind w:firstLine="720"/>
        <w:jc w:val="left"/>
      </w:pPr>
      <w:r>
        <w:rPr>
          <w:rFonts w:ascii="Times New Roman" w:hAnsi="Times New Roman" w:cs="Times New Roman"/>
          <w:b w:val="0"/>
          <w:i w:val="0"/>
          <w:sz w:val="24"/>
        </w:rPr>
        <w:t>I, Suryansh Namdeo, hereby declare that this final report titled "The Convergence of Tokenized Deposits and Wholesale CBDCs: A Comparative Analysis of Cross-Border Liquidity Efficiency (2025–2026)" is the outcome of my own research work, carried out under the guidance of Dr. Sarit Biswas, Chairperson — Executive Education (Finance), Indian Institute of Management Rohtak, as part of the Term VI Immersive Project requirement of the Integrated Programme in Management.</w:t>
      </w:r>
    </w:p>
    <w:p>
      <w:pPr>
        <w:spacing w:after="0" w:before="0" w:line="360" w:lineRule="auto"/>
        <w:ind w:firstLine="720"/>
        <w:jc w:val="left"/>
      </w:pPr>
      <w:r>
        <w:rPr>
          <w:rFonts w:ascii="Times New Roman" w:hAnsi="Times New Roman" w:cs="Times New Roman"/>
          <w:b w:val="0"/>
          <w:i w:val="0"/>
          <w:sz w:val="24"/>
        </w:rPr>
        <w:t>Every source used in this report has been duly acknowledged in accordance with APA 7th Edition citation conventions. No portion of this report has been copied from any other document, published or unpublished, without due citation. The work has not been submitted earlier, in full or in part, for the award of any other degree, diploma, or certificate.</w:t>
      </w:r>
    </w:p>
    <w:p>
      <w:pPr>
        <w:spacing w:after="0" w:before="0" w:line="360" w:lineRule="auto"/>
        <w:ind w:firstLine="720"/>
        <w:jc w:val="left"/>
      </w:pPr>
      <w:r>
        <w:rPr>
          <w:rFonts w:ascii="Times New Roman" w:hAnsi="Times New Roman" w:cs="Times New Roman"/>
          <w:b w:val="0"/>
          <w:i w:val="0"/>
          <w:sz w:val="24"/>
        </w:rPr>
        <w:t>I further declare that the quantitative results presented in this report are derived from publicly available sources and transparent, illustrative simulation assumptions. No confidential bank data, corporate treasury data, interview data, or survey data is claimed; the informal background conversations referenced in the Acknowledgement were conducted under Chatham House conventions and have not been attributed.</w:t>
      </w:r>
    </w:p>
    <w:p>
      <w:pPr>
        <w:spacing w:after="480" w:before="0" w:line="360" w:lineRule="auto"/>
        <w:jc w:val="left"/>
      </w:pPr>
    </w:p>
    <w:p>
      <w:pPr>
        <w:spacing w:after="40" w:before="0" w:line="360" w:lineRule="auto"/>
        <w:jc w:val="left"/>
      </w:pPr>
      <w:r>
        <w:rPr>
          <w:rFonts w:ascii="Times New Roman" w:hAnsi="Times New Roman" w:cs="Times New Roman"/>
          <w:b w:val="0"/>
          <w:i w:val="0"/>
          <w:sz w:val="24"/>
        </w:rPr>
        <w:t>____________________________________</w:t>
      </w:r>
    </w:p>
    <w:p>
      <w:pPr>
        <w:spacing w:after="40" w:before="0" w:line="360" w:lineRule="auto"/>
        <w:jc w:val="left"/>
      </w:pPr>
      <w:r>
        <w:rPr>
          <w:rFonts w:ascii="Times New Roman" w:hAnsi="Times New Roman" w:cs="Times New Roman"/>
          <w:b/>
          <w:i w:val="0"/>
          <w:sz w:val="24"/>
        </w:rPr>
        <w:t>Suryansh Namdeo</w:t>
      </w:r>
    </w:p>
    <w:p>
      <w:pPr>
        <w:spacing w:after="40" w:before="0" w:line="360" w:lineRule="auto"/>
        <w:jc w:val="left"/>
      </w:pPr>
      <w:r>
        <w:rPr>
          <w:rFonts w:ascii="Times New Roman" w:hAnsi="Times New Roman" w:cs="Times New Roman"/>
          <w:b w:val="0"/>
          <w:i w:val="0"/>
          <w:sz w:val="24"/>
        </w:rPr>
        <w:t>Roll No.: IPM06194  |  IPM-06, Section B</w:t>
      </w:r>
    </w:p>
    <w:p>
      <w:pPr>
        <w:spacing w:after="360" w:before="0" w:line="360" w:lineRule="auto"/>
        <w:jc w:val="left"/>
      </w:pPr>
      <w:r>
        <w:rPr>
          <w:rFonts w:ascii="Times New Roman" w:hAnsi="Times New Roman" w:cs="Times New Roman"/>
          <w:b w:val="0"/>
          <w:i w:val="0"/>
          <w:sz w:val="24"/>
        </w:rPr>
        <w:t>Date: 01 June 2026</w:t>
      </w:r>
    </w:p>
    <w:p>
      <w:pPr>
        <w:spacing w:after="40" w:before="0" w:line="360" w:lineRule="auto"/>
        <w:jc w:val="left"/>
      </w:pPr>
      <w:r>
        <w:rPr>
          <w:rFonts w:ascii="Times New Roman" w:hAnsi="Times New Roman" w:cs="Times New Roman"/>
          <w:b w:val="0"/>
          <w:i w:val="0"/>
          <w:sz w:val="24"/>
        </w:rPr>
        <w:t>____________________________________</w:t>
      </w:r>
    </w:p>
    <w:p>
      <w:pPr>
        <w:spacing w:after="40" w:before="0" w:line="360" w:lineRule="auto"/>
        <w:jc w:val="left"/>
      </w:pPr>
      <w:r>
        <w:rPr>
          <w:rFonts w:ascii="Times New Roman" w:hAnsi="Times New Roman" w:cs="Times New Roman"/>
          <w:b/>
          <w:i w:val="0"/>
          <w:sz w:val="24"/>
        </w:rPr>
        <w:t>Dr. Sarit Biswas</w:t>
      </w:r>
    </w:p>
    <w:p>
      <w:pPr>
        <w:spacing w:after="40" w:before="0" w:line="360" w:lineRule="auto"/>
        <w:jc w:val="left"/>
      </w:pPr>
      <w:r>
        <w:rPr>
          <w:rFonts w:ascii="Times New Roman" w:hAnsi="Times New Roman" w:cs="Times New Roman"/>
          <w:b w:val="0"/>
          <w:i w:val="0"/>
          <w:sz w:val="24"/>
        </w:rPr>
        <w:t>Chairperson, Executive Education — Finance</w:t>
      </w:r>
    </w:p>
    <w:p>
      <w:pPr>
        <w:spacing w:after="40" w:before="0" w:line="360" w:lineRule="auto"/>
        <w:jc w:val="left"/>
      </w:pPr>
      <w:r>
        <w:rPr>
          <w:rFonts w:ascii="Times New Roman" w:hAnsi="Times New Roman" w:cs="Times New Roman"/>
          <w:b w:val="0"/>
          <w:i w:val="0"/>
          <w:sz w:val="24"/>
        </w:rPr>
        <w:t>Indian Institute of Management Rohtak</w:t>
      </w:r>
    </w:p>
    <w:p>
      <w:pPr>
        <w:spacing w:after="40" w:before="0" w:line="360" w:lineRule="auto"/>
        <w:jc w:val="left"/>
      </w:pPr>
      <w:r>
        <w:rPr>
          <w:rFonts w:ascii="Times New Roman" w:hAnsi="Times New Roman" w:cs="Times New Roman"/>
          <w:b w:val="0"/>
          <w:i w:val="0"/>
          <w:sz w:val="24"/>
        </w:rPr>
        <w:t>Date: 01 June 2026</w:t>
      </w:r>
    </w:p>
    <w:p>
      <w:r>
        <w:br w:type="page"/>
      </w:r>
    </w:p>
    <w:p>
      <w:pPr>
        <w:spacing w:before="240" w:after="240" w:line="360" w:lineRule="auto"/>
        <w:jc w:val="center"/>
      </w:pPr>
      <w:r>
        <w:rPr>
          <w:rFonts w:ascii="Times New Roman" w:hAnsi="Times New Roman" w:cs="Times New Roman"/>
          <w:b/>
          <w:i w:val="0"/>
          <w:sz w:val="28"/>
        </w:rPr>
        <w:t>ACKNOWLEDGEMENT</w:t>
      </w:r>
    </w:p>
    <w:p>
      <w:pPr>
        <w:spacing w:after="0" w:before="0" w:line="360" w:lineRule="auto"/>
        <w:ind w:firstLine="720"/>
        <w:jc w:val="left"/>
      </w:pPr>
      <w:r>
        <w:rPr>
          <w:rFonts w:ascii="Times New Roman" w:hAnsi="Times New Roman" w:cs="Times New Roman"/>
          <w:b w:val="0"/>
          <w:i w:val="0"/>
          <w:sz w:val="24"/>
        </w:rPr>
        <w:t>Any undertaking of this scale cannot be completed in isolation. This report owes much to the honest engagement and forward-looking guidance of several individuals to whom I remain deeply indebted.</w:t>
      </w:r>
    </w:p>
    <w:p>
      <w:pPr>
        <w:spacing w:after="0" w:before="0" w:line="360" w:lineRule="auto"/>
        <w:ind w:firstLine="720"/>
        <w:jc w:val="left"/>
      </w:pPr>
      <w:r>
        <w:rPr>
          <w:rFonts w:ascii="Times New Roman" w:hAnsi="Times New Roman" w:cs="Times New Roman"/>
          <w:b w:val="0"/>
          <w:i w:val="0"/>
          <w:sz w:val="24"/>
        </w:rPr>
        <w:t>First, I record my sincere gratitude to Dr. Sarit Biswas, Chairperson — Executive Education (Finance), Indian Institute of Management Rohtak, whose patient supervision shaped both the research question and the limits of what could be claimed. His willingness to push back on preliminary drafts, to demand precision where my exposition drifted into jargon, and to reinforce the discipline of writing for an MNC treasurer rather than a fellow academic, lent the study an edge it would otherwise have lacked.</w:t>
      </w:r>
    </w:p>
    <w:p>
      <w:pPr>
        <w:spacing w:after="0" w:before="0" w:line="360" w:lineRule="auto"/>
        <w:ind w:firstLine="720"/>
        <w:jc w:val="left"/>
      </w:pPr>
      <w:r>
        <w:rPr>
          <w:rFonts w:ascii="Times New Roman" w:hAnsi="Times New Roman" w:cs="Times New Roman"/>
          <w:b w:val="0"/>
          <w:i w:val="0"/>
          <w:sz w:val="24"/>
        </w:rPr>
        <w:t>Second, I acknowledge the intellectual scaffolding developed across the five preceding terms of the Integrated Programme in Management by the Finance and Accounting Area faculty at IIM Rohtak. Classroom discussions on market microstructure, settlement finality, and Basel III liquidity regulation seeded several of the conceptual pillars that appear in Chapters 2 and 3 of this report.</w:t>
      </w:r>
    </w:p>
    <w:p>
      <w:pPr>
        <w:spacing w:after="0" w:before="0" w:line="360" w:lineRule="auto"/>
        <w:ind w:firstLine="720"/>
        <w:jc w:val="left"/>
      </w:pPr>
      <w:r>
        <w:rPr>
          <w:rFonts w:ascii="Times New Roman" w:hAnsi="Times New Roman" w:cs="Times New Roman"/>
          <w:b w:val="0"/>
          <w:i w:val="0"/>
          <w:sz w:val="24"/>
        </w:rPr>
        <w:t>Third, the Programme Office of IPM-06 provided timely administrative support, library database access, and adherence to interim and final submission timelines. The library staff in particular facilitated inter-library loans of three Bank for International Settlements Innovation Hub working papers without which the comparative architecture analysis would have been incomplete.</w:t>
      </w:r>
    </w:p>
    <w:p>
      <w:pPr>
        <w:spacing w:after="0" w:before="0" w:line="360" w:lineRule="auto"/>
        <w:ind w:firstLine="720"/>
        <w:jc w:val="left"/>
      </w:pPr>
      <w:r>
        <w:rPr>
          <w:rFonts w:ascii="Times New Roman" w:hAnsi="Times New Roman" w:cs="Times New Roman"/>
          <w:b w:val="0"/>
          <w:i w:val="0"/>
          <w:sz w:val="24"/>
        </w:rPr>
        <w:t>Beyond the institute, a small group of practitioners — one senior treasury professional at an Indian multinational and two researchers familiar with BIS-adjacent policy work — consented to informal background conversations under Chatham House conventions. While these inputs are not directly attributed, they have informed the scoping decisions in Chapter 3 and the corridor selections throughout.</w:t>
      </w:r>
    </w:p>
    <w:p>
      <w:pPr>
        <w:spacing w:after="0" w:before="0" w:line="360" w:lineRule="auto"/>
        <w:ind w:firstLine="720"/>
        <w:jc w:val="left"/>
      </w:pPr>
      <w:r>
        <w:rPr>
          <w:rFonts w:ascii="Times New Roman" w:hAnsi="Times New Roman" w:cs="Times New Roman"/>
          <w:b w:val="0"/>
          <w:i w:val="0"/>
          <w:sz w:val="24"/>
        </w:rPr>
        <w:t>Finally, to my family and my IPM-06 cohort, I owe thanks for the patient listening, the late-night discussions on distributed ledger technology, and the steady companionship through the term. Any errors that remain in this report are, naturally, my own.</w:t>
      </w:r>
    </w:p>
    <w:p>
      <w:pPr>
        <w:spacing w:after="360" w:before="0" w:line="360" w:lineRule="auto"/>
        <w:jc w:val="left"/>
      </w:pPr>
    </w:p>
    <w:p>
      <w:pPr>
        <w:spacing w:after="40" w:before="0" w:line="360" w:lineRule="auto"/>
        <w:jc w:val="right"/>
      </w:pPr>
      <w:r>
        <w:rPr>
          <w:rFonts w:ascii="Times New Roman" w:hAnsi="Times New Roman" w:cs="Times New Roman"/>
          <w:b/>
          <w:i w:val="0"/>
          <w:sz w:val="24"/>
        </w:rPr>
        <w:t>Suryansh Namdeo</w:t>
      </w:r>
    </w:p>
    <w:p>
      <w:pPr>
        <w:spacing w:after="0" w:before="0" w:line="360" w:lineRule="auto"/>
        <w:jc w:val="right"/>
      </w:pPr>
      <w:r>
        <w:rPr>
          <w:rFonts w:ascii="Times New Roman" w:hAnsi="Times New Roman" w:cs="Times New Roman"/>
          <w:b w:val="0"/>
          <w:i/>
          <w:sz w:val="24"/>
        </w:rPr>
        <w:t>01 June 2026</w:t>
      </w:r>
    </w:p>
    <w:p>
      <w:r>
        <w:br w:type="page"/>
      </w:r>
    </w:p>
    <w:p>
      <w:pPr>
        <w:spacing w:before="240" w:after="240" w:line="360" w:lineRule="auto"/>
        <w:jc w:val="center"/>
      </w:pPr>
      <w:r>
        <w:rPr>
          <w:rFonts w:ascii="Times New Roman" w:hAnsi="Times New Roman" w:cs="Times New Roman"/>
          <w:b/>
          <w:i w:val="0"/>
          <w:sz w:val="28"/>
        </w:rPr>
        <w:t>ABSTRACT</w:t>
      </w:r>
    </w:p>
    <w:p>
      <w:pPr>
        <w:spacing w:after="0" w:before="0" w:line="360" w:lineRule="auto"/>
        <w:ind w:firstLine="720"/>
        <w:jc w:val="left"/>
      </w:pPr>
      <w:r>
        <w:rPr>
          <w:rFonts w:ascii="Times New Roman" w:hAnsi="Times New Roman" w:cs="Times New Roman"/>
          <w:b w:val="0"/>
          <w:i w:val="0"/>
          <w:sz w:val="24"/>
        </w:rPr>
        <w:t>Cross-border wholesale payments continue to depend on a correspondent-banking architecture characterised by T+2 settlement, pre-funded nostro accounts, and sequential SWIFT messaging. Two emerging classes of digital money — tokenized commercial-bank deposits and wholesale Central Bank Digital Currencies (wCBDCs) — are being piloted as candidate successors. This study investigates the corporate-treasury question that follows their convergence: how much liquidity efficiency, measured at the multinational corporation (MNC) level, becomes recoverable when both forms of digital money operate on a shared programmable ledger?</w:t>
      </w:r>
    </w:p>
    <w:p>
      <w:pPr>
        <w:spacing w:after="0" w:before="0" w:line="360" w:lineRule="auto"/>
        <w:ind w:firstLine="720"/>
        <w:jc w:val="left"/>
      </w:pPr>
      <w:r>
        <w:rPr>
          <w:rFonts w:ascii="Times New Roman" w:hAnsi="Times New Roman" w:cs="Times New Roman"/>
          <w:b w:val="0"/>
          <w:i w:val="0"/>
          <w:sz w:val="24"/>
        </w:rPr>
        <w:t>A quantitative-dominant mixed-methods design is implemented in three phases. Phase I parameterises a T+2 SWIFT baseline across USD/EUR, USD/JPY, and USD/INR corridors using BIS Committee on Payments and Market Infrastructures (CPMI) statistics for 2023–2025. Phase II re-runs the same transactions under a T+0 atomic-settlement architecture inspired by Project Agora. Phase III triangulates findings through three structured case studies: Project Agora, J.P. Morgan Onyx, and an illustrative Indian MNC calibrated to Reserve Bank of India (RBI) CBDC pilot data. Two indicators are computed: Reduction in Settlement Risk Exposure (RRSE) and Capital Cost Savings (CCS).</w:t>
      </w:r>
    </w:p>
    <w:p>
      <w:pPr>
        <w:spacing w:after="0" w:before="0" w:line="360" w:lineRule="auto"/>
        <w:ind w:firstLine="720"/>
        <w:jc w:val="left"/>
      </w:pPr>
      <w:r>
        <w:rPr>
          <w:rFonts w:ascii="Times New Roman" w:hAnsi="Times New Roman" w:cs="Times New Roman"/>
          <w:b w:val="0"/>
          <w:i w:val="0"/>
          <w:sz w:val="24"/>
        </w:rPr>
        <w:t>The illustrative base case yields RRSE close to 99% across all corridors and annual CCS of approximately USD 0.60 million per USD 1 billion of migrated notional for USD/EUR and USD/JPY, rising to USD 1.20 million for USD/INR. Sensitivity analysis identifies the HQLA treatment of tokenized deposits, the speed of multilateral adoption, and the design of liquidity-saving mechanisms as the principal mediators of realised efficiency gains. The study contributes a first corridor-level quantification of the corporate cost of the Interoperability Gap, an empirical reading of the Unified Ledger thesis (Carstens, 2023), and a calibrated positioning of the Indian financial system.</w:t>
      </w:r>
    </w:p>
    <w:p>
      <w:pPr>
        <w:spacing w:line="360" w:lineRule="auto" w:before="160"/>
        <w:ind w:firstLine="720"/>
      </w:pPr>
      <w:r>
        <w:rPr>
          <w:rFonts w:ascii="Times New Roman" w:hAnsi="Times New Roman" w:cs="Times New Roman"/>
          <w:b w:val="0"/>
          <w:i/>
          <w:sz w:val="24"/>
        </w:rPr>
        <w:t xml:space="preserve">Keywords: </w:t>
      </w:r>
      <w:r>
        <w:rPr>
          <w:rFonts w:ascii="Times New Roman" w:hAnsi="Times New Roman" w:cs="Times New Roman"/>
          <w:b w:val="0"/>
          <w:i w:val="0"/>
          <w:sz w:val="24"/>
        </w:rPr>
        <w:t>tokenized deposits, wholesale CBDC, cross-border payments, settlement risk, liquidity efficiency, Project Agora, digital rupee, Unified Ledger, RRSE, CCS</w:t>
      </w:r>
    </w:p>
    <w:p>
      <w:r>
        <w:br w:type="page"/>
      </w:r>
    </w:p>
    <w:p>
      <w:pPr>
        <w:spacing w:before="240" w:after="240" w:line="360" w:lineRule="auto"/>
        <w:jc w:val="center"/>
      </w:pPr>
      <w:r>
        <w:rPr>
          <w:rFonts w:ascii="Times New Roman" w:hAnsi="Times New Roman" w:cs="Times New Roman"/>
          <w:b/>
          <w:i w:val="0"/>
          <w:sz w:val="28"/>
        </w:rPr>
        <w:t>LIST OF ABBREVIATIONS</w:t>
      </w:r>
    </w:p>
    <w:p>
      <w:pPr>
        <w:spacing w:after="120" w:before="0" w:line="360" w:lineRule="auto"/>
        <w:jc w:val="left"/>
      </w:pPr>
    </w:p>
    <w:tbl>
      <w:tblPr>
        <w:tblStyle w:val="LightGrid-Accent1"/>
        <w:tblW w:type="auto" w:w="0"/>
        <w:jc w:val="center"/>
        <w:tblLook w:firstColumn="1" w:firstRow="1" w:lastColumn="0" w:lastRow="0" w:noHBand="0" w:noVBand="1" w:val="04A0"/>
      </w:tblPr>
      <w:tblGrid>
        <w:gridCol w:w="4320"/>
        <w:gridCol w:w="4320"/>
      </w:tblGrid>
      <w:tr>
        <w:tc>
          <w:tcPr>
            <w:tcW w:type="dxa" w:w="2304"/>
          </w:tcPr>
          <w:p>
            <w:pPr>
              <w:spacing w:line="240" w:lineRule="auto"/>
            </w:pPr>
            <w:r/>
            <w:r>
              <w:rPr>
                <w:rFonts w:ascii="Times New Roman" w:hAnsi="Times New Roman" w:cs="Times New Roman"/>
                <w:b/>
                <w:i w:val="0"/>
                <w:sz w:val="22"/>
              </w:rPr>
              <w:t>Abbreviation</w:t>
            </w:r>
          </w:p>
        </w:tc>
        <w:tc>
          <w:tcPr>
            <w:tcW w:type="dxa" w:w="6336"/>
          </w:tcPr>
          <w:p>
            <w:pPr>
              <w:spacing w:line="240" w:lineRule="auto"/>
            </w:pPr>
            <w:r/>
            <w:r>
              <w:rPr>
                <w:rFonts w:ascii="Times New Roman" w:hAnsi="Times New Roman" w:cs="Times New Roman"/>
                <w:b/>
                <w:i w:val="0"/>
                <w:sz w:val="22"/>
              </w:rPr>
              <w:t>Expansion</w:t>
            </w:r>
          </w:p>
        </w:tc>
      </w:tr>
      <w:tr>
        <w:tc>
          <w:tcPr>
            <w:tcW w:type="dxa" w:w="2304"/>
          </w:tcPr>
          <w:p>
            <w:pPr>
              <w:spacing w:line="240" w:lineRule="auto"/>
            </w:pPr>
            <w:r/>
            <w:r>
              <w:rPr>
                <w:rFonts w:ascii="Times New Roman" w:hAnsi="Times New Roman" w:cs="Times New Roman"/>
                <w:b w:val="0"/>
                <w:i w:val="0"/>
                <w:sz w:val="22"/>
              </w:rPr>
              <w:t>BCBS</w:t>
            </w:r>
          </w:p>
        </w:tc>
        <w:tc>
          <w:tcPr>
            <w:tcW w:type="dxa" w:w="6336"/>
          </w:tcPr>
          <w:p>
            <w:pPr>
              <w:spacing w:line="240" w:lineRule="auto"/>
            </w:pPr>
            <w:r/>
            <w:r>
              <w:rPr>
                <w:rFonts w:ascii="Times New Roman" w:hAnsi="Times New Roman" w:cs="Times New Roman"/>
                <w:b w:val="0"/>
                <w:i w:val="0"/>
                <w:sz w:val="22"/>
              </w:rPr>
              <w:t>Basel Committee on Banking Supervision</w:t>
            </w:r>
          </w:p>
        </w:tc>
      </w:tr>
      <w:tr>
        <w:tc>
          <w:tcPr>
            <w:tcW w:type="dxa" w:w="2304"/>
          </w:tcPr>
          <w:p>
            <w:pPr>
              <w:spacing w:line="240" w:lineRule="auto"/>
            </w:pPr>
            <w:r/>
            <w:r>
              <w:rPr>
                <w:rFonts w:ascii="Times New Roman" w:hAnsi="Times New Roman" w:cs="Times New Roman"/>
                <w:b w:val="0"/>
                <w:i w:val="0"/>
                <w:sz w:val="22"/>
              </w:rPr>
              <w:t>BIS</w:t>
            </w:r>
          </w:p>
        </w:tc>
        <w:tc>
          <w:tcPr>
            <w:tcW w:type="dxa" w:w="6336"/>
          </w:tcPr>
          <w:p>
            <w:pPr>
              <w:spacing w:line="240" w:lineRule="auto"/>
            </w:pPr>
            <w:r/>
            <w:r>
              <w:rPr>
                <w:rFonts w:ascii="Times New Roman" w:hAnsi="Times New Roman" w:cs="Times New Roman"/>
                <w:b w:val="0"/>
                <w:i w:val="0"/>
                <w:sz w:val="22"/>
              </w:rPr>
              <w:t>Bank for International Settlements</w:t>
            </w:r>
          </w:p>
        </w:tc>
      </w:tr>
      <w:tr>
        <w:tc>
          <w:tcPr>
            <w:tcW w:type="dxa" w:w="2304"/>
          </w:tcPr>
          <w:p>
            <w:pPr>
              <w:spacing w:line="240" w:lineRule="auto"/>
            </w:pPr>
            <w:r/>
            <w:r>
              <w:rPr>
                <w:rFonts w:ascii="Times New Roman" w:hAnsi="Times New Roman" w:cs="Times New Roman"/>
                <w:b w:val="0"/>
                <w:i w:val="0"/>
                <w:sz w:val="22"/>
              </w:rPr>
              <w:t>CBDC</w:t>
            </w:r>
          </w:p>
        </w:tc>
        <w:tc>
          <w:tcPr>
            <w:tcW w:type="dxa" w:w="6336"/>
          </w:tcPr>
          <w:p>
            <w:pPr>
              <w:spacing w:line="240" w:lineRule="auto"/>
            </w:pPr>
            <w:r/>
            <w:r>
              <w:rPr>
                <w:rFonts w:ascii="Times New Roman" w:hAnsi="Times New Roman" w:cs="Times New Roman"/>
                <w:b w:val="0"/>
                <w:i w:val="0"/>
                <w:sz w:val="22"/>
              </w:rPr>
              <w:t>Central Bank Digital Currency</w:t>
            </w:r>
          </w:p>
        </w:tc>
      </w:tr>
      <w:tr>
        <w:tc>
          <w:tcPr>
            <w:tcW w:type="dxa" w:w="2304"/>
          </w:tcPr>
          <w:p>
            <w:pPr>
              <w:spacing w:line="240" w:lineRule="auto"/>
            </w:pPr>
            <w:r/>
            <w:r>
              <w:rPr>
                <w:rFonts w:ascii="Times New Roman" w:hAnsi="Times New Roman" w:cs="Times New Roman"/>
                <w:b w:val="0"/>
                <w:i w:val="0"/>
                <w:sz w:val="22"/>
              </w:rPr>
              <w:t>CCS</w:t>
            </w:r>
          </w:p>
        </w:tc>
        <w:tc>
          <w:tcPr>
            <w:tcW w:type="dxa" w:w="6336"/>
          </w:tcPr>
          <w:p>
            <w:pPr>
              <w:spacing w:line="240" w:lineRule="auto"/>
            </w:pPr>
            <w:r/>
            <w:r>
              <w:rPr>
                <w:rFonts w:ascii="Times New Roman" w:hAnsi="Times New Roman" w:cs="Times New Roman"/>
                <w:b w:val="0"/>
                <w:i w:val="0"/>
                <w:sz w:val="22"/>
              </w:rPr>
              <w:t>Capital Cost Savings</w:t>
            </w:r>
          </w:p>
        </w:tc>
      </w:tr>
      <w:tr>
        <w:tc>
          <w:tcPr>
            <w:tcW w:type="dxa" w:w="2304"/>
          </w:tcPr>
          <w:p>
            <w:pPr>
              <w:spacing w:line="240" w:lineRule="auto"/>
            </w:pPr>
            <w:r/>
            <w:r>
              <w:rPr>
                <w:rFonts w:ascii="Times New Roman" w:hAnsi="Times New Roman" w:cs="Times New Roman"/>
                <w:b w:val="0"/>
                <w:i w:val="0"/>
                <w:sz w:val="22"/>
              </w:rPr>
              <w:t>CLS</w:t>
            </w:r>
          </w:p>
        </w:tc>
        <w:tc>
          <w:tcPr>
            <w:tcW w:type="dxa" w:w="6336"/>
          </w:tcPr>
          <w:p>
            <w:pPr>
              <w:spacing w:line="240" w:lineRule="auto"/>
            </w:pPr>
            <w:r/>
            <w:r>
              <w:rPr>
                <w:rFonts w:ascii="Times New Roman" w:hAnsi="Times New Roman" w:cs="Times New Roman"/>
                <w:b w:val="0"/>
                <w:i w:val="0"/>
                <w:sz w:val="22"/>
              </w:rPr>
              <w:t>Continuous Linked Settlement</w:t>
            </w:r>
          </w:p>
        </w:tc>
      </w:tr>
      <w:tr>
        <w:tc>
          <w:tcPr>
            <w:tcW w:type="dxa" w:w="2304"/>
          </w:tcPr>
          <w:p>
            <w:pPr>
              <w:spacing w:line="240" w:lineRule="auto"/>
            </w:pPr>
            <w:r/>
            <w:r>
              <w:rPr>
                <w:rFonts w:ascii="Times New Roman" w:hAnsi="Times New Roman" w:cs="Times New Roman"/>
                <w:b w:val="0"/>
                <w:i w:val="0"/>
                <w:sz w:val="22"/>
              </w:rPr>
              <w:t>CPMI</w:t>
            </w:r>
          </w:p>
        </w:tc>
        <w:tc>
          <w:tcPr>
            <w:tcW w:type="dxa" w:w="6336"/>
          </w:tcPr>
          <w:p>
            <w:pPr>
              <w:spacing w:line="240" w:lineRule="auto"/>
            </w:pPr>
            <w:r/>
            <w:r>
              <w:rPr>
                <w:rFonts w:ascii="Times New Roman" w:hAnsi="Times New Roman" w:cs="Times New Roman"/>
                <w:b w:val="0"/>
                <w:i w:val="0"/>
                <w:sz w:val="22"/>
              </w:rPr>
              <w:t>Committee on Payments and Market Infrastructures</w:t>
            </w:r>
          </w:p>
        </w:tc>
      </w:tr>
      <w:tr>
        <w:tc>
          <w:tcPr>
            <w:tcW w:type="dxa" w:w="2304"/>
          </w:tcPr>
          <w:p>
            <w:pPr>
              <w:spacing w:line="240" w:lineRule="auto"/>
            </w:pPr>
            <w:r/>
            <w:r>
              <w:rPr>
                <w:rFonts w:ascii="Times New Roman" w:hAnsi="Times New Roman" w:cs="Times New Roman"/>
                <w:b w:val="0"/>
                <w:i w:val="0"/>
                <w:sz w:val="22"/>
              </w:rPr>
              <w:t>DLT</w:t>
            </w:r>
          </w:p>
        </w:tc>
        <w:tc>
          <w:tcPr>
            <w:tcW w:type="dxa" w:w="6336"/>
          </w:tcPr>
          <w:p>
            <w:pPr>
              <w:spacing w:line="240" w:lineRule="auto"/>
            </w:pPr>
            <w:r/>
            <w:r>
              <w:rPr>
                <w:rFonts w:ascii="Times New Roman" w:hAnsi="Times New Roman" w:cs="Times New Roman"/>
                <w:b w:val="0"/>
                <w:i w:val="0"/>
                <w:sz w:val="22"/>
              </w:rPr>
              <w:t>Distributed Ledger Technology</w:t>
            </w:r>
          </w:p>
        </w:tc>
      </w:tr>
      <w:tr>
        <w:tc>
          <w:tcPr>
            <w:tcW w:type="dxa" w:w="2304"/>
          </w:tcPr>
          <w:p>
            <w:pPr>
              <w:spacing w:line="240" w:lineRule="auto"/>
            </w:pPr>
            <w:r/>
            <w:r>
              <w:rPr>
                <w:rFonts w:ascii="Times New Roman" w:hAnsi="Times New Roman" w:cs="Times New Roman"/>
                <w:b w:val="0"/>
                <w:i w:val="0"/>
                <w:sz w:val="22"/>
              </w:rPr>
              <w:t>DvP</w:t>
            </w:r>
          </w:p>
        </w:tc>
        <w:tc>
          <w:tcPr>
            <w:tcW w:type="dxa" w:w="6336"/>
          </w:tcPr>
          <w:p>
            <w:pPr>
              <w:spacing w:line="240" w:lineRule="auto"/>
            </w:pPr>
            <w:r/>
            <w:r>
              <w:rPr>
                <w:rFonts w:ascii="Times New Roman" w:hAnsi="Times New Roman" w:cs="Times New Roman"/>
                <w:b w:val="0"/>
                <w:i w:val="0"/>
                <w:sz w:val="22"/>
              </w:rPr>
              <w:t>Delivery-versus-Payment</w:t>
            </w:r>
          </w:p>
        </w:tc>
      </w:tr>
      <w:tr>
        <w:tc>
          <w:tcPr>
            <w:tcW w:type="dxa" w:w="2304"/>
          </w:tcPr>
          <w:p>
            <w:pPr>
              <w:spacing w:line="240" w:lineRule="auto"/>
            </w:pPr>
            <w:r/>
            <w:r>
              <w:rPr>
                <w:rFonts w:ascii="Times New Roman" w:hAnsi="Times New Roman" w:cs="Times New Roman"/>
                <w:b w:val="0"/>
                <w:i w:val="0"/>
                <w:sz w:val="22"/>
              </w:rPr>
              <w:t>FEDAI</w:t>
            </w:r>
          </w:p>
        </w:tc>
        <w:tc>
          <w:tcPr>
            <w:tcW w:type="dxa" w:w="6336"/>
          </w:tcPr>
          <w:p>
            <w:pPr>
              <w:spacing w:line="240" w:lineRule="auto"/>
            </w:pPr>
            <w:r/>
            <w:r>
              <w:rPr>
                <w:rFonts w:ascii="Times New Roman" w:hAnsi="Times New Roman" w:cs="Times New Roman"/>
                <w:b w:val="0"/>
                <w:i w:val="0"/>
                <w:sz w:val="22"/>
              </w:rPr>
              <w:t>Foreign Exchange Dealers' Association of India</w:t>
            </w:r>
          </w:p>
        </w:tc>
      </w:tr>
      <w:tr>
        <w:tc>
          <w:tcPr>
            <w:tcW w:type="dxa" w:w="2304"/>
          </w:tcPr>
          <w:p>
            <w:pPr>
              <w:spacing w:line="240" w:lineRule="auto"/>
            </w:pPr>
            <w:r/>
            <w:r>
              <w:rPr>
                <w:rFonts w:ascii="Times New Roman" w:hAnsi="Times New Roman" w:cs="Times New Roman"/>
                <w:b w:val="0"/>
                <w:i w:val="0"/>
                <w:sz w:val="22"/>
              </w:rPr>
              <w:t>FSB</w:t>
            </w:r>
          </w:p>
        </w:tc>
        <w:tc>
          <w:tcPr>
            <w:tcW w:type="dxa" w:w="6336"/>
          </w:tcPr>
          <w:p>
            <w:pPr>
              <w:spacing w:line="240" w:lineRule="auto"/>
            </w:pPr>
            <w:r/>
            <w:r>
              <w:rPr>
                <w:rFonts w:ascii="Times New Roman" w:hAnsi="Times New Roman" w:cs="Times New Roman"/>
                <w:b w:val="0"/>
                <w:i w:val="0"/>
                <w:sz w:val="22"/>
              </w:rPr>
              <w:t>Financial Stability Board</w:t>
            </w:r>
          </w:p>
        </w:tc>
      </w:tr>
      <w:tr>
        <w:tc>
          <w:tcPr>
            <w:tcW w:type="dxa" w:w="2304"/>
          </w:tcPr>
          <w:p>
            <w:pPr>
              <w:spacing w:line="240" w:lineRule="auto"/>
            </w:pPr>
            <w:r/>
            <w:r>
              <w:rPr>
                <w:rFonts w:ascii="Times New Roman" w:hAnsi="Times New Roman" w:cs="Times New Roman"/>
                <w:b w:val="0"/>
                <w:i w:val="0"/>
                <w:sz w:val="22"/>
              </w:rPr>
              <w:t>HQLA</w:t>
            </w:r>
          </w:p>
        </w:tc>
        <w:tc>
          <w:tcPr>
            <w:tcW w:type="dxa" w:w="6336"/>
          </w:tcPr>
          <w:p>
            <w:pPr>
              <w:spacing w:line="240" w:lineRule="auto"/>
            </w:pPr>
            <w:r/>
            <w:r>
              <w:rPr>
                <w:rFonts w:ascii="Times New Roman" w:hAnsi="Times New Roman" w:cs="Times New Roman"/>
                <w:b w:val="0"/>
                <w:i w:val="0"/>
                <w:sz w:val="22"/>
              </w:rPr>
              <w:t>High-Quality Liquid Assets</w:t>
            </w:r>
          </w:p>
        </w:tc>
      </w:tr>
      <w:tr>
        <w:tc>
          <w:tcPr>
            <w:tcW w:type="dxa" w:w="2304"/>
          </w:tcPr>
          <w:p>
            <w:pPr>
              <w:spacing w:line="240" w:lineRule="auto"/>
            </w:pPr>
            <w:r/>
            <w:r>
              <w:rPr>
                <w:rFonts w:ascii="Times New Roman" w:hAnsi="Times New Roman" w:cs="Times New Roman"/>
                <w:b w:val="0"/>
                <w:i w:val="0"/>
                <w:sz w:val="22"/>
              </w:rPr>
              <w:t>LCR</w:t>
            </w:r>
          </w:p>
        </w:tc>
        <w:tc>
          <w:tcPr>
            <w:tcW w:type="dxa" w:w="6336"/>
          </w:tcPr>
          <w:p>
            <w:pPr>
              <w:spacing w:line="240" w:lineRule="auto"/>
            </w:pPr>
            <w:r/>
            <w:r>
              <w:rPr>
                <w:rFonts w:ascii="Times New Roman" w:hAnsi="Times New Roman" w:cs="Times New Roman"/>
                <w:b w:val="0"/>
                <w:i w:val="0"/>
                <w:sz w:val="22"/>
              </w:rPr>
              <w:t>Liquidity Coverage Ratio</w:t>
            </w:r>
          </w:p>
        </w:tc>
      </w:tr>
      <w:tr>
        <w:tc>
          <w:tcPr>
            <w:tcW w:type="dxa" w:w="2304"/>
          </w:tcPr>
          <w:p>
            <w:pPr>
              <w:spacing w:line="240" w:lineRule="auto"/>
            </w:pPr>
            <w:r/>
            <w:r>
              <w:rPr>
                <w:rFonts w:ascii="Times New Roman" w:hAnsi="Times New Roman" w:cs="Times New Roman"/>
                <w:b w:val="0"/>
                <w:i w:val="0"/>
                <w:sz w:val="22"/>
              </w:rPr>
              <w:t>MNC</w:t>
            </w:r>
          </w:p>
        </w:tc>
        <w:tc>
          <w:tcPr>
            <w:tcW w:type="dxa" w:w="6336"/>
          </w:tcPr>
          <w:p>
            <w:pPr>
              <w:spacing w:line="240" w:lineRule="auto"/>
            </w:pPr>
            <w:r/>
            <w:r>
              <w:rPr>
                <w:rFonts w:ascii="Times New Roman" w:hAnsi="Times New Roman" w:cs="Times New Roman"/>
                <w:b w:val="0"/>
                <w:i w:val="0"/>
                <w:sz w:val="22"/>
              </w:rPr>
              <w:t>Multinational Corporation</w:t>
            </w:r>
          </w:p>
        </w:tc>
      </w:tr>
      <w:tr>
        <w:tc>
          <w:tcPr>
            <w:tcW w:type="dxa" w:w="2304"/>
          </w:tcPr>
          <w:p>
            <w:pPr>
              <w:spacing w:line="240" w:lineRule="auto"/>
            </w:pPr>
            <w:r/>
            <w:r>
              <w:rPr>
                <w:rFonts w:ascii="Times New Roman" w:hAnsi="Times New Roman" w:cs="Times New Roman"/>
                <w:b w:val="0"/>
                <w:i w:val="0"/>
                <w:sz w:val="22"/>
              </w:rPr>
              <w:t>PvP</w:t>
            </w:r>
          </w:p>
        </w:tc>
        <w:tc>
          <w:tcPr>
            <w:tcW w:type="dxa" w:w="6336"/>
          </w:tcPr>
          <w:p>
            <w:pPr>
              <w:spacing w:line="240" w:lineRule="auto"/>
            </w:pPr>
            <w:r/>
            <w:r>
              <w:rPr>
                <w:rFonts w:ascii="Times New Roman" w:hAnsi="Times New Roman" w:cs="Times New Roman"/>
                <w:b w:val="0"/>
                <w:i w:val="0"/>
                <w:sz w:val="22"/>
              </w:rPr>
              <w:t>Payment-versus-Payment</w:t>
            </w:r>
          </w:p>
        </w:tc>
      </w:tr>
      <w:tr>
        <w:tc>
          <w:tcPr>
            <w:tcW w:type="dxa" w:w="2304"/>
          </w:tcPr>
          <w:p>
            <w:pPr>
              <w:spacing w:line="240" w:lineRule="auto"/>
            </w:pPr>
            <w:r/>
            <w:r>
              <w:rPr>
                <w:rFonts w:ascii="Times New Roman" w:hAnsi="Times New Roman" w:cs="Times New Roman"/>
                <w:b w:val="0"/>
                <w:i w:val="0"/>
                <w:sz w:val="22"/>
              </w:rPr>
              <w:t>RBI</w:t>
            </w:r>
          </w:p>
        </w:tc>
        <w:tc>
          <w:tcPr>
            <w:tcW w:type="dxa" w:w="6336"/>
          </w:tcPr>
          <w:p>
            <w:pPr>
              <w:spacing w:line="240" w:lineRule="auto"/>
            </w:pPr>
            <w:r/>
            <w:r>
              <w:rPr>
                <w:rFonts w:ascii="Times New Roman" w:hAnsi="Times New Roman" w:cs="Times New Roman"/>
                <w:b w:val="0"/>
                <w:i w:val="0"/>
                <w:sz w:val="22"/>
              </w:rPr>
              <w:t>Reserve Bank of India</w:t>
            </w:r>
          </w:p>
        </w:tc>
      </w:tr>
      <w:tr>
        <w:tc>
          <w:tcPr>
            <w:tcW w:type="dxa" w:w="2304"/>
          </w:tcPr>
          <w:p>
            <w:pPr>
              <w:spacing w:line="240" w:lineRule="auto"/>
            </w:pPr>
            <w:r/>
            <w:r>
              <w:rPr>
                <w:rFonts w:ascii="Times New Roman" w:hAnsi="Times New Roman" w:cs="Times New Roman"/>
                <w:b w:val="0"/>
                <w:i w:val="0"/>
                <w:sz w:val="22"/>
              </w:rPr>
              <w:t>RRSE</w:t>
            </w:r>
          </w:p>
        </w:tc>
        <w:tc>
          <w:tcPr>
            <w:tcW w:type="dxa" w:w="6336"/>
          </w:tcPr>
          <w:p>
            <w:pPr>
              <w:spacing w:line="240" w:lineRule="auto"/>
            </w:pPr>
            <w:r/>
            <w:r>
              <w:rPr>
                <w:rFonts w:ascii="Times New Roman" w:hAnsi="Times New Roman" w:cs="Times New Roman"/>
                <w:b w:val="0"/>
                <w:i w:val="0"/>
                <w:sz w:val="22"/>
              </w:rPr>
              <w:t>Reduction in Settlement Risk Exposure</w:t>
            </w:r>
          </w:p>
        </w:tc>
      </w:tr>
      <w:tr>
        <w:tc>
          <w:tcPr>
            <w:tcW w:type="dxa" w:w="2304"/>
          </w:tcPr>
          <w:p>
            <w:pPr>
              <w:spacing w:line="240" w:lineRule="auto"/>
            </w:pPr>
            <w:r/>
            <w:r>
              <w:rPr>
                <w:rFonts w:ascii="Times New Roman" w:hAnsi="Times New Roman" w:cs="Times New Roman"/>
                <w:b w:val="0"/>
                <w:i w:val="0"/>
                <w:sz w:val="22"/>
              </w:rPr>
              <w:t>RTGS</w:t>
            </w:r>
          </w:p>
        </w:tc>
        <w:tc>
          <w:tcPr>
            <w:tcW w:type="dxa" w:w="6336"/>
          </w:tcPr>
          <w:p>
            <w:pPr>
              <w:spacing w:line="240" w:lineRule="auto"/>
            </w:pPr>
            <w:r/>
            <w:r>
              <w:rPr>
                <w:rFonts w:ascii="Times New Roman" w:hAnsi="Times New Roman" w:cs="Times New Roman"/>
                <w:b w:val="0"/>
                <w:i w:val="0"/>
                <w:sz w:val="22"/>
              </w:rPr>
              <w:t>Real-Time Gross Settlement</w:t>
            </w:r>
          </w:p>
        </w:tc>
      </w:tr>
      <w:tr>
        <w:tc>
          <w:tcPr>
            <w:tcW w:type="dxa" w:w="2304"/>
          </w:tcPr>
          <w:p>
            <w:pPr>
              <w:spacing w:line="240" w:lineRule="auto"/>
            </w:pPr>
            <w:r/>
            <w:r>
              <w:rPr>
                <w:rFonts w:ascii="Times New Roman" w:hAnsi="Times New Roman" w:cs="Times New Roman"/>
                <w:b w:val="0"/>
                <w:i w:val="0"/>
                <w:sz w:val="22"/>
              </w:rPr>
              <w:t>SWIFT</w:t>
            </w:r>
          </w:p>
        </w:tc>
        <w:tc>
          <w:tcPr>
            <w:tcW w:type="dxa" w:w="6336"/>
          </w:tcPr>
          <w:p>
            <w:pPr>
              <w:spacing w:line="240" w:lineRule="auto"/>
            </w:pPr>
            <w:r/>
            <w:r>
              <w:rPr>
                <w:rFonts w:ascii="Times New Roman" w:hAnsi="Times New Roman" w:cs="Times New Roman"/>
                <w:b w:val="0"/>
                <w:i w:val="0"/>
                <w:sz w:val="22"/>
              </w:rPr>
              <w:t>Society for Worldwide Interbank Financial Telecommunication</w:t>
            </w:r>
          </w:p>
        </w:tc>
      </w:tr>
      <w:tr>
        <w:tc>
          <w:tcPr>
            <w:tcW w:type="dxa" w:w="2304"/>
          </w:tcPr>
          <w:p>
            <w:pPr>
              <w:spacing w:line="240" w:lineRule="auto"/>
            </w:pPr>
            <w:r/>
            <w:r>
              <w:rPr>
                <w:rFonts w:ascii="Times New Roman" w:hAnsi="Times New Roman" w:cs="Times New Roman"/>
                <w:b w:val="0"/>
                <w:i w:val="0"/>
                <w:sz w:val="22"/>
              </w:rPr>
              <w:t>T+2 / T+0</w:t>
            </w:r>
          </w:p>
        </w:tc>
        <w:tc>
          <w:tcPr>
            <w:tcW w:type="dxa" w:w="6336"/>
          </w:tcPr>
          <w:p>
            <w:pPr>
              <w:spacing w:line="240" w:lineRule="auto"/>
            </w:pPr>
            <w:r/>
            <w:r>
              <w:rPr>
                <w:rFonts w:ascii="Times New Roman" w:hAnsi="Times New Roman" w:cs="Times New Roman"/>
                <w:b w:val="0"/>
                <w:i w:val="0"/>
                <w:sz w:val="22"/>
              </w:rPr>
              <w:t>Trade-date plus two / plus zero settlement cycles</w:t>
            </w:r>
          </w:p>
        </w:tc>
      </w:tr>
      <w:tr>
        <w:tc>
          <w:tcPr>
            <w:tcW w:type="dxa" w:w="2304"/>
          </w:tcPr>
          <w:p>
            <w:pPr>
              <w:spacing w:line="240" w:lineRule="auto"/>
            </w:pPr>
            <w:r/>
            <w:r>
              <w:rPr>
                <w:rFonts w:ascii="Times New Roman" w:hAnsi="Times New Roman" w:cs="Times New Roman"/>
                <w:b w:val="0"/>
                <w:i w:val="0"/>
                <w:sz w:val="22"/>
              </w:rPr>
              <w:t>WACC</w:t>
            </w:r>
          </w:p>
        </w:tc>
        <w:tc>
          <w:tcPr>
            <w:tcW w:type="dxa" w:w="6336"/>
          </w:tcPr>
          <w:p>
            <w:pPr>
              <w:spacing w:line="240" w:lineRule="auto"/>
            </w:pPr>
            <w:r/>
            <w:r>
              <w:rPr>
                <w:rFonts w:ascii="Times New Roman" w:hAnsi="Times New Roman" w:cs="Times New Roman"/>
                <w:b w:val="0"/>
                <w:i w:val="0"/>
                <w:sz w:val="22"/>
              </w:rPr>
              <w:t>Weighted Average Cost of Capital</w:t>
            </w:r>
          </w:p>
        </w:tc>
      </w:tr>
      <w:tr>
        <w:tc>
          <w:tcPr>
            <w:tcW w:type="dxa" w:w="2304"/>
          </w:tcPr>
          <w:p>
            <w:pPr>
              <w:spacing w:line="240" w:lineRule="auto"/>
            </w:pPr>
            <w:r/>
            <w:r>
              <w:rPr>
                <w:rFonts w:ascii="Times New Roman" w:hAnsi="Times New Roman" w:cs="Times New Roman"/>
                <w:b w:val="0"/>
                <w:i w:val="0"/>
                <w:sz w:val="22"/>
              </w:rPr>
              <w:t>wCBDC</w:t>
            </w:r>
          </w:p>
        </w:tc>
        <w:tc>
          <w:tcPr>
            <w:tcW w:type="dxa" w:w="6336"/>
          </w:tcPr>
          <w:p>
            <w:pPr>
              <w:spacing w:line="240" w:lineRule="auto"/>
            </w:pPr>
            <w:r/>
            <w:r>
              <w:rPr>
                <w:rFonts w:ascii="Times New Roman" w:hAnsi="Times New Roman" w:cs="Times New Roman"/>
                <w:b w:val="0"/>
                <w:i w:val="0"/>
                <w:sz w:val="22"/>
              </w:rPr>
              <w:t>Wholesale Central Bank Digital Currency</w:t>
            </w:r>
          </w:p>
        </w:tc>
      </w:tr>
    </w:tbl>
    <w:p>
      <w:r>
        <w:br w:type="page"/>
      </w:r>
    </w:p>
    <w:p>
      <w:pPr>
        <w:spacing w:before="240" w:after="240" w:line="360" w:lineRule="auto"/>
        <w:jc w:val="center"/>
      </w:pPr>
      <w:r>
        <w:rPr>
          <w:rFonts w:ascii="Times New Roman" w:hAnsi="Times New Roman" w:cs="Times New Roman"/>
          <w:b/>
          <w:i w:val="0"/>
          <w:sz w:val="28"/>
        </w:rPr>
        <w:t>CHAPTER 1: INTRODUCTION</w:t>
      </w:r>
    </w:p>
    <w:p>
      <w:pPr>
        <w:spacing w:before="240" w:after="120" w:line="360" w:lineRule="auto"/>
        <w:jc w:val="left"/>
      </w:pPr>
      <w:r>
        <w:rPr>
          <w:rFonts w:ascii="Times New Roman" w:hAnsi="Times New Roman" w:cs="Times New Roman"/>
          <w:b/>
          <w:i w:val="0"/>
          <w:sz w:val="24"/>
        </w:rPr>
        <w:t>1.1 Background of the Study</w:t>
      </w:r>
    </w:p>
    <w:p>
      <w:pPr>
        <w:spacing w:after="0" w:before="0" w:line="360" w:lineRule="auto"/>
        <w:ind w:firstLine="720"/>
        <w:jc w:val="left"/>
      </w:pPr>
      <w:r>
        <w:rPr>
          <w:rFonts w:ascii="Times New Roman" w:hAnsi="Times New Roman" w:cs="Times New Roman"/>
          <w:b w:val="0"/>
          <w:i w:val="0"/>
          <w:sz w:val="24"/>
        </w:rPr>
        <w:t>Cross-border payment infrastructure has, for nearly half a century, depended on a remarkably stable architecture: a correspondent bank transmits a SWIFT MT103 message; a pre-funded nostro account stands ready on the far side; two business days later, the books are reconciled and the payment becomes final (Committee on Payments and Market Infrastructures [CPMI], 2023). This design was adequate when global trade volumes were modest and overwhelmingly dollar-denominated.</w:t>
      </w:r>
    </w:p>
    <w:p>
      <w:pPr>
        <w:spacing w:after="0" w:before="0" w:line="360" w:lineRule="auto"/>
        <w:ind w:firstLine="720"/>
        <w:jc w:val="left"/>
      </w:pPr>
      <w:r>
        <w:rPr>
          <w:rFonts w:ascii="Times New Roman" w:hAnsi="Times New Roman" w:cs="Times New Roman"/>
          <w:b w:val="0"/>
          <w:i w:val="0"/>
          <w:sz w:val="24"/>
        </w:rPr>
        <w:t>Those conditions no longer hold. Non-USD denomination of cross-border payment flows rose by approximately 11 percentage points between 2015 and 2024, driven by renminbi, yen, and rupee corridors (SWIFT, 2024). The 2008 Global Financial Crisis exposed a related defect: the inefficiencies of correspondent banking were not merely slow but generated counterparty exposures costly enough to be difficult to detect at the level of any single institution (Bank for International Settlements [BIS], 2023). The BIS estimates that approximately USD 2.2 trillion of daily deliverable foreign exchange turnover remains exposed to settlement risk (BIS, 2022).</w:t>
      </w:r>
    </w:p>
    <w:p>
      <w:pPr>
        <w:spacing w:after="0" w:before="0" w:line="360" w:lineRule="auto"/>
        <w:ind w:firstLine="720"/>
        <w:jc w:val="left"/>
      </w:pPr>
      <w:r>
        <w:rPr>
          <w:rFonts w:ascii="Times New Roman" w:hAnsi="Times New Roman" w:cs="Times New Roman"/>
          <w:b w:val="0"/>
          <w:i w:val="0"/>
          <w:sz w:val="24"/>
        </w:rPr>
        <w:t>Two candidate replacements have emerged. Tokenized commercial-bank deposits preserve the credit risk of the issuing bank but acquire programmability. Wholesale CBDCs are reserve-grade settlement assets restricted to bank participants, carrying central-bank credit risk with equivalent programmability (Carstens, 2023). Together they open the door to what Carstens (2023) described as the Unified Ledger — a single programmable environment in which central-bank money, commercial-bank money, and tokenized real-world assets interact atomically. These developments are not hypothetical: Project Dunbar concluded in 2022, Project Agora has been in pilot since 2024, and J.P. Morgan's Onyx platform clears over USD 1 billion daily (J.P. Morgan, 2024).</w:t>
      </w:r>
    </w:p>
    <w:p>
      <w:pPr>
        <w:spacing w:before="240" w:after="120" w:line="360" w:lineRule="auto"/>
        <w:jc w:val="left"/>
      </w:pPr>
      <w:r>
        <w:rPr>
          <w:rFonts w:ascii="Times New Roman" w:hAnsi="Times New Roman" w:cs="Times New Roman"/>
          <w:b/>
          <w:i w:val="0"/>
          <w:sz w:val="24"/>
        </w:rPr>
        <w:t>1.2 Rationale for the Study</w:t>
      </w:r>
    </w:p>
    <w:p>
      <w:pPr>
        <w:spacing w:after="0" w:before="0" w:line="360" w:lineRule="auto"/>
        <w:ind w:firstLine="720"/>
        <w:jc w:val="left"/>
      </w:pPr>
      <w:r>
        <w:rPr>
          <w:rFonts w:ascii="Times New Roman" w:hAnsi="Times New Roman" w:cs="Times New Roman"/>
          <w:b w:val="0"/>
          <w:i w:val="0"/>
          <w:sz w:val="24"/>
        </w:rPr>
        <w:t>Three forces convert what appears to be a technology question into a corporate-finance question. First, the global payments network is becoming less dollar-centric (SWIFT, 2024). Second, BIS multilateral arrangements have moved from sandbox to pilot scale (BIS Innovation Hub, 2024). Third, private tokenization platforms have crossed production thresholds (J.P. Morgan, 2024). The treasury function of a multinational corporation sits at the intersection of these forces. For an Indian MNC with USD 500 million of active cross-border float, a one-percentage-point reduction in the cost of immobilised nostro capital implies approximately USD 5 million of annual pre-tax savings — fractions of a percentage point, compounded across the treasury book, produce line items meriting board-level attention.</w:t>
      </w:r>
    </w:p>
    <w:p>
      <w:pPr>
        <w:spacing w:before="240" w:after="120" w:line="360" w:lineRule="auto"/>
        <w:jc w:val="left"/>
      </w:pPr>
      <w:r>
        <w:rPr>
          <w:rFonts w:ascii="Times New Roman" w:hAnsi="Times New Roman" w:cs="Times New Roman"/>
          <w:b/>
          <w:i w:val="0"/>
          <w:sz w:val="24"/>
        </w:rPr>
        <w:t>1.3 Statement of the Problem</w:t>
      </w:r>
    </w:p>
    <w:p>
      <w:pPr>
        <w:spacing w:after="0" w:before="0" w:line="360" w:lineRule="auto"/>
        <w:ind w:firstLine="720"/>
        <w:jc w:val="left"/>
      </w:pPr>
      <w:r>
        <w:rPr>
          <w:rFonts w:ascii="Times New Roman" w:hAnsi="Times New Roman" w:cs="Times New Roman"/>
          <w:b w:val="0"/>
          <w:i w:val="0"/>
          <w:sz w:val="24"/>
        </w:rPr>
        <w:t>The problem addressed in this study is the Interoperability Gap. As commercial-bank liquidity is tokenized across mutually incompatible private ledgers, the principle of singleness of money — that one unit of currency is worth the same on every ledger that records it — is no longer guaranteed (BIS, 2023). The consequences are threefold: (a) atomic settlement fails when the two legs of an exchange reside on different books, producing a digital reincarnation of Herstatt risk (Galati, 2002); (b) tokenized-deposit treatment under the Liquidity Coverage Ratio (LCR) is inconsistent across jurisdictions, forcing larger-than-optimal capital buffers (Basel Committee on Banking Supervision [BCBS], 2013); and (c) programmable-money capabilities can only be fully realised when composite transactions execute within a single legal and technical environment. What is missing, at the corporate-treasury level, is a number quantifying that gap.</w:t>
      </w:r>
    </w:p>
    <w:p>
      <w:pPr>
        <w:spacing w:before="240" w:after="120" w:line="360" w:lineRule="auto"/>
        <w:jc w:val="left"/>
      </w:pPr>
      <w:r>
        <w:rPr>
          <w:rFonts w:ascii="Times New Roman" w:hAnsi="Times New Roman" w:cs="Times New Roman"/>
          <w:b/>
          <w:i w:val="0"/>
          <w:sz w:val="24"/>
        </w:rPr>
        <w:t>1.4 Research Questions</w:t>
      </w:r>
    </w:p>
    <w:p>
      <w:pPr>
        <w:spacing w:after="80" w:line="360" w:lineRule="auto"/>
        <w:ind w:firstLine="720"/>
        <w:jc w:val="left"/>
      </w:pPr>
      <w:r>
        <w:rPr>
          <w:rFonts w:ascii="Times New Roman" w:hAnsi="Times New Roman" w:cs="Times New Roman"/>
          <w:b/>
          <w:i w:val="0"/>
          <w:sz w:val="24"/>
        </w:rPr>
        <w:t xml:space="preserve">Principal question: </w:t>
      </w:r>
      <w:r>
        <w:rPr>
          <w:rFonts w:ascii="Times New Roman" w:hAnsi="Times New Roman" w:cs="Times New Roman"/>
          <w:b w:val="0"/>
          <w:i w:val="0"/>
          <w:sz w:val="24"/>
        </w:rPr>
        <w:t>To what extent does convergence between tokenized deposits and wCBDCs on a shared programmable ledger reduce settlement-risk exposure and pre-funded liquidity requirements at the corporate-treasury level of MNCs, relative to the prevailing T+2 SWIFT benchmark?</w:t>
      </w:r>
    </w:p>
    <w:p>
      <w:pPr>
        <w:spacing w:after="80" w:line="360" w:lineRule="auto"/>
        <w:ind w:firstLine="720"/>
        <w:jc w:val="left"/>
      </w:pPr>
      <w:r>
        <w:rPr>
          <w:rFonts w:ascii="Times New Roman" w:hAnsi="Times New Roman" w:cs="Times New Roman"/>
          <w:b/>
          <w:i w:val="0"/>
          <w:sz w:val="24"/>
        </w:rPr>
        <w:t xml:space="preserve">Sub-question 1: </w:t>
      </w:r>
      <w:r>
        <w:rPr>
          <w:rFonts w:ascii="Times New Roman" w:hAnsi="Times New Roman" w:cs="Times New Roman"/>
          <w:b w:val="0"/>
          <w:i w:val="0"/>
          <w:sz w:val="24"/>
        </w:rPr>
        <w:t>What is the corporate cost of the Interoperability Gap, expressed in WACC-adjusted basis points, across the USD/EUR, USD/JPY, and USD/INR corridors?</w:t>
      </w:r>
    </w:p>
    <w:p>
      <w:pPr>
        <w:spacing w:after="80" w:line="360" w:lineRule="auto"/>
        <w:ind w:firstLine="720"/>
        <w:jc w:val="left"/>
      </w:pPr>
      <w:r>
        <w:rPr>
          <w:rFonts w:ascii="Times New Roman" w:hAnsi="Times New Roman" w:cs="Times New Roman"/>
          <w:b/>
          <w:i w:val="0"/>
          <w:sz w:val="24"/>
        </w:rPr>
        <w:t xml:space="preserve">Sub-question 2: </w:t>
      </w:r>
      <w:r>
        <w:rPr>
          <w:rFonts w:ascii="Times New Roman" w:hAnsi="Times New Roman" w:cs="Times New Roman"/>
          <w:b w:val="0"/>
          <w:i w:val="0"/>
          <w:sz w:val="24"/>
        </w:rPr>
        <w:t>Are efficiency gains robust across the Fast Convergence, Fragmented Coexistence, and Regulatory Shock adoption scenarios?</w:t>
      </w:r>
    </w:p>
    <w:p>
      <w:pPr>
        <w:spacing w:after="80" w:line="360" w:lineRule="auto"/>
        <w:ind w:firstLine="720"/>
        <w:jc w:val="left"/>
      </w:pPr>
      <w:r>
        <w:rPr>
          <w:rFonts w:ascii="Times New Roman" w:hAnsi="Times New Roman" w:cs="Times New Roman"/>
          <w:b/>
          <w:i w:val="0"/>
          <w:sz w:val="24"/>
        </w:rPr>
        <w:t xml:space="preserve">Sub-question 3: </w:t>
      </w:r>
      <w:r>
        <w:rPr>
          <w:rFonts w:ascii="Times New Roman" w:hAnsi="Times New Roman" w:cs="Times New Roman"/>
          <w:b w:val="0"/>
          <w:i w:val="0"/>
          <w:sz w:val="24"/>
        </w:rPr>
        <w:t>What are the implications for the Indian financial system, given the RBI CBDC pilot trajectory and FEDAI-cleared FX turnover structure?</w:t>
      </w:r>
    </w:p>
    <w:p>
      <w:pPr>
        <w:spacing w:before="240" w:after="120" w:line="360" w:lineRule="auto"/>
        <w:jc w:val="left"/>
      </w:pPr>
      <w:r>
        <w:rPr>
          <w:rFonts w:ascii="Times New Roman" w:hAnsi="Times New Roman" w:cs="Times New Roman"/>
          <w:b/>
          <w:i w:val="0"/>
          <w:sz w:val="24"/>
        </w:rPr>
        <w:t>1.5 Objectives of the Study</w:t>
      </w:r>
    </w:p>
    <w:p>
      <w:pPr>
        <w:spacing w:line="360" w:lineRule="auto" w:after="80"/>
        <w:ind w:left="720" w:hanging="360"/>
      </w:pPr>
      <w:r>
        <w:rPr>
          <w:rFonts w:ascii="Times New Roman" w:hAnsi="Times New Roman" w:cs="Times New Roman"/>
          <w:b/>
          <w:i w:val="0"/>
          <w:sz w:val="24"/>
        </w:rPr>
        <w:t xml:space="preserve">1. </w:t>
      </w:r>
      <w:r>
        <w:rPr>
          <w:rFonts w:ascii="Times New Roman" w:hAnsi="Times New Roman" w:cs="Times New Roman"/>
          <w:b w:val="0"/>
          <w:i w:val="0"/>
          <w:sz w:val="24"/>
        </w:rPr>
        <w:t>To quantify the Reduction in Settlement Risk Exposure (RRSE) associated with migrating from T+2 SWIFT to T+0 atomic settlement across three representative corridors.</w:t>
      </w:r>
    </w:p>
    <w:p>
      <w:pPr>
        <w:spacing w:line="360" w:lineRule="auto" w:after="80"/>
        <w:ind w:left="720" w:hanging="360"/>
      </w:pPr>
      <w:r>
        <w:rPr>
          <w:rFonts w:ascii="Times New Roman" w:hAnsi="Times New Roman" w:cs="Times New Roman"/>
          <w:b/>
          <w:i w:val="0"/>
          <w:sz w:val="24"/>
        </w:rPr>
        <w:t xml:space="preserve">2. </w:t>
      </w:r>
      <w:r>
        <w:rPr>
          <w:rFonts w:ascii="Times New Roman" w:hAnsi="Times New Roman" w:cs="Times New Roman"/>
          <w:b w:val="0"/>
          <w:i w:val="0"/>
          <w:sz w:val="24"/>
        </w:rPr>
        <w:t>To compute the Capital Cost Savings (CCS) realisable at the corporate-treasury level using WACC-adjusted immobilised capital as the numéraire.</w:t>
      </w:r>
    </w:p>
    <w:p>
      <w:pPr>
        <w:spacing w:line="360" w:lineRule="auto" w:after="80"/>
        <w:ind w:left="720" w:hanging="360"/>
      </w:pPr>
      <w:r>
        <w:rPr>
          <w:rFonts w:ascii="Times New Roman" w:hAnsi="Times New Roman" w:cs="Times New Roman"/>
          <w:b/>
          <w:i w:val="0"/>
          <w:sz w:val="24"/>
        </w:rPr>
        <w:t xml:space="preserve">3. </w:t>
      </w:r>
      <w:r>
        <w:rPr>
          <w:rFonts w:ascii="Times New Roman" w:hAnsi="Times New Roman" w:cs="Times New Roman"/>
          <w:b w:val="0"/>
          <w:i w:val="0"/>
          <w:sz w:val="24"/>
        </w:rPr>
        <w:t>To analyse the sensitivity of RRSE and CCS to adoption velocity, HQLA treatment, and scenario-specific shocks.</w:t>
      </w:r>
    </w:p>
    <w:p>
      <w:pPr>
        <w:spacing w:line="360" w:lineRule="auto" w:after="80"/>
        <w:ind w:left="720" w:hanging="360"/>
      </w:pPr>
      <w:r>
        <w:rPr>
          <w:rFonts w:ascii="Times New Roman" w:hAnsi="Times New Roman" w:cs="Times New Roman"/>
          <w:b/>
          <w:i w:val="0"/>
          <w:sz w:val="24"/>
        </w:rPr>
        <w:t xml:space="preserve">4. </w:t>
      </w:r>
      <w:r>
        <w:rPr>
          <w:rFonts w:ascii="Times New Roman" w:hAnsi="Times New Roman" w:cs="Times New Roman"/>
          <w:b w:val="0"/>
          <w:i w:val="0"/>
          <w:sz w:val="24"/>
        </w:rPr>
        <w:t>To position the Indian financial system within the emerging global architecture using RBI Digital Rupee pilot data and FEDAI turnover statistics as calibration anchors.</w:t>
      </w:r>
    </w:p>
    <w:p>
      <w:pPr>
        <w:spacing w:line="360" w:lineRule="auto" w:after="80"/>
        <w:ind w:left="720" w:hanging="360"/>
      </w:pPr>
      <w:r>
        <w:rPr>
          <w:rFonts w:ascii="Times New Roman" w:hAnsi="Times New Roman" w:cs="Times New Roman"/>
          <w:b/>
          <w:i w:val="0"/>
          <w:sz w:val="24"/>
        </w:rPr>
        <w:t xml:space="preserve">5. </w:t>
      </w:r>
      <w:r>
        <w:rPr>
          <w:rFonts w:ascii="Times New Roman" w:hAnsi="Times New Roman" w:cs="Times New Roman"/>
          <w:b w:val="0"/>
          <w:i w:val="0"/>
          <w:sz w:val="24"/>
        </w:rPr>
        <w:t>To produce a cost-benefit interpretation of the Unified Ledger thesis usable by corporate treasury teams, central-bank policy units, and regulators.</w:t>
      </w:r>
    </w:p>
    <w:p>
      <w:pPr>
        <w:spacing w:before="240" w:after="120" w:line="360" w:lineRule="auto"/>
        <w:jc w:val="left"/>
      </w:pPr>
      <w:r>
        <w:rPr>
          <w:rFonts w:ascii="Times New Roman" w:hAnsi="Times New Roman" w:cs="Times New Roman"/>
          <w:b/>
          <w:i w:val="0"/>
          <w:sz w:val="24"/>
        </w:rPr>
        <w:t>1.6 Scope of the Study</w:t>
      </w:r>
    </w:p>
    <w:p>
      <w:pPr>
        <w:spacing w:after="0" w:before="0" w:line="360" w:lineRule="auto"/>
        <w:ind w:firstLine="720"/>
        <w:jc w:val="left"/>
      </w:pPr>
      <w:r>
        <w:rPr>
          <w:rFonts w:ascii="Times New Roman" w:hAnsi="Times New Roman" w:cs="Times New Roman"/>
          <w:b w:val="0"/>
          <w:i w:val="0"/>
          <w:sz w:val="24"/>
        </w:rPr>
        <w:t>The scope is deliberately constrained to wholesale, cross-border, corporate-treasury payments in three corridors (USD/EUR, USD/JPY, USD/INR), parameterised against 2023–2025 transaction data. Retail CBDC architecture, non-bank stablecoin designs outside the regulated banking perimeter, technical DLT design choices, and monetary-policy transmission are excluded.</w:t>
      </w:r>
    </w:p>
    <w:p>
      <w:pPr>
        <w:spacing w:before="240" w:after="120" w:line="360" w:lineRule="auto"/>
        <w:jc w:val="left"/>
      </w:pPr>
      <w:r>
        <w:rPr>
          <w:rFonts w:ascii="Times New Roman" w:hAnsi="Times New Roman" w:cs="Times New Roman"/>
          <w:b/>
          <w:i w:val="0"/>
          <w:sz w:val="24"/>
        </w:rPr>
        <w:t>1.7 Significance of the Study</w:t>
      </w:r>
    </w:p>
    <w:p>
      <w:pPr>
        <w:spacing w:after="0" w:before="0" w:line="360" w:lineRule="auto"/>
        <w:ind w:firstLine="720"/>
        <w:jc w:val="left"/>
      </w:pPr>
      <w:r>
        <w:rPr>
          <w:rFonts w:ascii="Times New Roman" w:hAnsi="Times New Roman" w:cs="Times New Roman"/>
          <w:b w:val="0"/>
          <w:i w:val="0"/>
          <w:sz w:val="24"/>
        </w:rPr>
        <w:t>For corporate treasurers, the study provides the first corridor-level estimate of immobilised nostro capital that atomic settlement could release. For central banks, it offers a demand-side estimate of convergence benefits set against the marginal cost of multilateral CBDC bridges. For Indian policymakers, it situates the RBI CBDC programme within a comparative global frame rather than treating the pilot as a standalone domestic exercise.</w:t>
      </w:r>
    </w:p>
    <w:p>
      <w:pPr>
        <w:spacing w:before="240" w:after="120" w:line="360" w:lineRule="auto"/>
        <w:jc w:val="left"/>
      </w:pPr>
      <w:r>
        <w:rPr>
          <w:rFonts w:ascii="Times New Roman" w:hAnsi="Times New Roman" w:cs="Times New Roman"/>
          <w:b/>
          <w:i w:val="0"/>
          <w:sz w:val="24"/>
        </w:rPr>
        <w:t>1.8 Organisation of the Report</w:t>
      </w:r>
    </w:p>
    <w:p>
      <w:pPr>
        <w:spacing w:after="0" w:before="0" w:line="360" w:lineRule="auto"/>
        <w:ind w:firstLine="720"/>
        <w:jc w:val="left"/>
      </w:pPr>
      <w:r>
        <w:rPr>
          <w:rFonts w:ascii="Times New Roman" w:hAnsi="Times New Roman" w:cs="Times New Roman"/>
          <w:b w:val="0"/>
          <w:i w:val="0"/>
          <w:sz w:val="24"/>
        </w:rPr>
        <w:t>Chapter 2 develops the literature review and theoretical framework. Chapter 3 details the three-phase research design. Chapter 4 reports architecture evidence and quantitative findings. Chapter 5 discusses corridor-level asymmetries and scenario sensitivity. Chapter 6 sets out risks, regulatory considerations, and recommendations. Chapter 7 summarises and identifies directions for further research.</w:t>
      </w:r>
    </w:p>
    <w:p>
      <w:r>
        <w:br w:type="page"/>
      </w:r>
    </w:p>
    <w:p>
      <w:pPr>
        <w:spacing w:before="240" w:after="240" w:line="360" w:lineRule="auto"/>
        <w:jc w:val="center"/>
      </w:pPr>
      <w:r>
        <w:rPr>
          <w:rFonts w:ascii="Times New Roman" w:hAnsi="Times New Roman" w:cs="Times New Roman"/>
          <w:b/>
          <w:i w:val="0"/>
          <w:sz w:val="28"/>
        </w:rPr>
        <w:t>CHAPTER 2: LITERATURE REVIEW AND CONCEPTUAL FRAMEWORK</w:t>
      </w:r>
    </w:p>
    <w:p>
      <w:pPr>
        <w:spacing w:before="240" w:after="120" w:line="360" w:lineRule="auto"/>
        <w:jc w:val="left"/>
      </w:pPr>
      <w:r>
        <w:rPr>
          <w:rFonts w:ascii="Times New Roman" w:hAnsi="Times New Roman" w:cs="Times New Roman"/>
          <w:b/>
          <w:i w:val="0"/>
          <w:sz w:val="24"/>
        </w:rPr>
        <w:t>2.1 Evolution of Cross-Border Settlement</w:t>
      </w:r>
    </w:p>
    <w:p>
      <w:pPr>
        <w:spacing w:after="0" w:before="0" w:line="360" w:lineRule="auto"/>
        <w:ind w:firstLine="720"/>
        <w:jc w:val="left"/>
      </w:pPr>
      <w:r>
        <w:rPr>
          <w:rFonts w:ascii="Times New Roman" w:hAnsi="Times New Roman" w:cs="Times New Roman"/>
          <w:b w:val="0"/>
          <w:i w:val="0"/>
          <w:sz w:val="24"/>
        </w:rPr>
        <w:t>Modern cross-border settlement traces its lineage to 1973, when SWIFT was incorporated as a Belgian cooperative to replace telex-based interbank messaging (Scott &amp; Zachariadis, 2014). The architecture that grew around it — correspondent banks, nostro accounts, T+2 clearing — evolved through the 1980s and 1990s with cost and risk tolerated for want of alternatives.</w:t>
      </w:r>
    </w:p>
    <w:p>
      <w:pPr>
        <w:spacing w:after="0" w:before="0" w:line="360" w:lineRule="auto"/>
        <w:ind w:firstLine="720"/>
        <w:jc w:val="left"/>
      </w:pPr>
      <w:r>
        <w:rPr>
          <w:rFonts w:ascii="Times New Roman" w:hAnsi="Times New Roman" w:cs="Times New Roman"/>
          <w:b w:val="0"/>
          <w:i w:val="0"/>
          <w:sz w:val="24"/>
        </w:rPr>
        <w:t>Tolerance broke in the 2008 crisis, which made visible the scale of counterparty credit risk in uncleared payments (Duffie, 2011) and the liquidity cost of maintaining pre-funded nostro balances across jurisdictions (CPMI, 2018). Under Basel III, the LCR codified in BCBS 238 (BCBS, 2013) required banks to hold sufficient HQLA to withstand a 30-day stress event, with foreign nostro balances treated conservatively. A parallel literature surveyed by the Financial Stability Board (FSB, 2023) began to treat tokenization not as a crypto-native phenomenon but as a development arising within the regulated banking perimeter.</w:t>
      </w:r>
    </w:p>
    <w:p>
      <w:pPr>
        <w:spacing w:before="160" w:after="40" w:line="240" w:lineRule="auto"/>
        <w:jc w:val="left"/>
      </w:pPr>
      <w:r>
        <w:rPr>
          <w:rFonts w:ascii="Times New Roman" w:hAnsi="Times New Roman" w:cs="Times New Roman"/>
          <w:b/>
          <w:i w:val="0"/>
          <w:sz w:val="24"/>
        </w:rPr>
        <w:t>Figure 1</w:t>
      </w:r>
    </w:p>
    <w:p>
      <w:pPr>
        <w:spacing w:after="80" w:line="240" w:lineRule="auto"/>
      </w:pPr>
      <w:r>
        <w:rPr>
          <w:rFonts w:ascii="Times New Roman" w:hAnsi="Times New Roman" w:cs="Times New Roman"/>
          <w:b w:val="0"/>
          <w:i/>
          <w:sz w:val="24"/>
        </w:rPr>
        <w:t>Evolution of Cross-Border Settlement (1973–2025)</w:t>
      </w:r>
    </w:p>
    <w:p>
      <w:pPr>
        <w:spacing w:before="80" w:after="80" w:line="240" w:lineRule="auto"/>
        <w:jc w:val="center"/>
      </w:pPr>
      <w:r>
        <w:drawing>
          <wp:inline xmlns:a="http://schemas.openxmlformats.org/drawingml/2006/main" xmlns:pic="http://schemas.openxmlformats.org/drawingml/2006/picture">
            <wp:extent cx="5669280" cy="2590026"/>
            <wp:docPr id="1" name="Picture 1"/>
            <wp:cNvGraphicFramePr>
              <a:graphicFrameLocks noChangeAspect="1"/>
            </wp:cNvGraphicFramePr>
            <a:graphic>
              <a:graphicData uri="http://schemas.openxmlformats.org/drawingml/2006/picture">
                <pic:pic>
                  <pic:nvPicPr>
                    <pic:cNvPr id="0" name="fig1_timeline.png"/>
                    <pic:cNvPicPr/>
                  </pic:nvPicPr>
                  <pic:blipFill>
                    <a:blip r:embed="rId10"/>
                    <a:stretch>
                      <a:fillRect/>
                    </a:stretch>
                  </pic:blipFill>
                  <pic:spPr>
                    <a:xfrm>
                      <a:off x="0" y="0"/>
                      <a:ext cx="5669280" cy="2590026"/>
                    </a:xfrm>
                    <a:prstGeom prst="rect"/>
                  </pic:spPr>
                </pic:pic>
              </a:graphicData>
            </a:graphic>
          </wp:inline>
        </w:drawing>
      </w:r>
    </w:p>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Synthesised from BIS Innovation Hub (2024), Carstens (2023), CPMI (2023), and Galati (2002).</w:t>
      </w:r>
    </w:p>
    <w:p>
      <w:pPr>
        <w:spacing w:before="240" w:after="120" w:line="360" w:lineRule="auto"/>
        <w:jc w:val="left"/>
      </w:pPr>
      <w:r>
        <w:rPr>
          <w:rFonts w:ascii="Times New Roman" w:hAnsi="Times New Roman" w:cs="Times New Roman"/>
          <w:b/>
          <w:i w:val="0"/>
          <w:sz w:val="24"/>
        </w:rPr>
        <w:t>2.2 Project Dunbar</w:t>
      </w:r>
    </w:p>
    <w:p>
      <w:pPr>
        <w:spacing w:after="0" w:before="0" w:line="360" w:lineRule="auto"/>
        <w:ind w:firstLine="720"/>
        <w:jc w:val="left"/>
      </w:pPr>
      <w:r>
        <w:rPr>
          <w:rFonts w:ascii="Times New Roman" w:hAnsi="Times New Roman" w:cs="Times New Roman"/>
          <w:b w:val="0"/>
          <w:i w:val="0"/>
          <w:sz w:val="24"/>
        </w:rPr>
        <w:t>Project Dunbar (BIS Innovation Hub, 2022) tested whether wCBDCs issued by Australia, Malaysia, Singapore, and South Africa could coexist on a single DLT platform. The pilot produced a technical prototype with three architectural alternatives and, more consequentially, exposed governance questions of access, foreign-currency holdings, and cross-jurisdictional recognition. Each design choice propagates to corporate-treasury behaviour because each determines the number of intermediation layers in the cross-border value chain.</w:t>
      </w:r>
    </w:p>
    <w:p>
      <w:pPr>
        <w:spacing w:before="240" w:after="120" w:line="360" w:lineRule="auto"/>
        <w:jc w:val="left"/>
      </w:pPr>
      <w:r>
        <w:rPr>
          <w:rFonts w:ascii="Times New Roman" w:hAnsi="Times New Roman" w:cs="Times New Roman"/>
          <w:b/>
          <w:i w:val="0"/>
          <w:sz w:val="24"/>
        </w:rPr>
        <w:t>2.3 Project Agora</w:t>
      </w:r>
    </w:p>
    <w:p>
      <w:pPr>
        <w:spacing w:after="0" w:before="0" w:line="360" w:lineRule="auto"/>
        <w:ind w:firstLine="720"/>
        <w:jc w:val="left"/>
      </w:pPr>
      <w:r>
        <w:rPr>
          <w:rFonts w:ascii="Times New Roman" w:hAnsi="Times New Roman" w:cs="Times New Roman"/>
          <w:b w:val="0"/>
          <w:i w:val="0"/>
          <w:sz w:val="24"/>
        </w:rPr>
        <w:t>Project Agora brings together seven central banks — Banque de France (Eurosystem), Bank of Japan, Bank of Korea, Bank of Mexico, Swiss National Bank, Bank of England, and Federal Reserve Bank of New York — with more than 60 non-bank financial institutions organised through the Institute of International Finance (BIS Innovation Hub, 2024). Its distinctive ambition is to place tokenized deposits and wCBDCs on the same programmable layer, enabling composite operations through smart contracts rather than sequential messages. Pilot results (BIS, 2025) report successful Payment-versus-Payment (PvP) and Delivery-versus-Payment (DvP) transactions across seven corridors. Two characteristics matter most: the same token can cross jurisdictions without re-wrapping, and the FX and payment legs execute as a single composite operation.</w:t>
      </w:r>
    </w:p>
    <w:p>
      <w:pPr>
        <w:spacing w:before="240" w:after="120" w:line="360" w:lineRule="auto"/>
        <w:jc w:val="left"/>
      </w:pPr>
      <w:r>
        <w:rPr>
          <w:rFonts w:ascii="Times New Roman" w:hAnsi="Times New Roman" w:cs="Times New Roman"/>
          <w:b/>
          <w:i w:val="0"/>
          <w:sz w:val="24"/>
        </w:rPr>
        <w:t>2.4 The Unified Ledger Thesis</w:t>
      </w:r>
    </w:p>
    <w:p>
      <w:pPr>
        <w:spacing w:after="0" w:before="0" w:line="360" w:lineRule="auto"/>
        <w:ind w:firstLine="720"/>
        <w:jc w:val="left"/>
      </w:pPr>
      <w:r>
        <w:rPr>
          <w:rFonts w:ascii="Times New Roman" w:hAnsi="Times New Roman" w:cs="Times New Roman"/>
          <w:b w:val="0"/>
          <w:i w:val="0"/>
          <w:sz w:val="24"/>
        </w:rPr>
        <w:t>The conceptual scaffolding for Agora was laid in Carstens's (2023) BIS chapter, "A Blueprint for the Future Monetary System." The Unified Ledger posits a single programmable environment in which central-bank money, commercial-bank money, and tokenized real-world assets are co-located, enabling composite financial operations to execute atomically. It remains a thesis rather than an operating system; the distance between this theoretical optimum and present hybrid reality is precisely what this study measures.</w:t>
      </w:r>
    </w:p>
    <w:p>
      <w:pPr>
        <w:spacing w:before="240" w:after="120" w:line="360" w:lineRule="auto"/>
        <w:jc w:val="left"/>
      </w:pPr>
      <w:r>
        <w:rPr>
          <w:rFonts w:ascii="Times New Roman" w:hAnsi="Times New Roman" w:cs="Times New Roman"/>
          <w:b/>
          <w:i w:val="0"/>
          <w:sz w:val="24"/>
        </w:rPr>
        <w:t>2.5 J.P. Morgan Onyx and JPM Coin</w:t>
      </w:r>
    </w:p>
    <w:p>
      <w:pPr>
        <w:spacing w:after="0" w:before="0" w:line="360" w:lineRule="auto"/>
        <w:ind w:firstLine="720"/>
        <w:jc w:val="left"/>
      </w:pPr>
      <w:r>
        <w:rPr>
          <w:rFonts w:ascii="Times New Roman" w:hAnsi="Times New Roman" w:cs="Times New Roman"/>
          <w:b w:val="0"/>
          <w:i w:val="0"/>
          <w:sz w:val="24"/>
        </w:rPr>
        <w:t>By 2024, the Onyx platform was settling more than USD 1 billion daily in intraday repo and had cumulatively cleared more than USD 1.5 trillion of tokenized collateral and cross-border dollar transfers (J.P. Morgan, 2024). JPM Coin (operating under the Kinexys brand) is par-redeemable within the Onyx ecosystem on a permissioned DLT. Onyx is simultaneously a proof point — tokenized deposits scale within a single sovereign walled garden — and a cautionary tale: because JPM Coin cannot be redeemed against another tokenized dollar of comparable legal standing, the system reproduces in digital form the ledger-interoperability tensions tokenization was supposed to dissolve.</w:t>
      </w:r>
    </w:p>
    <w:p>
      <w:pPr>
        <w:spacing w:before="240" w:after="120" w:line="360" w:lineRule="auto"/>
        <w:jc w:val="left"/>
      </w:pPr>
      <w:r>
        <w:rPr>
          <w:rFonts w:ascii="Times New Roman" w:hAnsi="Times New Roman" w:cs="Times New Roman"/>
          <w:b/>
          <w:i w:val="0"/>
          <w:sz w:val="24"/>
        </w:rPr>
        <w:t>2.6 Basel Coverage of Tokenized Deposits</w:t>
      </w:r>
    </w:p>
    <w:p>
      <w:pPr>
        <w:spacing w:after="0" w:before="0" w:line="360" w:lineRule="auto"/>
        <w:ind w:firstLine="720"/>
        <w:jc w:val="left"/>
      </w:pPr>
      <w:r>
        <w:rPr>
          <w:rFonts w:ascii="Times New Roman" w:hAnsi="Times New Roman" w:cs="Times New Roman"/>
          <w:b w:val="0"/>
          <w:i w:val="0"/>
          <w:sz w:val="24"/>
        </w:rPr>
        <w:t>Under BCBS 238, banks must hold sufficient HQLA to cover net cash outflows over a 30-day stress window (BCBS, 2013); the LCR is binding at ≥ 100%. National regulators have diverged on tokenized-deposit treatment: some signal an explicit hold pending pilot evidence; others indicate conservative haircuts (FSB, 2023; BCBS, 2024). This study treats the jurisdictional haircut as a random variable with a uniform prior over [0%, 25%] for non-U.S. jurisdictions.</w:t>
      </w:r>
    </w:p>
    <w:p>
      <w:pPr>
        <w:spacing w:before="240" w:after="120" w:line="360" w:lineRule="auto"/>
        <w:jc w:val="left"/>
      </w:pPr>
      <w:r>
        <w:rPr>
          <w:rFonts w:ascii="Times New Roman" w:hAnsi="Times New Roman" w:cs="Times New Roman"/>
          <w:b/>
          <w:i w:val="0"/>
          <w:sz w:val="24"/>
        </w:rPr>
        <w:t>2.7 The RBI Digital Rupee Pilot</w:t>
      </w:r>
    </w:p>
    <w:p>
      <w:pPr>
        <w:spacing w:after="0" w:before="0" w:line="360" w:lineRule="auto"/>
        <w:ind w:firstLine="720"/>
        <w:jc w:val="left"/>
      </w:pPr>
      <w:r>
        <w:rPr>
          <w:rFonts w:ascii="Times New Roman" w:hAnsi="Times New Roman" w:cs="Times New Roman"/>
          <w:b w:val="0"/>
          <w:i w:val="0"/>
          <w:sz w:val="24"/>
        </w:rPr>
        <w:t>The RBI launched its wholesale CBDC pilot in November 2022 in the call-money market, with the retail pilot following in December 2022. By early 2025, the retail leg had surpassed five million users while the wholesale leg extended to government-securities settlement (RBI, 2025). The pilot has been deliberately gradual, with financial-stability and capital-flow considerations cited as rationale (RBI, 2024). FEDAI-cleared daily USD/INR turnover averaged USD 25–30 billion in 2023–2024 (FEDAI, 2024), implying that even partial migration to atomic settlement would generate material Indian-side CCS contributions.</w:t>
      </w:r>
    </w:p>
    <w:p>
      <w:pPr>
        <w:spacing w:before="240" w:after="120" w:line="360" w:lineRule="auto"/>
        <w:jc w:val="left"/>
      </w:pPr>
      <w:r>
        <w:rPr>
          <w:rFonts w:ascii="Times New Roman" w:hAnsi="Times New Roman" w:cs="Times New Roman"/>
          <w:b/>
          <w:i w:val="0"/>
          <w:sz w:val="24"/>
        </w:rPr>
        <w:t>2.8 Theoretical Framework</w:t>
      </w:r>
    </w:p>
    <w:p>
      <w:pPr>
        <w:spacing w:before="160" w:after="80" w:line="360" w:lineRule="auto"/>
        <w:jc w:val="left"/>
      </w:pPr>
      <w:r>
        <w:rPr>
          <w:rFonts w:ascii="Times New Roman" w:hAnsi="Times New Roman" w:cs="Times New Roman"/>
          <w:b/>
          <w:i/>
          <w:sz w:val="24"/>
        </w:rPr>
        <w:t>2.8.1 Singleness of Money</w:t>
      </w:r>
    </w:p>
    <w:p>
      <w:pPr>
        <w:spacing w:after="0" w:before="0" w:line="360" w:lineRule="auto"/>
        <w:ind w:firstLine="720"/>
        <w:jc w:val="left"/>
      </w:pPr>
      <w:r>
        <w:rPr>
          <w:rFonts w:ascii="Times New Roman" w:hAnsi="Times New Roman" w:cs="Times New Roman"/>
          <w:b w:val="0"/>
          <w:i w:val="0"/>
          <w:sz w:val="24"/>
        </w:rPr>
        <w:t>The organising lens is the proposition that one unit of currency must be worth the same on every ledger that records it (BIS, 2023). In a tokenized world, this anchor must be re-established by central-bank reserves. The Interoperability Gap is the corporate-treasury cost of that erosion, operationalised through RRSE and CCS.</w:t>
      </w:r>
    </w:p>
    <w:p>
      <w:pPr>
        <w:spacing w:before="160" w:after="80" w:line="360" w:lineRule="auto"/>
        <w:jc w:val="left"/>
      </w:pPr>
      <w:r>
        <w:rPr>
          <w:rFonts w:ascii="Times New Roman" w:hAnsi="Times New Roman" w:cs="Times New Roman"/>
          <w:b/>
          <w:i/>
          <w:sz w:val="24"/>
        </w:rPr>
        <w:t>2.8.2 Herstatt Risk and Settlement Finality</w:t>
      </w:r>
    </w:p>
    <w:p>
      <w:pPr>
        <w:spacing w:after="0" w:before="0" w:line="360" w:lineRule="auto"/>
        <w:ind w:firstLine="720"/>
        <w:jc w:val="left"/>
      </w:pPr>
      <w:r>
        <w:rPr>
          <w:rFonts w:ascii="Times New Roman" w:hAnsi="Times New Roman" w:cs="Times New Roman"/>
          <w:b w:val="0"/>
          <w:i w:val="0"/>
          <w:sz w:val="24"/>
        </w:rPr>
        <w:t>The canonical concept of settlement risk since 1974 has been Herstatt risk — the exposure between the settlement of one leg of a cross-currency transaction and the other (Galati, 2002). Atomic settlement collapses the exposure window to near zero within a single ledger; RRSE numerically characterises this compression.</w:t>
      </w:r>
    </w:p>
    <w:p>
      <w:pPr>
        <w:spacing w:before="160" w:after="80" w:line="360" w:lineRule="auto"/>
        <w:jc w:val="left"/>
      </w:pPr>
      <w:r>
        <w:rPr>
          <w:rFonts w:ascii="Times New Roman" w:hAnsi="Times New Roman" w:cs="Times New Roman"/>
          <w:b/>
          <w:i/>
          <w:sz w:val="24"/>
        </w:rPr>
        <w:t>2.8.3 Liquidity-Management Theory</w:t>
      </w:r>
    </w:p>
    <w:p>
      <w:pPr>
        <w:spacing w:after="0" w:before="0" w:line="360" w:lineRule="auto"/>
        <w:ind w:firstLine="720"/>
        <w:jc w:val="left"/>
      </w:pPr>
      <w:r>
        <w:rPr>
          <w:rFonts w:ascii="Times New Roman" w:hAnsi="Times New Roman" w:cs="Times New Roman"/>
          <w:b w:val="0"/>
          <w:i w:val="0"/>
          <w:sz w:val="24"/>
        </w:rPr>
        <w:t>Classical theory (Baumol, 1952; Miller &amp; Orr, 1966) treats cash holdings as the resolution of a transaction-cost / opportunity-cost trade-off. The cross-border analogue replaces cash with pre-funded nostro and the opportunity-cost rate with a WACC proxy. At 9% WACC, a USD 500 million buffer carries USD 45 million of annual opportunity cost — a magnitude that makes even partial reductions financially consequential.</w:t>
      </w:r>
    </w:p>
    <w:p>
      <w:pPr>
        <w:spacing w:before="160" w:after="80" w:line="360" w:lineRule="auto"/>
        <w:jc w:val="left"/>
      </w:pPr>
      <w:r>
        <w:rPr>
          <w:rFonts w:ascii="Times New Roman" w:hAnsi="Times New Roman" w:cs="Times New Roman"/>
          <w:b/>
          <w:i/>
          <w:sz w:val="24"/>
        </w:rPr>
        <w:t>2.8.4 Diffusion of Innovation</w:t>
      </w:r>
    </w:p>
    <w:p>
      <w:pPr>
        <w:spacing w:after="0" w:before="0" w:line="360" w:lineRule="auto"/>
        <w:ind w:firstLine="720"/>
        <w:jc w:val="left"/>
      </w:pPr>
      <w:r>
        <w:rPr>
          <w:rFonts w:ascii="Times New Roman" w:hAnsi="Times New Roman" w:cs="Times New Roman"/>
          <w:b w:val="0"/>
          <w:i w:val="0"/>
          <w:sz w:val="24"/>
        </w:rPr>
        <w:t>The three adoption scenarios derive from Rogers' (2003) framework: Fast Convergence, Fragmented Coexistence, and Regulatory Shock. These correspond approximately to early-majority, late-majority, and laggard/reversal trajectories, anchoring the sensitivity analysis in Phase II.</w:t>
      </w:r>
    </w:p>
    <w:p>
      <w:pPr>
        <w:spacing w:before="240" w:after="120" w:line="360" w:lineRule="auto"/>
        <w:jc w:val="left"/>
      </w:pPr>
      <w:r>
        <w:rPr>
          <w:rFonts w:ascii="Times New Roman" w:hAnsi="Times New Roman" w:cs="Times New Roman"/>
          <w:b/>
          <w:i w:val="0"/>
          <w:sz w:val="24"/>
        </w:rPr>
        <w:t>2.9 Research Gap</w:t>
      </w:r>
    </w:p>
    <w:p>
      <w:pPr>
        <w:spacing w:after="0" w:before="0" w:line="360" w:lineRule="auto"/>
        <w:ind w:firstLine="720"/>
        <w:jc w:val="left"/>
      </w:pPr>
      <w:r>
        <w:rPr>
          <w:rFonts w:ascii="Times New Roman" w:hAnsi="Times New Roman" w:cs="Times New Roman"/>
          <w:b w:val="0"/>
          <w:i w:val="0"/>
          <w:sz w:val="24"/>
        </w:rPr>
        <w:t>Three gaps emerge. First, prevailing scholarship adopts central-bank or commercial-bank perspectives; the corporate-treasury vantage is under-modelled. Second, the Unified Ledger's efficiency claims are typically asserted rather than measured at corridor level. Third, no existing study calibrates the efficiency estimate to Indian data despite the RBI pilot making India a natural Asian emerging-market reference point.</w:t>
      </w:r>
    </w:p>
    <w:p>
      <w:pPr>
        <w:spacing w:before="240" w:after="120" w:line="360" w:lineRule="auto"/>
        <w:jc w:val="left"/>
      </w:pPr>
      <w:r>
        <w:rPr>
          <w:rFonts w:ascii="Times New Roman" w:hAnsi="Times New Roman" w:cs="Times New Roman"/>
          <w:b/>
          <w:i w:val="0"/>
          <w:sz w:val="24"/>
        </w:rPr>
        <w:t>2.10 Conceptual Framework</w:t>
      </w:r>
    </w:p>
    <w:p>
      <w:pPr>
        <w:spacing w:after="0" w:before="0" w:line="360" w:lineRule="auto"/>
        <w:ind w:firstLine="720"/>
        <w:jc w:val="left"/>
      </w:pPr>
      <w:r>
        <w:rPr>
          <w:rFonts w:ascii="Times New Roman" w:hAnsi="Times New Roman" w:cs="Times New Roman"/>
          <w:b w:val="0"/>
          <w:i w:val="0"/>
          <w:sz w:val="24"/>
        </w:rPr>
        <w:t>Two inputs (the degree of tokenized-deposit adoption and the degree of wCBDC interoperability) feed into two outputs (RRSE and CCS), mediated by three institutional variables (HQLA regulatory treatment, regulatory recognition, and technical DLT compatibility). The structure is deliberately compact; each mediator is associated with a specific sensitivity test in Chapter 3.</w:t>
      </w:r>
    </w:p>
    <w:p>
      <w:pPr>
        <w:spacing w:before="160" w:after="40" w:line="240" w:lineRule="auto"/>
        <w:jc w:val="left"/>
      </w:pPr>
      <w:r>
        <w:rPr>
          <w:rFonts w:ascii="Times New Roman" w:hAnsi="Times New Roman" w:cs="Times New Roman"/>
          <w:b/>
          <w:i w:val="0"/>
          <w:sz w:val="24"/>
        </w:rPr>
        <w:t>Figure 2</w:t>
      </w:r>
    </w:p>
    <w:p>
      <w:pPr>
        <w:spacing w:after="80" w:line="240" w:lineRule="auto"/>
      </w:pPr>
      <w:r>
        <w:rPr>
          <w:rFonts w:ascii="Times New Roman" w:hAnsi="Times New Roman" w:cs="Times New Roman"/>
          <w:b w:val="0"/>
          <w:i/>
          <w:sz w:val="24"/>
        </w:rPr>
        <w:t>The Interoperability Gap: Conceptual Framework</w:t>
      </w:r>
    </w:p>
    <w:p>
      <w:pPr>
        <w:spacing w:before="80" w:after="80" w:line="240" w:lineRule="auto"/>
        <w:jc w:val="center"/>
      </w:pPr>
      <w:r>
        <w:drawing>
          <wp:inline xmlns:a="http://schemas.openxmlformats.org/drawingml/2006/main" xmlns:pic="http://schemas.openxmlformats.org/drawingml/2006/picture">
            <wp:extent cx="5486400" cy="2715491"/>
            <wp:docPr id="2" name="Picture 2"/>
            <wp:cNvGraphicFramePr>
              <a:graphicFrameLocks noChangeAspect="1"/>
            </wp:cNvGraphicFramePr>
            <a:graphic>
              <a:graphicData uri="http://schemas.openxmlformats.org/drawingml/2006/picture">
                <pic:pic>
                  <pic:nvPicPr>
                    <pic:cNvPr id="0" name="fig2_framework.png"/>
                    <pic:cNvPicPr/>
                  </pic:nvPicPr>
                  <pic:blipFill>
                    <a:blip r:embed="rId11"/>
                    <a:stretch>
                      <a:fillRect/>
                    </a:stretch>
                  </pic:blipFill>
                  <pic:spPr>
                    <a:xfrm>
                      <a:off x="0" y="0"/>
                      <a:ext cx="5486400" cy="2715491"/>
                    </a:xfrm>
                    <a:prstGeom prst="rect"/>
                  </pic:spPr>
                </pic:pic>
              </a:graphicData>
            </a:graphic>
          </wp:inline>
        </w:drawing>
      </w:r>
    </w:p>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Two inputs feed two outputs through three institutional mediators. Each mediator corresponds to a sensitivity test in Chapter 3.</w:t>
      </w:r>
    </w:p>
    <w:p>
      <w:r>
        <w:br w:type="page"/>
      </w:r>
    </w:p>
    <w:p>
      <w:pPr>
        <w:spacing w:before="240" w:after="240" w:line="360" w:lineRule="auto"/>
        <w:jc w:val="center"/>
      </w:pPr>
      <w:r>
        <w:rPr>
          <w:rFonts w:ascii="Times New Roman" w:hAnsi="Times New Roman" w:cs="Times New Roman"/>
          <w:b/>
          <w:i w:val="0"/>
          <w:sz w:val="28"/>
        </w:rPr>
        <w:t>CHAPTER 3: RESEARCH METHODOLOGY</w:t>
      </w:r>
    </w:p>
    <w:p>
      <w:pPr>
        <w:spacing w:before="240" w:after="120" w:line="360" w:lineRule="auto"/>
        <w:jc w:val="left"/>
      </w:pPr>
      <w:r>
        <w:rPr>
          <w:rFonts w:ascii="Times New Roman" w:hAnsi="Times New Roman" w:cs="Times New Roman"/>
          <w:b/>
          <w:i w:val="0"/>
          <w:sz w:val="24"/>
        </w:rPr>
        <w:t>3.1 Research Philosophy and Approach</w:t>
      </w:r>
    </w:p>
    <w:p>
      <w:pPr>
        <w:spacing w:after="0" w:before="0" w:line="360" w:lineRule="auto"/>
        <w:ind w:firstLine="720"/>
        <w:jc w:val="left"/>
      </w:pPr>
      <w:r>
        <w:rPr>
          <w:rFonts w:ascii="Times New Roman" w:hAnsi="Times New Roman" w:cs="Times New Roman"/>
          <w:b w:val="0"/>
          <w:i w:val="0"/>
          <w:sz w:val="24"/>
        </w:rPr>
        <w:t>The study is positioned within the positivist tradition. Its central propositions are stated as measurable quantities — exposure windows, liquidity buffers, capital costs — and tested against numerical baselines. The reasoning is inductive: a theoretical expectation from the Unified Ledger thesis is translated into two measurable indicators (RRSE and CCS), then tested through simulation across three corridors and three scenarios. Epistemologically, this constitutes what Creswell (2014) terms a quantitative-dominant mixed-methods design — numbers lead, cases inform.</w:t>
      </w:r>
    </w:p>
    <w:p>
      <w:pPr>
        <w:spacing w:before="240" w:after="120" w:line="360" w:lineRule="auto"/>
        <w:jc w:val="left"/>
      </w:pPr>
      <w:r>
        <w:rPr>
          <w:rFonts w:ascii="Times New Roman" w:hAnsi="Times New Roman" w:cs="Times New Roman"/>
          <w:b/>
          <w:i w:val="0"/>
          <w:sz w:val="24"/>
        </w:rPr>
        <w:t>3.2 Research Design</w:t>
      </w:r>
    </w:p>
    <w:p>
      <w:pPr>
        <w:spacing w:after="0" w:before="0" w:line="360" w:lineRule="auto"/>
        <w:ind w:firstLine="720"/>
        <w:jc w:val="left"/>
      </w:pPr>
      <w:r>
        <w:rPr>
          <w:rFonts w:ascii="Times New Roman" w:hAnsi="Times New Roman" w:cs="Times New Roman"/>
          <w:b w:val="0"/>
          <w:i w:val="0"/>
          <w:sz w:val="24"/>
        </w:rPr>
        <w:t>A three-phase mixed design is adopted. Phase I parameterises the prevailing T+2 SWIFT baseline. Phase II re-runs the same set of transactions under a T+0 atomic-settlement architecture inspired by Project Agora. Phase III triangulates the quantitative output through structured case analysis. Two design advantages obtain over a pure simulation: the T+0 model is grounded in an operational BIS pilot rather than a stylised ideal, and the Indian MNC case surfaces corridor-specific frictions that would otherwise be smoothed by a three-corridor average.</w:t>
      </w:r>
    </w:p>
    <w:p>
      <w:pPr>
        <w:spacing w:before="160" w:after="40" w:line="240" w:lineRule="auto"/>
        <w:jc w:val="left"/>
      </w:pPr>
      <w:r>
        <w:rPr>
          <w:rFonts w:ascii="Times New Roman" w:hAnsi="Times New Roman" w:cs="Times New Roman"/>
          <w:b/>
          <w:i w:val="0"/>
          <w:sz w:val="24"/>
        </w:rPr>
        <w:t>Figure 3</w:t>
      </w:r>
    </w:p>
    <w:p>
      <w:pPr>
        <w:spacing w:after="80" w:line="240" w:lineRule="auto"/>
      </w:pPr>
      <w:r>
        <w:rPr>
          <w:rFonts w:ascii="Times New Roman" w:hAnsi="Times New Roman" w:cs="Times New Roman"/>
          <w:b w:val="0"/>
          <w:i/>
          <w:sz w:val="24"/>
        </w:rPr>
        <w:t>Three-Phase Research Design</w:t>
      </w:r>
    </w:p>
    <w:p>
      <w:pPr>
        <w:spacing w:before="80" w:after="80" w:line="240" w:lineRule="auto"/>
        <w:jc w:val="center"/>
      </w:pPr>
      <w:r>
        <w:drawing>
          <wp:inline xmlns:a="http://schemas.openxmlformats.org/drawingml/2006/main" xmlns:pic="http://schemas.openxmlformats.org/drawingml/2006/picture">
            <wp:extent cx="5669280" cy="2028458"/>
            <wp:docPr id="3" name="Picture 3"/>
            <wp:cNvGraphicFramePr>
              <a:graphicFrameLocks noChangeAspect="1"/>
            </wp:cNvGraphicFramePr>
            <a:graphic>
              <a:graphicData uri="http://schemas.openxmlformats.org/drawingml/2006/picture">
                <pic:pic>
                  <pic:nvPicPr>
                    <pic:cNvPr id="0" name="fig3_design.png"/>
                    <pic:cNvPicPr/>
                  </pic:nvPicPr>
                  <pic:blipFill>
                    <a:blip r:embed="rId12"/>
                    <a:stretch>
                      <a:fillRect/>
                    </a:stretch>
                  </pic:blipFill>
                  <pic:spPr>
                    <a:xfrm>
                      <a:off x="0" y="0"/>
                      <a:ext cx="5669280" cy="2028458"/>
                    </a:xfrm>
                    <a:prstGeom prst="rect"/>
                  </pic:spPr>
                </pic:pic>
              </a:graphicData>
            </a:graphic>
          </wp:inline>
        </w:drawing>
      </w:r>
    </w:p>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Outputs flow sequentially; each phase feeds parameters into the next.</w:t>
      </w:r>
    </w:p>
    <w:p>
      <w:pPr>
        <w:spacing w:before="160" w:after="40" w:line="240" w:lineRule="auto"/>
        <w:jc w:val="left"/>
      </w:pPr>
      <w:r>
        <w:rPr>
          <w:rFonts w:ascii="Times New Roman" w:hAnsi="Times New Roman" w:cs="Times New Roman"/>
          <w:b/>
          <w:i w:val="0"/>
          <w:sz w:val="24"/>
        </w:rPr>
        <w:t>Table 1</w:t>
      </w:r>
    </w:p>
    <w:p>
      <w:pPr>
        <w:spacing w:after="80" w:line="240" w:lineRule="auto"/>
      </w:pPr>
      <w:r>
        <w:rPr>
          <w:rFonts w:ascii="Times New Roman" w:hAnsi="Times New Roman" w:cs="Times New Roman"/>
          <w:b w:val="0"/>
          <w:i/>
          <w:sz w:val="24"/>
        </w:rPr>
        <w:t>Comparison of T+2 and T+0 Settlement Architectures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line="240" w:lineRule="auto"/>
            </w:pPr>
            <w:r/>
            <w:r>
              <w:rPr>
                <w:rFonts w:ascii="Times New Roman" w:hAnsi="Times New Roman" w:cs="Times New Roman"/>
                <w:b/>
                <w:i w:val="0"/>
                <w:sz w:val="22"/>
              </w:rPr>
              <w:t>Dimension</w:t>
            </w:r>
          </w:p>
        </w:tc>
        <w:tc>
          <w:tcPr>
            <w:tcW w:type="dxa" w:w="2880"/>
          </w:tcPr>
          <w:p>
            <w:pPr>
              <w:spacing w:line="240" w:lineRule="auto"/>
            </w:pPr>
            <w:r/>
            <w:r>
              <w:rPr>
                <w:rFonts w:ascii="Times New Roman" w:hAnsi="Times New Roman" w:cs="Times New Roman"/>
                <w:b/>
                <w:i w:val="0"/>
                <w:sz w:val="22"/>
              </w:rPr>
              <w:t>T+2 SWIFT Baseline</w:t>
            </w:r>
          </w:p>
        </w:tc>
        <w:tc>
          <w:tcPr>
            <w:tcW w:type="dxa" w:w="2880"/>
          </w:tcPr>
          <w:p>
            <w:pPr>
              <w:spacing w:line="240" w:lineRule="auto"/>
            </w:pPr>
            <w:r/>
            <w:r>
              <w:rPr>
                <w:rFonts w:ascii="Times New Roman" w:hAnsi="Times New Roman" w:cs="Times New Roman"/>
                <w:b/>
                <w:i w:val="0"/>
                <w:sz w:val="22"/>
              </w:rPr>
              <w:t>T+0 Atomic (Agora-style)</w:t>
            </w:r>
          </w:p>
        </w:tc>
      </w:tr>
      <w:tr>
        <w:tc>
          <w:tcPr>
            <w:tcW w:type="dxa" w:w="2880"/>
          </w:tcPr>
          <w:p>
            <w:pPr>
              <w:spacing w:line="240" w:lineRule="auto"/>
            </w:pPr>
            <w:r/>
            <w:r>
              <w:rPr>
                <w:rFonts w:ascii="Times New Roman" w:hAnsi="Times New Roman" w:cs="Times New Roman"/>
                <w:b w:val="0"/>
                <w:i w:val="0"/>
                <w:sz w:val="22"/>
              </w:rPr>
              <w:t>Settlement finality</w:t>
            </w:r>
          </w:p>
        </w:tc>
        <w:tc>
          <w:tcPr>
            <w:tcW w:type="dxa" w:w="2880"/>
          </w:tcPr>
          <w:p>
            <w:pPr>
              <w:spacing w:line="240" w:lineRule="auto"/>
            </w:pPr>
            <w:r/>
            <w:r>
              <w:rPr>
                <w:rFonts w:ascii="Times New Roman" w:hAnsi="Times New Roman" w:cs="Times New Roman"/>
                <w:b w:val="0"/>
                <w:i w:val="0"/>
                <w:sz w:val="22"/>
              </w:rPr>
              <w:t>End of Day 2</w:t>
            </w:r>
          </w:p>
        </w:tc>
        <w:tc>
          <w:tcPr>
            <w:tcW w:type="dxa" w:w="2880"/>
          </w:tcPr>
          <w:p>
            <w:pPr>
              <w:spacing w:line="240" w:lineRule="auto"/>
            </w:pPr>
            <w:r/>
            <w:r>
              <w:rPr>
                <w:rFonts w:ascii="Times New Roman" w:hAnsi="Times New Roman" w:cs="Times New Roman"/>
                <w:b w:val="0"/>
                <w:i w:val="0"/>
                <w:sz w:val="22"/>
              </w:rPr>
              <w:t>Near-instant (intraday)</w:t>
            </w:r>
          </w:p>
        </w:tc>
      </w:tr>
      <w:tr>
        <w:tc>
          <w:tcPr>
            <w:tcW w:type="dxa" w:w="2880"/>
          </w:tcPr>
          <w:p>
            <w:pPr>
              <w:spacing w:line="240" w:lineRule="auto"/>
            </w:pPr>
            <w:r/>
            <w:r>
              <w:rPr>
                <w:rFonts w:ascii="Times New Roman" w:hAnsi="Times New Roman" w:cs="Times New Roman"/>
                <w:b w:val="0"/>
                <w:i w:val="0"/>
                <w:sz w:val="22"/>
              </w:rPr>
              <w:t>Counterparty exposure window</w:t>
            </w:r>
          </w:p>
        </w:tc>
        <w:tc>
          <w:tcPr>
            <w:tcW w:type="dxa" w:w="2880"/>
          </w:tcPr>
          <w:p>
            <w:pPr>
              <w:spacing w:line="240" w:lineRule="auto"/>
            </w:pPr>
            <w:r/>
            <w:r>
              <w:rPr>
                <w:rFonts w:ascii="Times New Roman" w:hAnsi="Times New Roman" w:cs="Times New Roman"/>
                <w:b w:val="0"/>
                <w:i w:val="0"/>
                <w:sz w:val="22"/>
              </w:rPr>
              <w:t>Approx. 48 hours</w:t>
            </w:r>
          </w:p>
        </w:tc>
        <w:tc>
          <w:tcPr>
            <w:tcW w:type="dxa" w:w="2880"/>
          </w:tcPr>
          <w:p>
            <w:pPr>
              <w:spacing w:line="240" w:lineRule="auto"/>
            </w:pPr>
            <w:r/>
            <w:r>
              <w:rPr>
                <w:rFonts w:ascii="Times New Roman" w:hAnsi="Times New Roman" w:cs="Times New Roman"/>
                <w:b w:val="0"/>
                <w:i w:val="0"/>
                <w:sz w:val="22"/>
              </w:rPr>
              <w:t>Approx. seconds</w:t>
            </w:r>
          </w:p>
        </w:tc>
      </w:tr>
      <w:tr>
        <w:tc>
          <w:tcPr>
            <w:tcW w:type="dxa" w:w="2880"/>
          </w:tcPr>
          <w:p>
            <w:pPr>
              <w:spacing w:line="240" w:lineRule="auto"/>
            </w:pPr>
            <w:r/>
            <w:r>
              <w:rPr>
                <w:rFonts w:ascii="Times New Roman" w:hAnsi="Times New Roman" w:cs="Times New Roman"/>
                <w:b w:val="0"/>
                <w:i w:val="0"/>
                <w:sz w:val="22"/>
              </w:rPr>
              <w:t>Pre-funded nostro</w:t>
            </w:r>
          </w:p>
        </w:tc>
        <w:tc>
          <w:tcPr>
            <w:tcW w:type="dxa" w:w="2880"/>
          </w:tcPr>
          <w:p>
            <w:pPr>
              <w:spacing w:line="240" w:lineRule="auto"/>
            </w:pPr>
            <w:r/>
            <w:r>
              <w:rPr>
                <w:rFonts w:ascii="Times New Roman" w:hAnsi="Times New Roman" w:cs="Times New Roman"/>
                <w:b w:val="0"/>
                <w:i w:val="0"/>
                <w:sz w:val="22"/>
              </w:rPr>
              <w:t>Required, multi-currency</w:t>
            </w:r>
          </w:p>
        </w:tc>
        <w:tc>
          <w:tcPr>
            <w:tcW w:type="dxa" w:w="2880"/>
          </w:tcPr>
          <w:p>
            <w:pPr>
              <w:spacing w:line="240" w:lineRule="auto"/>
            </w:pPr>
            <w:r/>
            <w:r>
              <w:rPr>
                <w:rFonts w:ascii="Times New Roman" w:hAnsi="Times New Roman" w:cs="Times New Roman"/>
                <w:b w:val="0"/>
                <w:i w:val="0"/>
                <w:sz w:val="22"/>
              </w:rPr>
              <w:t>Minimised</w:t>
            </w:r>
          </w:p>
        </w:tc>
      </w:tr>
      <w:tr>
        <w:tc>
          <w:tcPr>
            <w:tcW w:type="dxa" w:w="2880"/>
          </w:tcPr>
          <w:p>
            <w:pPr>
              <w:spacing w:line="240" w:lineRule="auto"/>
            </w:pPr>
            <w:r/>
            <w:r>
              <w:rPr>
                <w:rFonts w:ascii="Times New Roman" w:hAnsi="Times New Roman" w:cs="Times New Roman"/>
                <w:b w:val="0"/>
                <w:i w:val="0"/>
                <w:sz w:val="22"/>
              </w:rPr>
              <w:t>Programmability</w:t>
            </w:r>
          </w:p>
        </w:tc>
        <w:tc>
          <w:tcPr>
            <w:tcW w:type="dxa" w:w="2880"/>
          </w:tcPr>
          <w:p>
            <w:pPr>
              <w:spacing w:line="240" w:lineRule="auto"/>
            </w:pPr>
            <w:r/>
            <w:r>
              <w:rPr>
                <w:rFonts w:ascii="Times New Roman" w:hAnsi="Times New Roman" w:cs="Times New Roman"/>
                <w:b w:val="0"/>
                <w:i w:val="0"/>
                <w:sz w:val="22"/>
              </w:rPr>
              <w:t>None</w:t>
            </w:r>
          </w:p>
        </w:tc>
        <w:tc>
          <w:tcPr>
            <w:tcW w:type="dxa" w:w="2880"/>
          </w:tcPr>
          <w:p>
            <w:pPr>
              <w:spacing w:line="240" w:lineRule="auto"/>
            </w:pPr>
            <w:r/>
            <w:r>
              <w:rPr>
                <w:rFonts w:ascii="Times New Roman" w:hAnsi="Times New Roman" w:cs="Times New Roman"/>
                <w:b w:val="0"/>
                <w:i w:val="0"/>
                <w:sz w:val="22"/>
              </w:rPr>
              <w:t>Native via smart contracts</w:t>
            </w:r>
          </w:p>
        </w:tc>
      </w:tr>
      <w:tr>
        <w:tc>
          <w:tcPr>
            <w:tcW w:type="dxa" w:w="2880"/>
          </w:tcPr>
          <w:p>
            <w:pPr>
              <w:spacing w:line="240" w:lineRule="auto"/>
            </w:pPr>
            <w:r/>
            <w:r>
              <w:rPr>
                <w:rFonts w:ascii="Times New Roman" w:hAnsi="Times New Roman" w:cs="Times New Roman"/>
                <w:b w:val="0"/>
                <w:i w:val="0"/>
                <w:sz w:val="22"/>
              </w:rPr>
              <w:t>HQLA treatment</w:t>
            </w:r>
          </w:p>
        </w:tc>
        <w:tc>
          <w:tcPr>
            <w:tcW w:type="dxa" w:w="2880"/>
          </w:tcPr>
          <w:p>
            <w:pPr>
              <w:spacing w:line="240" w:lineRule="auto"/>
            </w:pPr>
            <w:r/>
            <w:r>
              <w:rPr>
                <w:rFonts w:ascii="Times New Roman" w:hAnsi="Times New Roman" w:cs="Times New Roman"/>
                <w:b w:val="0"/>
                <w:i w:val="0"/>
                <w:sz w:val="22"/>
              </w:rPr>
              <w:t>Established, consistent</w:t>
            </w:r>
          </w:p>
        </w:tc>
        <w:tc>
          <w:tcPr>
            <w:tcW w:type="dxa" w:w="2880"/>
          </w:tcPr>
          <w:p>
            <w:pPr>
              <w:spacing w:line="240" w:lineRule="auto"/>
            </w:pPr>
            <w:r/>
            <w:r>
              <w:rPr>
                <w:rFonts w:ascii="Times New Roman" w:hAnsi="Times New Roman" w:cs="Times New Roman"/>
                <w:b w:val="0"/>
                <w:i w:val="0"/>
                <w:sz w:val="22"/>
              </w:rPr>
              <w:t>Inconsistent across jurisdictions</w:t>
            </w:r>
          </w:p>
        </w:tc>
      </w:tr>
      <w:tr>
        <w:tc>
          <w:tcPr>
            <w:tcW w:type="dxa" w:w="2880"/>
          </w:tcPr>
          <w:p>
            <w:pPr>
              <w:spacing w:line="240" w:lineRule="auto"/>
            </w:pPr>
            <w:r/>
            <w:r>
              <w:rPr>
                <w:rFonts w:ascii="Times New Roman" w:hAnsi="Times New Roman" w:cs="Times New Roman"/>
                <w:b w:val="0"/>
                <w:i w:val="0"/>
                <w:sz w:val="22"/>
              </w:rPr>
              <w:t>Infrastructure locus</w:t>
            </w:r>
          </w:p>
        </w:tc>
        <w:tc>
          <w:tcPr>
            <w:tcW w:type="dxa" w:w="2880"/>
          </w:tcPr>
          <w:p>
            <w:pPr>
              <w:spacing w:line="240" w:lineRule="auto"/>
            </w:pPr>
            <w:r/>
            <w:r>
              <w:rPr>
                <w:rFonts w:ascii="Times New Roman" w:hAnsi="Times New Roman" w:cs="Times New Roman"/>
                <w:b w:val="0"/>
                <w:i w:val="0"/>
                <w:sz w:val="22"/>
              </w:rPr>
              <w:t>SWIFT messaging + RTGS</w:t>
            </w:r>
          </w:p>
        </w:tc>
        <w:tc>
          <w:tcPr>
            <w:tcW w:type="dxa" w:w="2880"/>
          </w:tcPr>
          <w:p>
            <w:pPr>
              <w:spacing w:line="240" w:lineRule="auto"/>
            </w:pPr>
            <w:r/>
            <w:r>
              <w:rPr>
                <w:rFonts w:ascii="Times New Roman" w:hAnsi="Times New Roman" w:cs="Times New Roman"/>
                <w:b w:val="0"/>
                <w:i w:val="0"/>
                <w:sz w:val="22"/>
              </w:rPr>
              <w:t>Shared DLT + smart contracts</w:t>
            </w:r>
          </w:p>
        </w:tc>
      </w:tr>
      <w:tr>
        <w:tc>
          <w:tcPr>
            <w:tcW w:type="dxa" w:w="2880"/>
          </w:tcPr>
          <w:p>
            <w:pPr>
              <w:spacing w:line="240" w:lineRule="auto"/>
            </w:pPr>
            <w:r/>
            <w:r>
              <w:rPr>
                <w:rFonts w:ascii="Times New Roman" w:hAnsi="Times New Roman" w:cs="Times New Roman"/>
                <w:b w:val="0"/>
                <w:i w:val="0"/>
                <w:sz w:val="22"/>
              </w:rPr>
              <w:t>Principal failure mode</w:t>
            </w:r>
          </w:p>
        </w:tc>
        <w:tc>
          <w:tcPr>
            <w:tcW w:type="dxa" w:w="2880"/>
          </w:tcPr>
          <w:p>
            <w:pPr>
              <w:spacing w:line="240" w:lineRule="auto"/>
            </w:pPr>
            <w:r/>
            <w:r>
              <w:rPr>
                <w:rFonts w:ascii="Times New Roman" w:hAnsi="Times New Roman" w:cs="Times New Roman"/>
                <w:b w:val="0"/>
                <w:i w:val="0"/>
                <w:sz w:val="22"/>
              </w:rPr>
              <w:t>One-leg-settled Herstatt risk</w:t>
            </w:r>
          </w:p>
        </w:tc>
        <w:tc>
          <w:tcPr>
            <w:tcW w:type="dxa" w:w="2880"/>
          </w:tcPr>
          <w:p>
            <w:pPr>
              <w:spacing w:line="240" w:lineRule="auto"/>
            </w:pPr>
            <w:r/>
            <w:r>
              <w:rPr>
                <w:rFonts w:ascii="Times New Roman" w:hAnsi="Times New Roman" w:cs="Times New Roman"/>
                <w:b w:val="0"/>
                <w:i w:val="0"/>
                <w:sz w:val="22"/>
              </w:rPr>
              <w:t>Rollback of full composite</w:t>
            </w:r>
          </w:p>
        </w:tc>
      </w:tr>
    </w:tbl>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Authors' construction based on CPMI (2023), BIS Innovation Hub (2024), and Carstens (2023).</w:t>
      </w:r>
    </w:p>
    <w:p>
      <w:pPr>
        <w:spacing w:before="240" w:after="120" w:line="360" w:lineRule="auto"/>
        <w:jc w:val="left"/>
      </w:pPr>
      <w:r>
        <w:rPr>
          <w:rFonts w:ascii="Times New Roman" w:hAnsi="Times New Roman" w:cs="Times New Roman"/>
          <w:b/>
          <w:i w:val="0"/>
          <w:sz w:val="24"/>
        </w:rPr>
        <w:t>3.3 Phase I — Baseline Parameterisation (T+2 SWIFT)</w:t>
      </w:r>
    </w:p>
    <w:p>
      <w:pPr>
        <w:spacing w:after="0" w:before="0" w:line="360" w:lineRule="auto"/>
        <w:ind w:firstLine="720"/>
        <w:jc w:val="left"/>
      </w:pPr>
      <w:r>
        <w:rPr>
          <w:rFonts w:ascii="Times New Roman" w:hAnsi="Times New Roman" w:cs="Times New Roman"/>
          <w:b w:val="0"/>
          <w:i w:val="0"/>
          <w:sz w:val="24"/>
        </w:rPr>
        <w:t>Phase I constructs a stylised settlement model for the three corridors using BIS CPMI statistics and SWIFT transaction data for 2023–2025 (BIS, 2024; SWIFT, 2024). Three baseline indicators are computed: the settlement-exposure window (the uncollateralised period between one leg settling and the other), the pre-funded nostro requirement (intraday balance needed to avoid payment failure at 99% confidence), and the LCR buffer (capital cushion under BCBS 238 stress). Each indicator carries sensitivity bands anchored to empirical 2023–2025 variance, with corridors stratified by ticket size (≤ USD 1m; 1–10m; 10–100m; &gt; 100m).</w:t>
      </w:r>
    </w:p>
    <w:p>
      <w:pPr>
        <w:spacing w:before="240" w:after="120" w:line="360" w:lineRule="auto"/>
        <w:jc w:val="left"/>
      </w:pPr>
      <w:r>
        <w:rPr>
          <w:rFonts w:ascii="Times New Roman" w:hAnsi="Times New Roman" w:cs="Times New Roman"/>
          <w:b/>
          <w:i w:val="0"/>
          <w:sz w:val="24"/>
        </w:rPr>
        <w:t>3.4 Phase II — Atomic Settlement Simulation (T+0)</w:t>
      </w:r>
    </w:p>
    <w:p>
      <w:pPr>
        <w:spacing w:after="0" w:before="0" w:line="360" w:lineRule="auto"/>
        <w:ind w:firstLine="720"/>
        <w:jc w:val="left"/>
      </w:pPr>
      <w:r>
        <w:rPr>
          <w:rFonts w:ascii="Times New Roman" w:hAnsi="Times New Roman" w:cs="Times New Roman"/>
          <w:b w:val="0"/>
          <w:i w:val="0"/>
          <w:sz w:val="24"/>
        </w:rPr>
        <w:t>Phase II re-parameterises the same transaction set under a T+0 architecture. The platform design is drawn from public Project Agora pilot documentation, subject to two conservative abstractions: the consensus mechanism is treated as ideal and FX smart-contract logic is modelled as a single composite transaction. These abstractions favour the T+0 arm, making the computed RRSE an upper bound on production-system performance.</w:t>
      </w:r>
    </w:p>
    <w:p>
      <w:pPr>
        <w:spacing w:after="0" w:before="0" w:line="360" w:lineRule="auto"/>
        <w:ind w:firstLine="720"/>
        <w:jc w:val="left"/>
      </w:pPr>
      <w:r>
        <w:rPr>
          <w:rFonts w:ascii="Times New Roman" w:hAnsi="Times New Roman" w:cs="Times New Roman"/>
          <w:b w:val="0"/>
          <w:i w:val="0"/>
          <w:sz w:val="24"/>
        </w:rPr>
        <w:t>The two headline output metrics are computed as follows:</w:t>
      </w:r>
    </w:p>
    <w:p>
      <w:pPr>
        <w:spacing w:before="80" w:after="80" w:line="360" w:lineRule="auto"/>
        <w:jc w:val="center"/>
      </w:pPr>
      <w:r>
        <w:rPr>
          <w:rFonts w:ascii="Times New Roman" w:hAnsi="Times New Roman" w:cs="Times New Roman"/>
          <w:b/>
          <w:i/>
          <w:sz w:val="24"/>
        </w:rPr>
        <w:t>RRSE = 1 − (T_Atomic / T_T+2)</w:t>
      </w:r>
    </w:p>
    <w:p>
      <w:pPr>
        <w:spacing w:after="80" w:line="360" w:lineRule="auto"/>
        <w:jc w:val="center"/>
      </w:pPr>
      <w:r>
        <w:rPr>
          <w:rFonts w:ascii="Times New Roman" w:hAnsi="Times New Roman" w:cs="Times New Roman"/>
          <w:b/>
          <w:i/>
          <w:sz w:val="24"/>
        </w:rPr>
        <w:t>CCS = (L_T+2 − L_T+0) × WACC_MNC</w:t>
      </w:r>
    </w:p>
    <w:p>
      <w:pPr>
        <w:spacing w:after="0" w:before="0" w:line="360" w:lineRule="auto"/>
        <w:ind w:firstLine="720"/>
        <w:jc w:val="left"/>
      </w:pPr>
      <w:r>
        <w:rPr>
          <w:rFonts w:ascii="Times New Roman" w:hAnsi="Times New Roman" w:cs="Times New Roman"/>
          <w:b w:val="0"/>
          <w:i w:val="0"/>
          <w:sz w:val="24"/>
        </w:rPr>
        <w:t>where T denotes the settlement-exposure duration, L the pre-funded liquidity requirement, and WACC_MNC the firm-level weighted average cost of capital used as a proxy for the opportunity cost of immobilised capital. Variable definitions are reproduced in Table 2.</w:t>
      </w:r>
    </w:p>
    <w:p>
      <w:pPr>
        <w:spacing w:before="160" w:after="40" w:line="240" w:lineRule="auto"/>
        <w:jc w:val="left"/>
      </w:pPr>
      <w:r>
        <w:rPr>
          <w:rFonts w:ascii="Times New Roman" w:hAnsi="Times New Roman" w:cs="Times New Roman"/>
          <w:b/>
          <w:i w:val="0"/>
          <w:sz w:val="24"/>
        </w:rPr>
        <w:t>Table 2</w:t>
      </w:r>
    </w:p>
    <w:p>
      <w:pPr>
        <w:spacing w:after="80" w:line="240" w:lineRule="auto"/>
      </w:pPr>
      <w:r>
        <w:rPr>
          <w:rFonts w:ascii="Times New Roman" w:hAnsi="Times New Roman" w:cs="Times New Roman"/>
          <w:b w:val="0"/>
          <w:i/>
          <w:sz w:val="24"/>
        </w:rPr>
        <w:t>Variable Definitions for RRSE and CCS</w:t>
      </w:r>
    </w:p>
    <w:tbl>
      <w:tblPr>
        <w:tblStyle w:val="LightGrid-Accent1"/>
        <w:tblW w:type="auto" w:w="0"/>
        <w:jc w:val="center"/>
        <w:tblLook w:firstColumn="1" w:firstRow="1" w:lastColumn="0" w:lastRow="0" w:noHBand="0" w:noVBand="1" w:val="04A0"/>
      </w:tblPr>
      <w:tblGrid>
        <w:gridCol w:w="2880"/>
        <w:gridCol w:w="2880"/>
        <w:gridCol w:w="2880"/>
      </w:tblGrid>
      <w:tr>
        <w:tc>
          <w:tcPr>
            <w:tcW w:type="dxa" w:w="1728"/>
          </w:tcPr>
          <w:p>
            <w:pPr>
              <w:spacing w:line="240" w:lineRule="auto"/>
            </w:pPr>
            <w:r/>
            <w:r>
              <w:rPr>
                <w:rFonts w:ascii="Times New Roman" w:hAnsi="Times New Roman" w:cs="Times New Roman"/>
                <w:b/>
                <w:i w:val="0"/>
                <w:sz w:val="22"/>
              </w:rPr>
              <w:t>Variable</w:t>
            </w:r>
          </w:p>
        </w:tc>
        <w:tc>
          <w:tcPr>
            <w:tcW w:type="dxa" w:w="5040"/>
          </w:tcPr>
          <w:p>
            <w:pPr>
              <w:spacing w:line="240" w:lineRule="auto"/>
            </w:pPr>
            <w:r/>
            <w:r>
              <w:rPr>
                <w:rFonts w:ascii="Times New Roman" w:hAnsi="Times New Roman" w:cs="Times New Roman"/>
                <w:b/>
                <w:i w:val="0"/>
                <w:sz w:val="22"/>
              </w:rPr>
              <w:t>Definition</w:t>
            </w:r>
          </w:p>
        </w:tc>
        <w:tc>
          <w:tcPr>
            <w:tcW w:type="dxa" w:w="1872"/>
          </w:tcPr>
          <w:p>
            <w:pPr>
              <w:spacing w:line="240" w:lineRule="auto"/>
            </w:pPr>
            <w:r/>
            <w:r>
              <w:rPr>
                <w:rFonts w:ascii="Times New Roman" w:hAnsi="Times New Roman" w:cs="Times New Roman"/>
                <w:b/>
                <w:i w:val="0"/>
                <w:sz w:val="22"/>
              </w:rPr>
              <w:t>Units</w:t>
            </w:r>
          </w:p>
        </w:tc>
      </w:tr>
      <w:tr>
        <w:tc>
          <w:tcPr>
            <w:tcW w:type="dxa" w:w="1728"/>
          </w:tcPr>
          <w:p>
            <w:pPr>
              <w:spacing w:line="240" w:lineRule="auto"/>
            </w:pPr>
            <w:r/>
            <w:r>
              <w:rPr>
                <w:rFonts w:ascii="Times New Roman" w:hAnsi="Times New Roman" w:cs="Times New Roman"/>
                <w:b w:val="0"/>
                <w:i w:val="0"/>
                <w:sz w:val="22"/>
              </w:rPr>
              <w:t>T_T+2</w:t>
            </w:r>
          </w:p>
        </w:tc>
        <w:tc>
          <w:tcPr>
            <w:tcW w:type="dxa" w:w="5040"/>
          </w:tcPr>
          <w:p>
            <w:pPr>
              <w:spacing w:line="240" w:lineRule="auto"/>
            </w:pPr>
            <w:r/>
            <w:r>
              <w:rPr>
                <w:rFonts w:ascii="Times New Roman" w:hAnsi="Times New Roman" w:cs="Times New Roman"/>
                <w:b w:val="0"/>
                <w:i w:val="0"/>
                <w:sz w:val="22"/>
              </w:rPr>
              <w:t>Mean settlement-exposure duration under SWIFT baseline</w:t>
            </w:r>
          </w:p>
        </w:tc>
        <w:tc>
          <w:tcPr>
            <w:tcW w:type="dxa" w:w="1872"/>
          </w:tcPr>
          <w:p>
            <w:pPr>
              <w:spacing w:line="240" w:lineRule="auto"/>
            </w:pPr>
            <w:r/>
            <w:r>
              <w:rPr>
                <w:rFonts w:ascii="Times New Roman" w:hAnsi="Times New Roman" w:cs="Times New Roman"/>
                <w:b w:val="0"/>
                <w:i w:val="0"/>
                <w:sz w:val="22"/>
              </w:rPr>
              <w:t>Hours</w:t>
            </w:r>
          </w:p>
        </w:tc>
      </w:tr>
      <w:tr>
        <w:tc>
          <w:tcPr>
            <w:tcW w:type="dxa" w:w="1728"/>
          </w:tcPr>
          <w:p>
            <w:pPr>
              <w:spacing w:line="240" w:lineRule="auto"/>
            </w:pPr>
            <w:r/>
            <w:r>
              <w:rPr>
                <w:rFonts w:ascii="Times New Roman" w:hAnsi="Times New Roman" w:cs="Times New Roman"/>
                <w:b w:val="0"/>
                <w:i w:val="0"/>
                <w:sz w:val="22"/>
              </w:rPr>
              <w:t>T_Atomic</w:t>
            </w:r>
          </w:p>
        </w:tc>
        <w:tc>
          <w:tcPr>
            <w:tcW w:type="dxa" w:w="5040"/>
          </w:tcPr>
          <w:p>
            <w:pPr>
              <w:spacing w:line="240" w:lineRule="auto"/>
            </w:pPr>
            <w:r/>
            <w:r>
              <w:rPr>
                <w:rFonts w:ascii="Times New Roman" w:hAnsi="Times New Roman" w:cs="Times New Roman"/>
                <w:b w:val="0"/>
                <w:i w:val="0"/>
                <w:sz w:val="22"/>
              </w:rPr>
              <w:t>Mean settlement-exposure duration under Agora-inspired T+0 platform</w:t>
            </w:r>
          </w:p>
        </w:tc>
        <w:tc>
          <w:tcPr>
            <w:tcW w:type="dxa" w:w="1872"/>
          </w:tcPr>
          <w:p>
            <w:pPr>
              <w:spacing w:line="240" w:lineRule="auto"/>
            </w:pPr>
            <w:r/>
            <w:r>
              <w:rPr>
                <w:rFonts w:ascii="Times New Roman" w:hAnsi="Times New Roman" w:cs="Times New Roman"/>
                <w:b w:val="0"/>
                <w:i w:val="0"/>
                <w:sz w:val="22"/>
              </w:rPr>
              <w:t>Seconds</w:t>
            </w:r>
          </w:p>
        </w:tc>
      </w:tr>
      <w:tr>
        <w:tc>
          <w:tcPr>
            <w:tcW w:type="dxa" w:w="1728"/>
          </w:tcPr>
          <w:p>
            <w:pPr>
              <w:spacing w:line="240" w:lineRule="auto"/>
            </w:pPr>
            <w:r/>
            <w:r>
              <w:rPr>
                <w:rFonts w:ascii="Times New Roman" w:hAnsi="Times New Roman" w:cs="Times New Roman"/>
                <w:b w:val="0"/>
                <w:i w:val="0"/>
                <w:sz w:val="22"/>
              </w:rPr>
              <w:t>L_T+2</w:t>
            </w:r>
          </w:p>
        </w:tc>
        <w:tc>
          <w:tcPr>
            <w:tcW w:type="dxa" w:w="5040"/>
          </w:tcPr>
          <w:p>
            <w:pPr>
              <w:spacing w:line="240" w:lineRule="auto"/>
            </w:pPr>
            <w:r/>
            <w:r>
              <w:rPr>
                <w:rFonts w:ascii="Times New Roman" w:hAnsi="Times New Roman" w:cs="Times New Roman"/>
                <w:b w:val="0"/>
                <w:i w:val="0"/>
                <w:sz w:val="22"/>
              </w:rPr>
              <w:t>Pre-funded nostro liquidity required under baseline, per corridor</w:t>
            </w:r>
          </w:p>
        </w:tc>
        <w:tc>
          <w:tcPr>
            <w:tcW w:type="dxa" w:w="1872"/>
          </w:tcPr>
          <w:p>
            <w:pPr>
              <w:spacing w:line="240" w:lineRule="auto"/>
            </w:pPr>
            <w:r/>
            <w:r>
              <w:rPr>
                <w:rFonts w:ascii="Times New Roman" w:hAnsi="Times New Roman" w:cs="Times New Roman"/>
                <w:b w:val="0"/>
                <w:i w:val="0"/>
                <w:sz w:val="22"/>
              </w:rPr>
              <w:t>USD millions</w:t>
            </w:r>
          </w:p>
        </w:tc>
      </w:tr>
      <w:tr>
        <w:tc>
          <w:tcPr>
            <w:tcW w:type="dxa" w:w="1728"/>
          </w:tcPr>
          <w:p>
            <w:pPr>
              <w:spacing w:line="240" w:lineRule="auto"/>
            </w:pPr>
            <w:r/>
            <w:r>
              <w:rPr>
                <w:rFonts w:ascii="Times New Roman" w:hAnsi="Times New Roman" w:cs="Times New Roman"/>
                <w:b w:val="0"/>
                <w:i w:val="0"/>
                <w:sz w:val="22"/>
              </w:rPr>
              <w:t>L_T+0</w:t>
            </w:r>
          </w:p>
        </w:tc>
        <w:tc>
          <w:tcPr>
            <w:tcW w:type="dxa" w:w="5040"/>
          </w:tcPr>
          <w:p>
            <w:pPr>
              <w:spacing w:line="240" w:lineRule="auto"/>
            </w:pPr>
            <w:r/>
            <w:r>
              <w:rPr>
                <w:rFonts w:ascii="Times New Roman" w:hAnsi="Times New Roman" w:cs="Times New Roman"/>
                <w:b w:val="0"/>
                <w:i w:val="0"/>
                <w:sz w:val="22"/>
              </w:rPr>
              <w:t>Pre-funded liquidity required under atomic settlement</w:t>
            </w:r>
          </w:p>
        </w:tc>
        <w:tc>
          <w:tcPr>
            <w:tcW w:type="dxa" w:w="1872"/>
          </w:tcPr>
          <w:p>
            <w:pPr>
              <w:spacing w:line="240" w:lineRule="auto"/>
            </w:pPr>
            <w:r/>
            <w:r>
              <w:rPr>
                <w:rFonts w:ascii="Times New Roman" w:hAnsi="Times New Roman" w:cs="Times New Roman"/>
                <w:b w:val="0"/>
                <w:i w:val="0"/>
                <w:sz w:val="22"/>
              </w:rPr>
              <w:t>USD millions</w:t>
            </w:r>
          </w:p>
        </w:tc>
      </w:tr>
      <w:tr>
        <w:tc>
          <w:tcPr>
            <w:tcW w:type="dxa" w:w="1728"/>
          </w:tcPr>
          <w:p>
            <w:pPr>
              <w:spacing w:line="240" w:lineRule="auto"/>
            </w:pPr>
            <w:r/>
            <w:r>
              <w:rPr>
                <w:rFonts w:ascii="Times New Roman" w:hAnsi="Times New Roman" w:cs="Times New Roman"/>
                <w:b w:val="0"/>
                <w:i w:val="0"/>
                <w:sz w:val="22"/>
              </w:rPr>
              <w:t>WACC_MNC</w:t>
            </w:r>
          </w:p>
        </w:tc>
        <w:tc>
          <w:tcPr>
            <w:tcW w:type="dxa" w:w="5040"/>
          </w:tcPr>
          <w:p>
            <w:pPr>
              <w:spacing w:line="240" w:lineRule="auto"/>
            </w:pPr>
            <w:r/>
            <w:r>
              <w:rPr>
                <w:rFonts w:ascii="Times New Roman" w:hAnsi="Times New Roman" w:cs="Times New Roman"/>
                <w:b w:val="0"/>
                <w:i w:val="0"/>
                <w:sz w:val="22"/>
              </w:rPr>
              <w:t>Weighted average cost of capital of representative MNC</w:t>
            </w:r>
          </w:p>
        </w:tc>
        <w:tc>
          <w:tcPr>
            <w:tcW w:type="dxa" w:w="1872"/>
          </w:tcPr>
          <w:p>
            <w:pPr>
              <w:spacing w:line="240" w:lineRule="auto"/>
            </w:pPr>
            <w:r/>
            <w:r>
              <w:rPr>
                <w:rFonts w:ascii="Times New Roman" w:hAnsi="Times New Roman" w:cs="Times New Roman"/>
                <w:b w:val="0"/>
                <w:i w:val="0"/>
                <w:sz w:val="22"/>
              </w:rPr>
              <w:t>% p.a.</w:t>
            </w:r>
          </w:p>
        </w:tc>
      </w:tr>
      <w:tr>
        <w:tc>
          <w:tcPr>
            <w:tcW w:type="dxa" w:w="1728"/>
          </w:tcPr>
          <w:p>
            <w:pPr>
              <w:spacing w:line="240" w:lineRule="auto"/>
            </w:pPr>
            <w:r/>
            <w:r>
              <w:rPr>
                <w:rFonts w:ascii="Times New Roman" w:hAnsi="Times New Roman" w:cs="Times New Roman"/>
                <w:b w:val="0"/>
                <w:i w:val="0"/>
                <w:sz w:val="22"/>
              </w:rPr>
              <w:t>h_j</w:t>
            </w:r>
          </w:p>
        </w:tc>
        <w:tc>
          <w:tcPr>
            <w:tcW w:type="dxa" w:w="5040"/>
          </w:tcPr>
          <w:p>
            <w:pPr>
              <w:spacing w:line="240" w:lineRule="auto"/>
            </w:pPr>
            <w:r/>
            <w:r>
              <w:rPr>
                <w:rFonts w:ascii="Times New Roman" w:hAnsi="Times New Roman" w:cs="Times New Roman"/>
                <w:b w:val="0"/>
                <w:i w:val="0"/>
                <w:sz w:val="22"/>
              </w:rPr>
              <w:t>Jurisdictional HQLA haircut on tokenized deposits</w:t>
            </w:r>
          </w:p>
        </w:tc>
        <w:tc>
          <w:tcPr>
            <w:tcW w:type="dxa" w:w="1872"/>
          </w:tcPr>
          <w:p>
            <w:pPr>
              <w:spacing w:line="240" w:lineRule="auto"/>
            </w:pPr>
            <w:r/>
            <w:r>
              <w:rPr>
                <w:rFonts w:ascii="Times New Roman" w:hAnsi="Times New Roman" w:cs="Times New Roman"/>
                <w:b w:val="0"/>
                <w:i w:val="0"/>
                <w:sz w:val="22"/>
              </w:rPr>
              <w:t>% (0–25)</w:t>
            </w:r>
          </w:p>
        </w:tc>
      </w:tr>
    </w:tbl>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Variable specification consistent with BCBS (2013) HQLA definitions and CPMI (2023) settlement-finality conventions.</w:t>
      </w:r>
    </w:p>
    <w:p>
      <w:pPr>
        <w:spacing w:before="240" w:after="120" w:line="360" w:lineRule="auto"/>
        <w:jc w:val="left"/>
      </w:pPr>
      <w:r>
        <w:rPr>
          <w:rFonts w:ascii="Times New Roman" w:hAnsi="Times New Roman" w:cs="Times New Roman"/>
          <w:b/>
          <w:i w:val="0"/>
          <w:sz w:val="24"/>
        </w:rPr>
        <w:t>3.5 Phase III — Case Study Triangulation</w:t>
      </w:r>
    </w:p>
    <w:p>
      <w:pPr>
        <w:spacing w:after="0" w:before="0" w:line="360" w:lineRule="auto"/>
        <w:ind w:firstLine="720"/>
        <w:jc w:val="left"/>
      </w:pPr>
      <w:r>
        <w:rPr>
          <w:rFonts w:ascii="Times New Roman" w:hAnsi="Times New Roman" w:cs="Times New Roman"/>
          <w:b w:val="0"/>
          <w:i w:val="0"/>
          <w:sz w:val="24"/>
        </w:rPr>
        <w:t>Three structured case studies anchor the quantitative findings. Case (a) draws on Project Agora's 2025 pilot transaction disclosures. Case (b) uses J.P. Morgan Onyx operational disclosures. Case (c) models an illustrative Indian MNC operating a USD/INR trade-finance book, calibrated to RBI Digital Rupee pilot progression and FEDAI FX turnover statistics (FEDAI, 2024; RBI, 2025). Each case is scored against three adoption scenarios — Fast Convergence (Agora scales to nine or more corridors by 2028), Fragmented Coexistence (bilateral wCBDC bridges only), and Regulatory Shock (a major jurisdiction restricts tokenized-deposit HQLA treatment).</w:t>
      </w:r>
    </w:p>
    <w:p>
      <w:pPr>
        <w:spacing w:before="160" w:after="40" w:line="240" w:lineRule="auto"/>
        <w:jc w:val="left"/>
      </w:pPr>
      <w:r>
        <w:rPr>
          <w:rFonts w:ascii="Times New Roman" w:hAnsi="Times New Roman" w:cs="Times New Roman"/>
          <w:b/>
          <w:i w:val="0"/>
          <w:sz w:val="24"/>
        </w:rPr>
        <w:t>Figure 4</w:t>
      </w:r>
    </w:p>
    <w:p>
      <w:pPr>
        <w:spacing w:after="80" w:line="240" w:lineRule="auto"/>
      </w:pPr>
      <w:r>
        <w:rPr>
          <w:rFonts w:ascii="Times New Roman" w:hAnsi="Times New Roman" w:cs="Times New Roman"/>
          <w:b w:val="0"/>
          <w:i/>
          <w:sz w:val="24"/>
        </w:rPr>
        <w:t>Adoption Scenario Tree</w:t>
      </w:r>
    </w:p>
    <w:p>
      <w:pPr>
        <w:spacing w:before="80" w:after="80" w:line="240" w:lineRule="auto"/>
        <w:jc w:val="center"/>
      </w:pPr>
      <w:r>
        <w:drawing>
          <wp:inline xmlns:a="http://schemas.openxmlformats.org/drawingml/2006/main" xmlns:pic="http://schemas.openxmlformats.org/drawingml/2006/picture">
            <wp:extent cx="5669280" cy="2548575"/>
            <wp:docPr id="4" name="Picture 4"/>
            <wp:cNvGraphicFramePr>
              <a:graphicFrameLocks noChangeAspect="1"/>
            </wp:cNvGraphicFramePr>
            <a:graphic>
              <a:graphicData uri="http://schemas.openxmlformats.org/drawingml/2006/picture">
                <pic:pic>
                  <pic:nvPicPr>
                    <pic:cNvPr id="0" name="fig4_scenarios.png"/>
                    <pic:cNvPicPr/>
                  </pic:nvPicPr>
                  <pic:blipFill>
                    <a:blip r:embed="rId13"/>
                    <a:stretch>
                      <a:fillRect/>
                    </a:stretch>
                  </pic:blipFill>
                  <pic:spPr>
                    <a:xfrm>
                      <a:off x="0" y="0"/>
                      <a:ext cx="5669280" cy="2548575"/>
                    </a:xfrm>
                    <a:prstGeom prst="rect"/>
                  </pic:spPr>
                </pic:pic>
              </a:graphicData>
            </a:graphic>
          </wp:inline>
        </w:drawing>
      </w:r>
    </w:p>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Each path generates corridor-specific recomputations of RRSE and CCS.</w:t>
      </w:r>
    </w:p>
    <w:p>
      <w:pPr>
        <w:spacing w:before="240" w:after="120" w:line="360" w:lineRule="auto"/>
        <w:jc w:val="left"/>
      </w:pPr>
      <w:r>
        <w:rPr>
          <w:rFonts w:ascii="Times New Roman" w:hAnsi="Times New Roman" w:cs="Times New Roman"/>
          <w:b/>
          <w:i w:val="0"/>
          <w:sz w:val="24"/>
        </w:rPr>
        <w:t>3.6 Data Sources and Analytical Tools</w:t>
      </w:r>
    </w:p>
    <w:p>
      <w:pPr>
        <w:spacing w:after="0" w:before="0" w:line="360" w:lineRule="auto"/>
        <w:ind w:firstLine="720"/>
        <w:jc w:val="left"/>
      </w:pPr>
      <w:r>
        <w:rPr>
          <w:rFonts w:ascii="Times New Roman" w:hAnsi="Times New Roman" w:cs="Times New Roman"/>
          <w:b w:val="0"/>
          <w:i w:val="0"/>
          <w:sz w:val="24"/>
        </w:rPr>
        <w:t>All sources are publicly available secondary data. Phase I and II computations are implemented in Python using the pandas and NumPy libraries for transaction-level aggregation and Monte Carlo stress testing (10,000 runs per corridor). Scenario sensitivity uses a perturbation framework over WACC, HQLA haircut, and corridor share.</w:t>
      </w:r>
    </w:p>
    <w:p>
      <w:pPr>
        <w:spacing w:before="160" w:after="40" w:line="240" w:lineRule="auto"/>
        <w:jc w:val="left"/>
      </w:pPr>
      <w:r>
        <w:rPr>
          <w:rFonts w:ascii="Times New Roman" w:hAnsi="Times New Roman" w:cs="Times New Roman"/>
          <w:b/>
          <w:i w:val="0"/>
          <w:sz w:val="24"/>
        </w:rPr>
        <w:t>Table 3</w:t>
      </w:r>
    </w:p>
    <w:p>
      <w:pPr>
        <w:spacing w:after="80" w:line="240" w:lineRule="auto"/>
      </w:pPr>
      <w:r>
        <w:rPr>
          <w:rFonts w:ascii="Times New Roman" w:hAnsi="Times New Roman" w:cs="Times New Roman"/>
          <w:b w:val="0"/>
          <w:i/>
          <w:sz w:val="24"/>
        </w:rPr>
        <w:t>Monte Carlo Parameters and Sensitivity Bands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line="240" w:lineRule="auto"/>
            </w:pPr>
            <w:r/>
            <w:r>
              <w:rPr>
                <w:rFonts w:ascii="Times New Roman" w:hAnsi="Times New Roman" w:cs="Times New Roman"/>
                <w:b/>
                <w:i w:val="0"/>
                <w:sz w:val="22"/>
              </w:rPr>
              <w:t>Parameter</w:t>
            </w:r>
          </w:p>
        </w:tc>
        <w:tc>
          <w:tcPr>
            <w:tcW w:type="dxa" w:w="2880"/>
          </w:tcPr>
          <w:p>
            <w:pPr>
              <w:spacing w:line="240" w:lineRule="auto"/>
            </w:pPr>
            <w:r/>
            <w:r>
              <w:rPr>
                <w:rFonts w:ascii="Times New Roman" w:hAnsi="Times New Roman" w:cs="Times New Roman"/>
                <w:b/>
                <w:i w:val="0"/>
                <w:sz w:val="22"/>
              </w:rPr>
              <w:t>Central Value</w:t>
            </w:r>
          </w:p>
        </w:tc>
        <w:tc>
          <w:tcPr>
            <w:tcW w:type="dxa" w:w="2880"/>
          </w:tcPr>
          <w:p>
            <w:pPr>
              <w:spacing w:line="240" w:lineRule="auto"/>
            </w:pPr>
            <w:r/>
            <w:r>
              <w:rPr>
                <w:rFonts w:ascii="Times New Roman" w:hAnsi="Times New Roman" w:cs="Times New Roman"/>
                <w:b/>
                <w:i w:val="0"/>
                <w:sz w:val="22"/>
              </w:rPr>
              <w:t>Sensitivity Band</w:t>
            </w:r>
          </w:p>
        </w:tc>
      </w:tr>
      <w:tr>
        <w:tc>
          <w:tcPr>
            <w:tcW w:type="dxa" w:w="2880"/>
          </w:tcPr>
          <w:p>
            <w:pPr>
              <w:spacing w:line="240" w:lineRule="auto"/>
            </w:pPr>
            <w:r/>
            <w:r>
              <w:rPr>
                <w:rFonts w:ascii="Times New Roman" w:hAnsi="Times New Roman" w:cs="Times New Roman"/>
                <w:b w:val="0"/>
                <w:i w:val="0"/>
                <w:sz w:val="22"/>
              </w:rPr>
              <w:t>Transaction arrival rate (λ)</w:t>
            </w:r>
          </w:p>
        </w:tc>
        <w:tc>
          <w:tcPr>
            <w:tcW w:type="dxa" w:w="2880"/>
          </w:tcPr>
          <w:p>
            <w:pPr>
              <w:spacing w:line="240" w:lineRule="auto"/>
            </w:pPr>
            <w:r/>
            <w:r>
              <w:rPr>
                <w:rFonts w:ascii="Times New Roman" w:hAnsi="Times New Roman" w:cs="Times New Roman"/>
                <w:b w:val="0"/>
                <w:i w:val="0"/>
                <w:sz w:val="22"/>
              </w:rPr>
              <w:t>1,200 per corridor per day</w:t>
            </w:r>
          </w:p>
        </w:tc>
        <w:tc>
          <w:tcPr>
            <w:tcW w:type="dxa" w:w="2880"/>
          </w:tcPr>
          <w:p>
            <w:pPr>
              <w:spacing w:line="240" w:lineRule="auto"/>
            </w:pPr>
            <w:r/>
            <w:r>
              <w:rPr>
                <w:rFonts w:ascii="Times New Roman" w:hAnsi="Times New Roman" w:cs="Times New Roman"/>
                <w:b w:val="0"/>
                <w:i w:val="0"/>
                <w:sz w:val="22"/>
              </w:rPr>
              <w:t>±25%</w:t>
            </w:r>
          </w:p>
        </w:tc>
      </w:tr>
      <w:tr>
        <w:tc>
          <w:tcPr>
            <w:tcW w:type="dxa" w:w="2880"/>
          </w:tcPr>
          <w:p>
            <w:pPr>
              <w:spacing w:line="240" w:lineRule="auto"/>
            </w:pPr>
            <w:r/>
            <w:r>
              <w:rPr>
                <w:rFonts w:ascii="Times New Roman" w:hAnsi="Times New Roman" w:cs="Times New Roman"/>
                <w:b w:val="0"/>
                <w:i w:val="0"/>
                <w:sz w:val="22"/>
              </w:rPr>
              <w:t>Mean ticket size</w:t>
            </w:r>
          </w:p>
        </w:tc>
        <w:tc>
          <w:tcPr>
            <w:tcW w:type="dxa" w:w="2880"/>
          </w:tcPr>
          <w:p>
            <w:pPr>
              <w:spacing w:line="240" w:lineRule="auto"/>
            </w:pPr>
            <w:r/>
            <w:r>
              <w:rPr>
                <w:rFonts w:ascii="Times New Roman" w:hAnsi="Times New Roman" w:cs="Times New Roman"/>
                <w:b w:val="0"/>
                <w:i w:val="0"/>
                <w:sz w:val="22"/>
              </w:rPr>
              <w:t>Corridor-specific (see Appendix B)</w:t>
            </w:r>
          </w:p>
        </w:tc>
        <w:tc>
          <w:tcPr>
            <w:tcW w:type="dxa" w:w="2880"/>
          </w:tcPr>
          <w:p>
            <w:pPr>
              <w:spacing w:line="240" w:lineRule="auto"/>
            </w:pPr>
            <w:r/>
            <w:r>
              <w:rPr>
                <w:rFonts w:ascii="Times New Roman" w:hAnsi="Times New Roman" w:cs="Times New Roman"/>
                <w:b w:val="0"/>
                <w:i w:val="0"/>
                <w:sz w:val="22"/>
              </w:rPr>
              <w:t>±20%</w:t>
            </w:r>
          </w:p>
        </w:tc>
      </w:tr>
      <w:tr>
        <w:tc>
          <w:tcPr>
            <w:tcW w:type="dxa" w:w="2880"/>
          </w:tcPr>
          <w:p>
            <w:pPr>
              <w:spacing w:line="240" w:lineRule="auto"/>
            </w:pPr>
            <w:r/>
            <w:r>
              <w:rPr>
                <w:rFonts w:ascii="Times New Roman" w:hAnsi="Times New Roman" w:cs="Times New Roman"/>
                <w:b w:val="0"/>
                <w:i w:val="0"/>
                <w:sz w:val="22"/>
              </w:rPr>
              <w:t>FX volatility (1-day realised)</w:t>
            </w:r>
          </w:p>
        </w:tc>
        <w:tc>
          <w:tcPr>
            <w:tcW w:type="dxa" w:w="2880"/>
          </w:tcPr>
          <w:p>
            <w:pPr>
              <w:spacing w:line="240" w:lineRule="auto"/>
            </w:pPr>
            <w:r/>
            <w:r>
              <w:rPr>
                <w:rFonts w:ascii="Times New Roman" w:hAnsi="Times New Roman" w:cs="Times New Roman"/>
                <w:b w:val="0"/>
                <w:i w:val="0"/>
                <w:sz w:val="22"/>
              </w:rPr>
              <w:t>2015–2024 mean</w:t>
            </w:r>
          </w:p>
        </w:tc>
        <w:tc>
          <w:tcPr>
            <w:tcW w:type="dxa" w:w="2880"/>
          </w:tcPr>
          <w:p>
            <w:pPr>
              <w:spacing w:line="240" w:lineRule="auto"/>
            </w:pPr>
            <w:r/>
            <w:r>
              <w:rPr>
                <w:rFonts w:ascii="Times New Roman" w:hAnsi="Times New Roman" w:cs="Times New Roman"/>
                <w:b w:val="0"/>
                <w:i w:val="0"/>
                <w:sz w:val="22"/>
              </w:rPr>
              <w:t>95% CI</w:t>
            </w:r>
          </w:p>
        </w:tc>
      </w:tr>
      <w:tr>
        <w:tc>
          <w:tcPr>
            <w:tcW w:type="dxa" w:w="2880"/>
          </w:tcPr>
          <w:p>
            <w:pPr>
              <w:spacing w:line="240" w:lineRule="auto"/>
            </w:pPr>
            <w:r/>
            <w:r>
              <w:rPr>
                <w:rFonts w:ascii="Times New Roman" w:hAnsi="Times New Roman" w:cs="Times New Roman"/>
                <w:b w:val="0"/>
                <w:i w:val="0"/>
                <w:sz w:val="22"/>
              </w:rPr>
              <w:t>WACC_MNC</w:t>
            </w:r>
          </w:p>
        </w:tc>
        <w:tc>
          <w:tcPr>
            <w:tcW w:type="dxa" w:w="2880"/>
          </w:tcPr>
          <w:p>
            <w:pPr>
              <w:spacing w:line="240" w:lineRule="auto"/>
            </w:pPr>
            <w:r/>
            <w:r>
              <w:rPr>
                <w:rFonts w:ascii="Times New Roman" w:hAnsi="Times New Roman" w:cs="Times New Roman"/>
                <w:b w:val="0"/>
                <w:i w:val="0"/>
                <w:sz w:val="22"/>
              </w:rPr>
              <w:t>9.0%</w:t>
            </w:r>
          </w:p>
        </w:tc>
        <w:tc>
          <w:tcPr>
            <w:tcW w:type="dxa" w:w="2880"/>
          </w:tcPr>
          <w:p>
            <w:pPr>
              <w:spacing w:line="240" w:lineRule="auto"/>
            </w:pPr>
            <w:r/>
            <w:r>
              <w:rPr>
                <w:rFonts w:ascii="Times New Roman" w:hAnsi="Times New Roman" w:cs="Times New Roman"/>
                <w:b w:val="0"/>
                <w:i w:val="0"/>
                <w:sz w:val="22"/>
              </w:rPr>
              <w:t>±150 bps</w:t>
            </w:r>
          </w:p>
        </w:tc>
      </w:tr>
      <w:tr>
        <w:tc>
          <w:tcPr>
            <w:tcW w:type="dxa" w:w="2880"/>
          </w:tcPr>
          <w:p>
            <w:pPr>
              <w:spacing w:line="240" w:lineRule="auto"/>
            </w:pPr>
            <w:r/>
            <w:r>
              <w:rPr>
                <w:rFonts w:ascii="Times New Roman" w:hAnsi="Times New Roman" w:cs="Times New Roman"/>
                <w:b w:val="0"/>
                <w:i w:val="0"/>
                <w:sz w:val="22"/>
              </w:rPr>
              <w:t>HQLA haircut</w:t>
            </w:r>
          </w:p>
        </w:tc>
        <w:tc>
          <w:tcPr>
            <w:tcW w:type="dxa" w:w="2880"/>
          </w:tcPr>
          <w:p>
            <w:pPr>
              <w:spacing w:line="240" w:lineRule="auto"/>
            </w:pPr>
            <w:r/>
            <w:r>
              <w:rPr>
                <w:rFonts w:ascii="Times New Roman" w:hAnsi="Times New Roman" w:cs="Times New Roman"/>
                <w:b w:val="0"/>
                <w:i w:val="0"/>
                <w:sz w:val="22"/>
              </w:rPr>
              <w:t>0%</w:t>
            </w:r>
          </w:p>
        </w:tc>
        <w:tc>
          <w:tcPr>
            <w:tcW w:type="dxa" w:w="2880"/>
          </w:tcPr>
          <w:p>
            <w:pPr>
              <w:spacing w:line="240" w:lineRule="auto"/>
            </w:pPr>
            <w:r/>
            <w:r>
              <w:rPr>
                <w:rFonts w:ascii="Times New Roman" w:hAnsi="Times New Roman" w:cs="Times New Roman"/>
                <w:b w:val="0"/>
                <w:i w:val="0"/>
                <w:sz w:val="22"/>
              </w:rPr>
              <w:t>Uniform [0%, 25%]</w:t>
            </w:r>
          </w:p>
        </w:tc>
      </w:tr>
      <w:tr>
        <w:tc>
          <w:tcPr>
            <w:tcW w:type="dxa" w:w="2880"/>
          </w:tcPr>
          <w:p>
            <w:pPr>
              <w:spacing w:line="240" w:lineRule="auto"/>
            </w:pPr>
            <w:r/>
            <w:r>
              <w:rPr>
                <w:rFonts w:ascii="Times New Roman" w:hAnsi="Times New Roman" w:cs="Times New Roman"/>
                <w:b w:val="0"/>
                <w:i w:val="0"/>
                <w:sz w:val="22"/>
              </w:rPr>
              <w:t>Simulation runs</w:t>
            </w:r>
          </w:p>
        </w:tc>
        <w:tc>
          <w:tcPr>
            <w:tcW w:type="dxa" w:w="2880"/>
          </w:tcPr>
          <w:p>
            <w:pPr>
              <w:spacing w:line="240" w:lineRule="auto"/>
            </w:pPr>
            <w:r/>
            <w:r>
              <w:rPr>
                <w:rFonts w:ascii="Times New Roman" w:hAnsi="Times New Roman" w:cs="Times New Roman"/>
                <w:b w:val="0"/>
                <w:i w:val="0"/>
                <w:sz w:val="22"/>
              </w:rPr>
              <w:t>10,000</w:t>
            </w:r>
          </w:p>
        </w:tc>
        <w:tc>
          <w:tcPr>
            <w:tcW w:type="dxa" w:w="2880"/>
          </w:tcPr>
          <w:p>
            <w:pPr>
              <w:spacing w:line="240" w:lineRule="auto"/>
            </w:pPr>
            <w:r/>
            <w:r>
              <w:rPr>
                <w:rFonts w:ascii="Times New Roman" w:hAnsi="Times New Roman" w:cs="Times New Roman"/>
                <w:b w:val="0"/>
                <w:i w:val="0"/>
                <w:sz w:val="22"/>
              </w:rPr>
              <w:t>—</w:t>
            </w:r>
          </w:p>
        </w:tc>
      </w:tr>
    </w:tbl>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Sensitivity bands calibrated against BIS (2024) variance estimates and BCBS (2013) stress conventions.</w:t>
      </w:r>
    </w:p>
    <w:p>
      <w:pPr>
        <w:spacing w:before="240" w:after="120" w:line="360" w:lineRule="auto"/>
        <w:jc w:val="left"/>
      </w:pPr>
      <w:r>
        <w:rPr>
          <w:rFonts w:ascii="Times New Roman" w:hAnsi="Times New Roman" w:cs="Times New Roman"/>
          <w:b/>
          <w:i w:val="0"/>
          <w:sz w:val="24"/>
        </w:rPr>
        <w:t>3.7 Validity, Reliability, Ethics, and Limitations</w:t>
      </w:r>
    </w:p>
    <w:p>
      <w:pPr>
        <w:spacing w:after="0" w:before="0" w:line="360" w:lineRule="auto"/>
        <w:ind w:firstLine="720"/>
        <w:jc w:val="left"/>
      </w:pPr>
      <w:r>
        <w:rPr>
          <w:rFonts w:ascii="Times New Roman" w:hAnsi="Times New Roman" w:cs="Times New Roman"/>
          <w:b w:val="0"/>
          <w:i w:val="0"/>
          <w:sz w:val="24"/>
        </w:rPr>
        <w:t>Two principal validity assumptions are made explicit: the 2023–2025 transaction distribution proxies the post-pilot steady state (defensible short-term but not in the event of rapid Agora scaling), and WACC_MNC is held constant within ±150 bps. Reliability is supported by full archival of source data and Python notebooks; each figure and table maps to a specific notebook cell. Only publicly available secondary data is used; no personally identifiable information is processed; informal background conversations were held under Chatham House conventions. Limitations include engineering-level abstraction of consensus and validator behaviour, dependence on BIS pilot publication for Agora micro-data, and the illustrative nature of the Indian MNC case.</w:t>
      </w:r>
    </w:p>
    <w:p>
      <w:r>
        <w:br w:type="page"/>
      </w:r>
    </w:p>
    <w:p>
      <w:pPr>
        <w:spacing w:before="240" w:after="240" w:line="360" w:lineRule="auto"/>
        <w:jc w:val="center"/>
      </w:pPr>
      <w:r>
        <w:rPr>
          <w:rFonts w:ascii="Times New Roman" w:hAnsi="Times New Roman" w:cs="Times New Roman"/>
          <w:b/>
          <w:i w:val="0"/>
          <w:sz w:val="28"/>
        </w:rPr>
        <w:t>CHAPTER 4: ARCHITECTURE EVIDENCE AND QUANTITATIVE FINDINGS</w:t>
      </w:r>
    </w:p>
    <w:p>
      <w:pPr>
        <w:spacing w:before="240" w:after="120" w:line="360" w:lineRule="auto"/>
        <w:jc w:val="left"/>
      </w:pPr>
      <w:r>
        <w:rPr>
          <w:rFonts w:ascii="Times New Roman" w:hAnsi="Times New Roman" w:cs="Times New Roman"/>
          <w:b/>
          <w:i w:val="0"/>
          <w:sz w:val="24"/>
        </w:rPr>
        <w:t>4.1 Architecture Evidence</w:t>
      </w:r>
    </w:p>
    <w:p>
      <w:pPr>
        <w:spacing w:after="0" w:before="0" w:line="360" w:lineRule="auto"/>
        <w:ind w:firstLine="720"/>
        <w:jc w:val="left"/>
      </w:pPr>
      <w:r>
        <w:rPr>
          <w:rFonts w:ascii="Times New Roman" w:hAnsi="Times New Roman" w:cs="Times New Roman"/>
          <w:b w:val="0"/>
          <w:i w:val="0"/>
          <w:sz w:val="24"/>
        </w:rPr>
        <w:t>Project Agora supplies the principal architectural reference: a public–private unified-ledger model integrating value transfer, compliance, and settlement finality within the regulated banking perimeter (BIS Innovation Hub, 2024). J.P. Morgan's Onyx (Kinexys) demonstrates that bank-issued programmable money can operate at scale within a single permissioned environment (J.P. Morgan, 2024). The RBI's Digital Rupee framework — with 16 wholesale pilot participants across government-securities settlement, the call-money market, and tokenized certificate-of-deposit issuance — confirms that a sovereign central-bank liability can be piloted for institutional settlement (RBI, 2025). Read together, these cases corroborate the central thesis: tokenized deposits supply programmable commercial money, wCBDCs supply final settlement money, and the efficiency benefit materialises only when both operate within a shared legal and technical framework.</w:t>
      </w:r>
    </w:p>
    <w:p>
      <w:pPr>
        <w:spacing w:before="160" w:after="40" w:line="240" w:lineRule="auto"/>
        <w:jc w:val="left"/>
      </w:pPr>
      <w:r>
        <w:rPr>
          <w:rFonts w:ascii="Times New Roman" w:hAnsi="Times New Roman" w:cs="Times New Roman"/>
          <w:b/>
          <w:i w:val="0"/>
          <w:sz w:val="24"/>
        </w:rPr>
        <w:t>Table 4</w:t>
      </w:r>
    </w:p>
    <w:p>
      <w:pPr>
        <w:spacing w:after="80" w:line="240" w:lineRule="auto"/>
      </w:pPr>
      <w:r>
        <w:rPr>
          <w:rFonts w:ascii="Times New Roman" w:hAnsi="Times New Roman" w:cs="Times New Roman"/>
          <w:b w:val="0"/>
          <w:i/>
          <w:sz w:val="24"/>
        </w:rPr>
        <w:t>Digital Money Taxonomy: Stablecoins, Tokenized Deposits, and Wholesale CBDCs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016"/>
          </w:tcPr>
          <w:p>
            <w:pPr>
              <w:spacing w:line="240" w:lineRule="auto"/>
            </w:pPr>
            <w:r/>
            <w:r>
              <w:rPr>
                <w:rFonts w:ascii="Times New Roman" w:hAnsi="Times New Roman" w:cs="Times New Roman"/>
                <w:b/>
                <w:i w:val="0"/>
                <w:sz w:val="22"/>
              </w:rPr>
              <w:t>Feature</w:t>
            </w:r>
          </w:p>
        </w:tc>
        <w:tc>
          <w:tcPr>
            <w:tcW w:type="dxa" w:w="2304"/>
          </w:tcPr>
          <w:p>
            <w:pPr>
              <w:spacing w:line="240" w:lineRule="auto"/>
            </w:pPr>
            <w:r/>
            <w:r>
              <w:rPr>
                <w:rFonts w:ascii="Times New Roman" w:hAnsi="Times New Roman" w:cs="Times New Roman"/>
                <w:b/>
                <w:i w:val="0"/>
                <w:sz w:val="22"/>
              </w:rPr>
              <w:t>Stablecoins</w:t>
            </w:r>
          </w:p>
        </w:tc>
        <w:tc>
          <w:tcPr>
            <w:tcW w:type="dxa" w:w="2304"/>
          </w:tcPr>
          <w:p>
            <w:pPr>
              <w:spacing w:line="240" w:lineRule="auto"/>
            </w:pPr>
            <w:r/>
            <w:r>
              <w:rPr>
                <w:rFonts w:ascii="Times New Roman" w:hAnsi="Times New Roman" w:cs="Times New Roman"/>
                <w:b/>
                <w:i w:val="0"/>
                <w:sz w:val="22"/>
              </w:rPr>
              <w:t>Tokenized Deposits</w:t>
            </w:r>
          </w:p>
        </w:tc>
        <w:tc>
          <w:tcPr>
            <w:tcW w:type="dxa" w:w="2016"/>
          </w:tcPr>
          <w:p>
            <w:pPr>
              <w:spacing w:line="240" w:lineRule="auto"/>
            </w:pPr>
            <w:r/>
            <w:r>
              <w:rPr>
                <w:rFonts w:ascii="Times New Roman" w:hAnsi="Times New Roman" w:cs="Times New Roman"/>
                <w:b/>
                <w:i w:val="0"/>
                <w:sz w:val="22"/>
              </w:rPr>
              <w:t>Wholesale CBDC</w:t>
            </w:r>
          </w:p>
        </w:tc>
      </w:tr>
      <w:tr>
        <w:tc>
          <w:tcPr>
            <w:tcW w:type="dxa" w:w="2016"/>
          </w:tcPr>
          <w:p>
            <w:pPr>
              <w:spacing w:line="240" w:lineRule="auto"/>
            </w:pPr>
            <w:r/>
            <w:r>
              <w:rPr>
                <w:rFonts w:ascii="Times New Roman" w:hAnsi="Times New Roman" w:cs="Times New Roman"/>
                <w:b w:val="0"/>
                <w:i w:val="0"/>
                <w:sz w:val="22"/>
              </w:rPr>
              <w:t>Issuer</w:t>
            </w:r>
          </w:p>
        </w:tc>
        <w:tc>
          <w:tcPr>
            <w:tcW w:type="dxa" w:w="2304"/>
          </w:tcPr>
          <w:p>
            <w:pPr>
              <w:spacing w:line="240" w:lineRule="auto"/>
            </w:pPr>
            <w:r/>
            <w:r>
              <w:rPr>
                <w:rFonts w:ascii="Times New Roman" w:hAnsi="Times New Roman" w:cs="Times New Roman"/>
                <w:b w:val="0"/>
                <w:i w:val="0"/>
                <w:sz w:val="22"/>
              </w:rPr>
              <w:t>Non-bank or SPV</w:t>
            </w:r>
          </w:p>
        </w:tc>
        <w:tc>
          <w:tcPr>
            <w:tcW w:type="dxa" w:w="2304"/>
          </w:tcPr>
          <w:p>
            <w:pPr>
              <w:spacing w:line="240" w:lineRule="auto"/>
            </w:pPr>
            <w:r/>
            <w:r>
              <w:rPr>
                <w:rFonts w:ascii="Times New Roman" w:hAnsi="Times New Roman" w:cs="Times New Roman"/>
                <w:b w:val="0"/>
                <w:i w:val="0"/>
                <w:sz w:val="22"/>
              </w:rPr>
              <w:t>Regulated commercial bank</w:t>
            </w:r>
          </w:p>
        </w:tc>
        <w:tc>
          <w:tcPr>
            <w:tcW w:type="dxa" w:w="2016"/>
          </w:tcPr>
          <w:p>
            <w:pPr>
              <w:spacing w:line="240" w:lineRule="auto"/>
            </w:pPr>
            <w:r/>
            <w:r>
              <w:rPr>
                <w:rFonts w:ascii="Times New Roman" w:hAnsi="Times New Roman" w:cs="Times New Roman"/>
                <w:b w:val="0"/>
                <w:i w:val="0"/>
                <w:sz w:val="22"/>
              </w:rPr>
              <w:t>Central bank</w:t>
            </w:r>
          </w:p>
        </w:tc>
      </w:tr>
      <w:tr>
        <w:tc>
          <w:tcPr>
            <w:tcW w:type="dxa" w:w="2016"/>
          </w:tcPr>
          <w:p>
            <w:pPr>
              <w:spacing w:line="240" w:lineRule="auto"/>
            </w:pPr>
            <w:r/>
            <w:r>
              <w:rPr>
                <w:rFonts w:ascii="Times New Roman" w:hAnsi="Times New Roman" w:cs="Times New Roman"/>
                <w:b w:val="0"/>
                <w:i w:val="0"/>
                <w:sz w:val="22"/>
              </w:rPr>
              <w:t>Legal claim</w:t>
            </w:r>
          </w:p>
        </w:tc>
        <w:tc>
          <w:tcPr>
            <w:tcW w:type="dxa" w:w="2304"/>
          </w:tcPr>
          <w:p>
            <w:pPr>
              <w:spacing w:line="240" w:lineRule="auto"/>
            </w:pPr>
            <w:r/>
            <w:r>
              <w:rPr>
                <w:rFonts w:ascii="Times New Roman" w:hAnsi="Times New Roman" w:cs="Times New Roman"/>
                <w:b w:val="0"/>
                <w:i w:val="0"/>
                <w:sz w:val="22"/>
              </w:rPr>
              <w:t>Claim on issuer/reserve</w:t>
            </w:r>
          </w:p>
        </w:tc>
        <w:tc>
          <w:tcPr>
            <w:tcW w:type="dxa" w:w="2304"/>
          </w:tcPr>
          <w:p>
            <w:pPr>
              <w:spacing w:line="240" w:lineRule="auto"/>
            </w:pPr>
            <w:r/>
            <w:r>
              <w:rPr>
                <w:rFonts w:ascii="Times New Roman" w:hAnsi="Times New Roman" w:cs="Times New Roman"/>
                <w:b w:val="0"/>
                <w:i w:val="0"/>
                <w:sz w:val="22"/>
              </w:rPr>
              <w:t>Deposit claim on bank</w:t>
            </w:r>
          </w:p>
        </w:tc>
        <w:tc>
          <w:tcPr>
            <w:tcW w:type="dxa" w:w="2016"/>
          </w:tcPr>
          <w:p>
            <w:pPr>
              <w:spacing w:line="240" w:lineRule="auto"/>
            </w:pPr>
            <w:r/>
            <w:r>
              <w:rPr>
                <w:rFonts w:ascii="Times New Roman" w:hAnsi="Times New Roman" w:cs="Times New Roman"/>
                <w:b w:val="0"/>
                <w:i w:val="0"/>
                <w:sz w:val="22"/>
              </w:rPr>
              <w:t>Central-bank liability</w:t>
            </w:r>
          </w:p>
        </w:tc>
      </w:tr>
      <w:tr>
        <w:tc>
          <w:tcPr>
            <w:tcW w:type="dxa" w:w="2016"/>
          </w:tcPr>
          <w:p>
            <w:pPr>
              <w:spacing w:line="240" w:lineRule="auto"/>
            </w:pPr>
            <w:r/>
            <w:r>
              <w:rPr>
                <w:rFonts w:ascii="Times New Roman" w:hAnsi="Times New Roman" w:cs="Times New Roman"/>
                <w:b w:val="0"/>
                <w:i w:val="0"/>
                <w:sz w:val="22"/>
              </w:rPr>
              <w:t>Principal benefit</w:t>
            </w:r>
          </w:p>
        </w:tc>
        <w:tc>
          <w:tcPr>
            <w:tcW w:type="dxa" w:w="2304"/>
          </w:tcPr>
          <w:p>
            <w:pPr>
              <w:spacing w:line="240" w:lineRule="auto"/>
            </w:pPr>
            <w:r/>
            <w:r>
              <w:rPr>
                <w:rFonts w:ascii="Times New Roman" w:hAnsi="Times New Roman" w:cs="Times New Roman"/>
                <w:b w:val="0"/>
                <w:i w:val="0"/>
                <w:sz w:val="22"/>
              </w:rPr>
              <w:t>24/7 transferability</w:t>
            </w:r>
          </w:p>
        </w:tc>
        <w:tc>
          <w:tcPr>
            <w:tcW w:type="dxa" w:w="2304"/>
          </w:tcPr>
          <w:p>
            <w:pPr>
              <w:spacing w:line="240" w:lineRule="auto"/>
            </w:pPr>
            <w:r/>
            <w:r>
              <w:rPr>
                <w:rFonts w:ascii="Times New Roman" w:hAnsi="Times New Roman" w:cs="Times New Roman"/>
                <w:b w:val="0"/>
                <w:i w:val="0"/>
                <w:sz w:val="22"/>
              </w:rPr>
              <w:t>Programmable commercial money</w:t>
            </w:r>
          </w:p>
        </w:tc>
        <w:tc>
          <w:tcPr>
            <w:tcW w:type="dxa" w:w="2016"/>
          </w:tcPr>
          <w:p>
            <w:pPr>
              <w:spacing w:line="240" w:lineRule="auto"/>
            </w:pPr>
            <w:r/>
            <w:r>
              <w:rPr>
                <w:rFonts w:ascii="Times New Roman" w:hAnsi="Times New Roman" w:cs="Times New Roman"/>
                <w:b w:val="0"/>
                <w:i w:val="0"/>
                <w:sz w:val="22"/>
              </w:rPr>
              <w:t>Risk-free settlement asset</w:t>
            </w:r>
          </w:p>
        </w:tc>
      </w:tr>
      <w:tr>
        <w:tc>
          <w:tcPr>
            <w:tcW w:type="dxa" w:w="2016"/>
          </w:tcPr>
          <w:p>
            <w:pPr>
              <w:spacing w:line="240" w:lineRule="auto"/>
            </w:pPr>
            <w:r/>
            <w:r>
              <w:rPr>
                <w:rFonts w:ascii="Times New Roman" w:hAnsi="Times New Roman" w:cs="Times New Roman"/>
                <w:b w:val="0"/>
                <w:i w:val="0"/>
                <w:sz w:val="22"/>
              </w:rPr>
              <w:t>Principal risk</w:t>
            </w:r>
          </w:p>
        </w:tc>
        <w:tc>
          <w:tcPr>
            <w:tcW w:type="dxa" w:w="2304"/>
          </w:tcPr>
          <w:p>
            <w:pPr>
              <w:spacing w:line="240" w:lineRule="auto"/>
            </w:pPr>
            <w:r/>
            <w:r>
              <w:rPr>
                <w:rFonts w:ascii="Times New Roman" w:hAnsi="Times New Roman" w:cs="Times New Roman"/>
                <w:b w:val="0"/>
                <w:i w:val="0"/>
                <w:sz w:val="22"/>
              </w:rPr>
              <w:t>Run, reserve, redemption</w:t>
            </w:r>
          </w:p>
        </w:tc>
        <w:tc>
          <w:tcPr>
            <w:tcW w:type="dxa" w:w="2304"/>
          </w:tcPr>
          <w:p>
            <w:pPr>
              <w:spacing w:line="240" w:lineRule="auto"/>
            </w:pPr>
            <w:r/>
            <w:r>
              <w:rPr>
                <w:rFonts w:ascii="Times New Roman" w:hAnsi="Times New Roman" w:cs="Times New Roman"/>
                <w:b w:val="0"/>
                <w:i w:val="0"/>
                <w:sz w:val="22"/>
              </w:rPr>
              <w:t>Bank credit and operational</w:t>
            </w:r>
          </w:p>
        </w:tc>
        <w:tc>
          <w:tcPr>
            <w:tcW w:type="dxa" w:w="2016"/>
          </w:tcPr>
          <w:p>
            <w:pPr>
              <w:spacing w:line="240" w:lineRule="auto"/>
            </w:pPr>
            <w:r/>
            <w:r>
              <w:rPr>
                <w:rFonts w:ascii="Times New Roman" w:hAnsi="Times New Roman" w:cs="Times New Roman"/>
                <w:b w:val="0"/>
                <w:i w:val="0"/>
                <w:sz w:val="22"/>
              </w:rPr>
              <w:t>Access, governance, legal design</w:t>
            </w:r>
          </w:p>
        </w:tc>
      </w:tr>
    </w:tbl>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Adapted from FSB (2023) and BIS (2023). Programmability is feasible across all three, but legal claims and risk profiles differ materially.</w:t>
      </w:r>
    </w:p>
    <w:p>
      <w:pPr>
        <w:spacing w:before="240" w:after="120" w:line="360" w:lineRule="auto"/>
        <w:jc w:val="left"/>
      </w:pPr>
      <w:r>
        <w:rPr>
          <w:rFonts w:ascii="Times New Roman" w:hAnsi="Times New Roman" w:cs="Times New Roman"/>
          <w:b/>
          <w:i w:val="0"/>
          <w:sz w:val="24"/>
        </w:rPr>
        <w:t>4.2 Phase I Baseline Parameterisation Results</w:t>
      </w:r>
    </w:p>
    <w:p>
      <w:pPr>
        <w:spacing w:after="0" w:before="0" w:line="360" w:lineRule="auto"/>
        <w:ind w:firstLine="720"/>
        <w:jc w:val="left"/>
      </w:pPr>
      <w:r>
        <w:rPr>
          <w:rFonts w:ascii="Times New Roman" w:hAnsi="Times New Roman" w:cs="Times New Roman"/>
          <w:b w:val="0"/>
          <w:i w:val="0"/>
          <w:sz w:val="24"/>
        </w:rPr>
        <w:t>The T+2 SWIFT baseline has been constructed for all three corridors using BIS CPMI 2024 data and SWIFT Watch 2023–2024 transaction samples across 1,200 representative MNC transactions per corridor.</w:t>
      </w:r>
    </w:p>
    <w:p>
      <w:pPr>
        <w:spacing w:before="160" w:after="40" w:line="240" w:lineRule="auto"/>
        <w:jc w:val="left"/>
      </w:pPr>
      <w:r>
        <w:rPr>
          <w:rFonts w:ascii="Times New Roman" w:hAnsi="Times New Roman" w:cs="Times New Roman"/>
          <w:b/>
          <w:i w:val="0"/>
          <w:sz w:val="24"/>
        </w:rPr>
        <w:t>Table 5</w:t>
      </w:r>
    </w:p>
    <w:p>
      <w:pPr>
        <w:spacing w:after="80" w:line="240" w:lineRule="auto"/>
      </w:pPr>
      <w:r>
        <w:rPr>
          <w:rFonts w:ascii="Times New Roman" w:hAnsi="Times New Roman" w:cs="Times New Roman"/>
          <w:b w:val="0"/>
          <w:i/>
          <w:sz w:val="24"/>
        </w:rPr>
        <w:t>T+2 Baseline Parameters by Corridor (Illustrative)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728"/>
          </w:tcPr>
          <w:p>
            <w:pPr>
              <w:spacing w:line="240" w:lineRule="auto"/>
            </w:pPr>
            <w:r/>
            <w:r>
              <w:rPr>
                <w:rFonts w:ascii="Times New Roman" w:hAnsi="Times New Roman" w:cs="Times New Roman"/>
                <w:b/>
                <w:i w:val="0"/>
                <w:sz w:val="22"/>
              </w:rPr>
              <w:t>Corridor</w:t>
            </w:r>
          </w:p>
        </w:tc>
        <w:tc>
          <w:tcPr>
            <w:tcW w:type="dxa" w:w="2592"/>
          </w:tcPr>
          <w:p>
            <w:pPr>
              <w:spacing w:line="240" w:lineRule="auto"/>
            </w:pPr>
            <w:r/>
            <w:r>
              <w:rPr>
                <w:rFonts w:ascii="Times New Roman" w:hAnsi="Times New Roman" w:cs="Times New Roman"/>
                <w:b/>
                <w:i w:val="0"/>
                <w:sz w:val="22"/>
              </w:rPr>
              <w:t>Mean Exposure Window</w:t>
            </w:r>
          </w:p>
        </w:tc>
        <w:tc>
          <w:tcPr>
            <w:tcW w:type="dxa" w:w="2304"/>
          </w:tcPr>
          <w:p>
            <w:pPr>
              <w:spacing w:line="240" w:lineRule="auto"/>
            </w:pPr>
            <w:r/>
            <w:r>
              <w:rPr>
                <w:rFonts w:ascii="Times New Roman" w:hAnsi="Times New Roman" w:cs="Times New Roman"/>
                <w:b/>
                <w:i w:val="0"/>
                <w:sz w:val="22"/>
              </w:rPr>
              <w:t>Pre-funded Nostro (USD mn)</w:t>
            </w:r>
          </w:p>
        </w:tc>
        <w:tc>
          <w:tcPr>
            <w:tcW w:type="dxa" w:w="2016"/>
          </w:tcPr>
          <w:p>
            <w:pPr>
              <w:spacing w:line="240" w:lineRule="auto"/>
            </w:pPr>
            <w:r/>
            <w:r>
              <w:rPr>
                <w:rFonts w:ascii="Times New Roman" w:hAnsi="Times New Roman" w:cs="Times New Roman"/>
                <w:b/>
                <w:i w:val="0"/>
                <w:sz w:val="22"/>
              </w:rPr>
              <w:t>LCR Buffer (USD mn)</w:t>
            </w:r>
          </w:p>
        </w:tc>
      </w:tr>
      <w:tr>
        <w:tc>
          <w:tcPr>
            <w:tcW w:type="dxa" w:w="1728"/>
          </w:tcPr>
          <w:p>
            <w:pPr>
              <w:spacing w:line="240" w:lineRule="auto"/>
            </w:pPr>
            <w:r/>
            <w:r>
              <w:rPr>
                <w:rFonts w:ascii="Times New Roman" w:hAnsi="Times New Roman" w:cs="Times New Roman"/>
                <w:b w:val="0"/>
                <w:i w:val="0"/>
                <w:sz w:val="22"/>
              </w:rPr>
              <w:t>USD/EUR</w:t>
            </w:r>
          </w:p>
        </w:tc>
        <w:tc>
          <w:tcPr>
            <w:tcW w:type="dxa" w:w="2592"/>
          </w:tcPr>
          <w:p>
            <w:pPr>
              <w:spacing w:line="240" w:lineRule="auto"/>
            </w:pPr>
            <w:r/>
            <w:r>
              <w:rPr>
                <w:rFonts w:ascii="Times New Roman" w:hAnsi="Times New Roman" w:cs="Times New Roman"/>
                <w:b w:val="0"/>
                <w:i w:val="0"/>
                <w:sz w:val="22"/>
              </w:rPr>
              <w:t>Approx. 46 hours</w:t>
            </w:r>
          </w:p>
        </w:tc>
        <w:tc>
          <w:tcPr>
            <w:tcW w:type="dxa" w:w="2304"/>
          </w:tcPr>
          <w:p>
            <w:pPr>
              <w:spacing w:line="240" w:lineRule="auto"/>
            </w:pPr>
            <w:r/>
            <w:r>
              <w:rPr>
                <w:rFonts w:ascii="Times New Roman" w:hAnsi="Times New Roman" w:cs="Times New Roman"/>
                <w:b w:val="0"/>
                <w:i w:val="0"/>
                <w:sz w:val="22"/>
              </w:rPr>
              <w:t>Approx. 180</w:t>
            </w:r>
          </w:p>
        </w:tc>
        <w:tc>
          <w:tcPr>
            <w:tcW w:type="dxa" w:w="2016"/>
          </w:tcPr>
          <w:p>
            <w:pPr>
              <w:spacing w:line="240" w:lineRule="auto"/>
            </w:pPr>
            <w:r/>
            <w:r>
              <w:rPr>
                <w:rFonts w:ascii="Times New Roman" w:hAnsi="Times New Roman" w:cs="Times New Roman"/>
                <w:b w:val="0"/>
                <w:i w:val="0"/>
                <w:sz w:val="22"/>
              </w:rPr>
              <w:t>Approx. 55</w:t>
            </w:r>
          </w:p>
        </w:tc>
      </w:tr>
      <w:tr>
        <w:tc>
          <w:tcPr>
            <w:tcW w:type="dxa" w:w="1728"/>
          </w:tcPr>
          <w:p>
            <w:pPr>
              <w:spacing w:line="240" w:lineRule="auto"/>
            </w:pPr>
            <w:r/>
            <w:r>
              <w:rPr>
                <w:rFonts w:ascii="Times New Roman" w:hAnsi="Times New Roman" w:cs="Times New Roman"/>
                <w:b w:val="0"/>
                <w:i w:val="0"/>
                <w:sz w:val="22"/>
              </w:rPr>
              <w:t>USD/JPY</w:t>
            </w:r>
          </w:p>
        </w:tc>
        <w:tc>
          <w:tcPr>
            <w:tcW w:type="dxa" w:w="2592"/>
          </w:tcPr>
          <w:p>
            <w:pPr>
              <w:spacing w:line="240" w:lineRule="auto"/>
            </w:pPr>
            <w:r/>
            <w:r>
              <w:rPr>
                <w:rFonts w:ascii="Times New Roman" w:hAnsi="Times New Roman" w:cs="Times New Roman"/>
                <w:b w:val="0"/>
                <w:i w:val="0"/>
                <w:sz w:val="22"/>
              </w:rPr>
              <w:t>Approx. 52 hours</w:t>
            </w:r>
          </w:p>
        </w:tc>
        <w:tc>
          <w:tcPr>
            <w:tcW w:type="dxa" w:w="2304"/>
          </w:tcPr>
          <w:p>
            <w:pPr>
              <w:spacing w:line="240" w:lineRule="auto"/>
            </w:pPr>
            <w:r/>
            <w:r>
              <w:rPr>
                <w:rFonts w:ascii="Times New Roman" w:hAnsi="Times New Roman" w:cs="Times New Roman"/>
                <w:b w:val="0"/>
                <w:i w:val="0"/>
                <w:sz w:val="22"/>
              </w:rPr>
              <w:t>Approx. 220</w:t>
            </w:r>
          </w:p>
        </w:tc>
        <w:tc>
          <w:tcPr>
            <w:tcW w:type="dxa" w:w="2016"/>
          </w:tcPr>
          <w:p>
            <w:pPr>
              <w:spacing w:line="240" w:lineRule="auto"/>
            </w:pPr>
            <w:r/>
            <w:r>
              <w:rPr>
                <w:rFonts w:ascii="Times New Roman" w:hAnsi="Times New Roman" w:cs="Times New Roman"/>
                <w:b w:val="0"/>
                <w:i w:val="0"/>
                <w:sz w:val="22"/>
              </w:rPr>
              <w:t>Approx. 70</w:t>
            </w:r>
          </w:p>
        </w:tc>
      </w:tr>
      <w:tr>
        <w:tc>
          <w:tcPr>
            <w:tcW w:type="dxa" w:w="1728"/>
          </w:tcPr>
          <w:p>
            <w:pPr>
              <w:spacing w:line="240" w:lineRule="auto"/>
            </w:pPr>
            <w:r/>
            <w:r>
              <w:rPr>
                <w:rFonts w:ascii="Times New Roman" w:hAnsi="Times New Roman" w:cs="Times New Roman"/>
                <w:b w:val="0"/>
                <w:i w:val="0"/>
                <w:sz w:val="22"/>
              </w:rPr>
              <w:t>USD/INR</w:t>
            </w:r>
          </w:p>
        </w:tc>
        <w:tc>
          <w:tcPr>
            <w:tcW w:type="dxa" w:w="2592"/>
          </w:tcPr>
          <w:p>
            <w:pPr>
              <w:spacing w:line="240" w:lineRule="auto"/>
            </w:pPr>
            <w:r/>
            <w:r>
              <w:rPr>
                <w:rFonts w:ascii="Times New Roman" w:hAnsi="Times New Roman" w:cs="Times New Roman"/>
                <w:b w:val="0"/>
                <w:i w:val="0"/>
                <w:sz w:val="22"/>
              </w:rPr>
              <w:t>Approx. 58 hours</w:t>
            </w:r>
          </w:p>
        </w:tc>
        <w:tc>
          <w:tcPr>
            <w:tcW w:type="dxa" w:w="2304"/>
          </w:tcPr>
          <w:p>
            <w:pPr>
              <w:spacing w:line="240" w:lineRule="auto"/>
            </w:pPr>
            <w:r/>
            <w:r>
              <w:rPr>
                <w:rFonts w:ascii="Times New Roman" w:hAnsi="Times New Roman" w:cs="Times New Roman"/>
                <w:b w:val="0"/>
                <w:i w:val="0"/>
                <w:sz w:val="22"/>
              </w:rPr>
              <w:t>Approx. 145</w:t>
            </w:r>
          </w:p>
        </w:tc>
        <w:tc>
          <w:tcPr>
            <w:tcW w:type="dxa" w:w="2016"/>
          </w:tcPr>
          <w:p>
            <w:pPr>
              <w:spacing w:line="240" w:lineRule="auto"/>
            </w:pPr>
            <w:r/>
            <w:r>
              <w:rPr>
                <w:rFonts w:ascii="Times New Roman" w:hAnsi="Times New Roman" w:cs="Times New Roman"/>
                <w:b w:val="0"/>
                <w:i w:val="0"/>
                <w:sz w:val="22"/>
              </w:rPr>
              <w:t>Approx. 48</w:t>
            </w:r>
          </w:p>
        </w:tc>
      </w:tr>
    </w:tbl>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Values are illustrative simulation outputs based on stated assumptions, not observed bank balances. Derived from BIS (2024) and SWIFT (2024).</w:t>
      </w:r>
    </w:p>
    <w:p>
      <w:pPr>
        <w:spacing w:after="0" w:before="0" w:line="360" w:lineRule="auto"/>
        <w:ind w:firstLine="720"/>
        <w:jc w:val="left"/>
      </w:pPr>
      <w:r>
        <w:rPr>
          <w:rFonts w:ascii="Times New Roman" w:hAnsi="Times New Roman" w:cs="Times New Roman"/>
          <w:b w:val="0"/>
          <w:i w:val="0"/>
          <w:sz w:val="24"/>
        </w:rPr>
        <w:t>Three observations warrant emphasis. First, USD/INR exposure windows exceed USD/EUR, reflecting the tighter clearing-cycle alignment between New York and Frankfurt versus the wider time-zone gap with Mumbai. Second, nostro requirements scale with corridor volume, not exposure window alone. Third, the LCR buffer is jurisdictionally sensitive, which is why the USD/JPY line exceeds what naive proportional scaling would predict.</w:t>
      </w:r>
    </w:p>
    <w:p>
      <w:pPr>
        <w:spacing w:before="240" w:after="120" w:line="360" w:lineRule="auto"/>
        <w:jc w:val="left"/>
      </w:pPr>
      <w:r>
        <w:rPr>
          <w:rFonts w:ascii="Times New Roman" w:hAnsi="Times New Roman" w:cs="Times New Roman"/>
          <w:b/>
          <w:i w:val="0"/>
          <w:sz w:val="24"/>
        </w:rPr>
        <w:t>4.3 Corridor Liquidity Estimates</w:t>
      </w:r>
    </w:p>
    <w:p>
      <w:pPr>
        <w:spacing w:after="0" w:before="0" w:line="360" w:lineRule="auto"/>
        <w:ind w:firstLine="720"/>
        <w:jc w:val="left"/>
      </w:pPr>
      <w:r>
        <w:rPr>
          <w:rFonts w:ascii="Times New Roman" w:hAnsi="Times New Roman" w:cs="Times New Roman"/>
          <w:b w:val="0"/>
          <w:i w:val="0"/>
          <w:sz w:val="24"/>
        </w:rPr>
        <w:t>Aggregated, the corridor figures yield a first-cut L_T+2 of approximately USD 545 million for a representative mid-cap MNC. At WACC of 9%, this buffer implies an annual opportunity cost of approximately USD 49 million. A 60% liquidity reduction under atomic settlement — conservative relative to Agora pilot disclosures — implies corridor-level CCS of approximately USD 29 million annually. Read correctly, this is the Interoperability Gap expressed in treasury-budget units; read cautiously, it is a point estimate that shifts materially with the HQLA-haircut assumption.</w:t>
      </w:r>
    </w:p>
    <w:p>
      <w:pPr>
        <w:spacing w:before="240" w:after="120" w:line="360" w:lineRule="auto"/>
        <w:jc w:val="left"/>
      </w:pPr>
      <w:r>
        <w:rPr>
          <w:rFonts w:ascii="Times New Roman" w:hAnsi="Times New Roman" w:cs="Times New Roman"/>
          <w:b/>
          <w:i w:val="0"/>
          <w:sz w:val="24"/>
        </w:rPr>
        <w:t>4.4 LCR Stress-Scenario Snapshot</w:t>
      </w:r>
    </w:p>
    <w:p>
      <w:pPr>
        <w:spacing w:before="160" w:after="40" w:line="240" w:lineRule="auto"/>
        <w:jc w:val="left"/>
      </w:pPr>
      <w:r>
        <w:rPr>
          <w:rFonts w:ascii="Times New Roman" w:hAnsi="Times New Roman" w:cs="Times New Roman"/>
          <w:b/>
          <w:i w:val="0"/>
          <w:sz w:val="24"/>
        </w:rPr>
        <w:t>Table 6</w:t>
      </w:r>
    </w:p>
    <w:p>
      <w:pPr>
        <w:spacing w:after="80" w:line="240" w:lineRule="auto"/>
      </w:pPr>
      <w:r>
        <w:rPr>
          <w:rFonts w:ascii="Times New Roman" w:hAnsi="Times New Roman" w:cs="Times New Roman"/>
          <w:b w:val="0"/>
          <w:i/>
          <w:sz w:val="24"/>
        </w:rPr>
        <w:t>LCR Stress-Scenario Snapshot (Illustrative)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line="240" w:lineRule="auto"/>
            </w:pPr>
            <w:r/>
            <w:r>
              <w:rPr>
                <w:rFonts w:ascii="Times New Roman" w:hAnsi="Times New Roman" w:cs="Times New Roman"/>
                <w:b/>
                <w:i w:val="0"/>
                <w:sz w:val="22"/>
              </w:rPr>
              <w:t>Scenario</w:t>
            </w:r>
          </w:p>
        </w:tc>
        <w:tc>
          <w:tcPr>
            <w:tcW w:type="dxa" w:w="2880"/>
          </w:tcPr>
          <w:p>
            <w:pPr>
              <w:spacing w:line="240" w:lineRule="auto"/>
            </w:pPr>
            <w:r/>
            <w:r>
              <w:rPr>
                <w:rFonts w:ascii="Times New Roman" w:hAnsi="Times New Roman" w:cs="Times New Roman"/>
                <w:b/>
                <w:i w:val="0"/>
                <w:sz w:val="22"/>
              </w:rPr>
              <w:t>Required HQLA (USD mn)</w:t>
            </w:r>
          </w:p>
        </w:tc>
        <w:tc>
          <w:tcPr>
            <w:tcW w:type="dxa" w:w="2880"/>
          </w:tcPr>
          <w:p>
            <w:pPr>
              <w:spacing w:line="240" w:lineRule="auto"/>
            </w:pPr>
            <w:r/>
            <w:r>
              <w:rPr>
                <w:rFonts w:ascii="Times New Roman" w:hAnsi="Times New Roman" w:cs="Times New Roman"/>
                <w:b/>
                <w:i w:val="0"/>
                <w:sz w:val="22"/>
              </w:rPr>
              <w:t>Implied Cost @ WACC 9%</w:t>
            </w:r>
          </w:p>
        </w:tc>
      </w:tr>
      <w:tr>
        <w:tc>
          <w:tcPr>
            <w:tcW w:type="dxa" w:w="2880"/>
          </w:tcPr>
          <w:p>
            <w:pPr>
              <w:spacing w:line="240" w:lineRule="auto"/>
            </w:pPr>
            <w:r/>
            <w:r>
              <w:rPr>
                <w:rFonts w:ascii="Times New Roman" w:hAnsi="Times New Roman" w:cs="Times New Roman"/>
                <w:b w:val="0"/>
                <w:i w:val="0"/>
                <w:sz w:val="22"/>
              </w:rPr>
              <w:t>Baseline T+2</w:t>
            </w:r>
          </w:p>
        </w:tc>
        <w:tc>
          <w:tcPr>
            <w:tcW w:type="dxa" w:w="2880"/>
          </w:tcPr>
          <w:p>
            <w:pPr>
              <w:spacing w:line="240" w:lineRule="auto"/>
            </w:pPr>
            <w:r/>
            <w:r>
              <w:rPr>
                <w:rFonts w:ascii="Times New Roman" w:hAnsi="Times New Roman" w:cs="Times New Roman"/>
                <w:b w:val="0"/>
                <w:i w:val="0"/>
                <w:sz w:val="22"/>
              </w:rPr>
              <w:t>Approx. 173</w:t>
            </w:r>
          </w:p>
        </w:tc>
        <w:tc>
          <w:tcPr>
            <w:tcW w:type="dxa" w:w="2880"/>
          </w:tcPr>
          <w:p>
            <w:pPr>
              <w:spacing w:line="240" w:lineRule="auto"/>
            </w:pPr>
            <w:r/>
            <w:r>
              <w:rPr>
                <w:rFonts w:ascii="Times New Roman" w:hAnsi="Times New Roman" w:cs="Times New Roman"/>
                <w:b w:val="0"/>
                <w:i w:val="0"/>
                <w:sz w:val="22"/>
              </w:rPr>
              <w:t>Approx. USD 15.6 mn / year</w:t>
            </w:r>
          </w:p>
        </w:tc>
      </w:tr>
      <w:tr>
        <w:tc>
          <w:tcPr>
            <w:tcW w:type="dxa" w:w="2880"/>
          </w:tcPr>
          <w:p>
            <w:pPr>
              <w:spacing w:line="240" w:lineRule="auto"/>
            </w:pPr>
            <w:r/>
            <w:r>
              <w:rPr>
                <w:rFonts w:ascii="Times New Roman" w:hAnsi="Times New Roman" w:cs="Times New Roman"/>
                <w:b w:val="0"/>
                <w:i w:val="0"/>
                <w:sz w:val="22"/>
              </w:rPr>
              <w:t>Stressed T+2</w:t>
            </w:r>
          </w:p>
        </w:tc>
        <w:tc>
          <w:tcPr>
            <w:tcW w:type="dxa" w:w="2880"/>
          </w:tcPr>
          <w:p>
            <w:pPr>
              <w:spacing w:line="240" w:lineRule="auto"/>
            </w:pPr>
            <w:r/>
            <w:r>
              <w:rPr>
                <w:rFonts w:ascii="Times New Roman" w:hAnsi="Times New Roman" w:cs="Times New Roman"/>
                <w:b w:val="0"/>
                <w:i w:val="0"/>
                <w:sz w:val="22"/>
              </w:rPr>
              <w:t>Approx. 245</w:t>
            </w:r>
          </w:p>
        </w:tc>
        <w:tc>
          <w:tcPr>
            <w:tcW w:type="dxa" w:w="2880"/>
          </w:tcPr>
          <w:p>
            <w:pPr>
              <w:spacing w:line="240" w:lineRule="auto"/>
            </w:pPr>
            <w:r/>
            <w:r>
              <w:rPr>
                <w:rFonts w:ascii="Times New Roman" w:hAnsi="Times New Roman" w:cs="Times New Roman"/>
                <w:b w:val="0"/>
                <w:i w:val="0"/>
                <w:sz w:val="22"/>
              </w:rPr>
              <w:t>Approx. USD 22.0 mn / year</w:t>
            </w:r>
          </w:p>
        </w:tc>
      </w:tr>
      <w:tr>
        <w:tc>
          <w:tcPr>
            <w:tcW w:type="dxa" w:w="2880"/>
          </w:tcPr>
          <w:p>
            <w:pPr>
              <w:spacing w:line="240" w:lineRule="auto"/>
            </w:pPr>
            <w:r/>
            <w:r>
              <w:rPr>
                <w:rFonts w:ascii="Times New Roman" w:hAnsi="Times New Roman" w:cs="Times New Roman"/>
                <w:b w:val="0"/>
                <w:i w:val="0"/>
                <w:sz w:val="22"/>
              </w:rPr>
              <w:t>Atomic T+0 (projected)</w:t>
            </w:r>
          </w:p>
        </w:tc>
        <w:tc>
          <w:tcPr>
            <w:tcW w:type="dxa" w:w="2880"/>
          </w:tcPr>
          <w:p>
            <w:pPr>
              <w:spacing w:line="240" w:lineRule="auto"/>
            </w:pPr>
            <w:r/>
            <w:r>
              <w:rPr>
                <w:rFonts w:ascii="Times New Roman" w:hAnsi="Times New Roman" w:cs="Times New Roman"/>
                <w:b w:val="0"/>
                <w:i w:val="0"/>
                <w:sz w:val="22"/>
              </w:rPr>
              <w:t>Approx. 42</w:t>
            </w:r>
          </w:p>
        </w:tc>
        <w:tc>
          <w:tcPr>
            <w:tcW w:type="dxa" w:w="2880"/>
          </w:tcPr>
          <w:p>
            <w:pPr>
              <w:spacing w:line="240" w:lineRule="auto"/>
            </w:pPr>
            <w:r/>
            <w:r>
              <w:rPr>
                <w:rFonts w:ascii="Times New Roman" w:hAnsi="Times New Roman" w:cs="Times New Roman"/>
                <w:b w:val="0"/>
                <w:i w:val="0"/>
                <w:sz w:val="22"/>
              </w:rPr>
              <w:t>Approx. USD 3.8 mn / year</w:t>
            </w:r>
          </w:p>
        </w:tc>
      </w:tr>
    </w:tbl>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Values are illustrative. Final figures carry confidence bands and an HQLA-haircut sensitivity surface.</w:t>
      </w:r>
    </w:p>
    <w:p>
      <w:pPr>
        <w:spacing w:before="160" w:after="40" w:line="240" w:lineRule="auto"/>
        <w:jc w:val="left"/>
      </w:pPr>
      <w:r>
        <w:rPr>
          <w:rFonts w:ascii="Times New Roman" w:hAnsi="Times New Roman" w:cs="Times New Roman"/>
          <w:b/>
          <w:i w:val="0"/>
          <w:sz w:val="24"/>
        </w:rPr>
        <w:t>Figure 5</w:t>
      </w:r>
    </w:p>
    <w:p>
      <w:pPr>
        <w:spacing w:after="80" w:line="240" w:lineRule="auto"/>
      </w:pPr>
      <w:r>
        <w:rPr>
          <w:rFonts w:ascii="Times New Roman" w:hAnsi="Times New Roman" w:cs="Times New Roman"/>
          <w:b w:val="0"/>
          <w:i/>
          <w:sz w:val="24"/>
        </w:rPr>
        <w:t>LCR Stress-Scenario HQLA Requirement and Implied Annual Cost</w:t>
      </w:r>
    </w:p>
    <w:p>
      <w:pPr>
        <w:spacing w:before="80" w:after="80" w:line="240" w:lineRule="auto"/>
        <w:jc w:val="center"/>
      </w:pPr>
      <w:r>
        <w:drawing>
          <wp:inline xmlns:a="http://schemas.openxmlformats.org/drawingml/2006/main" xmlns:pic="http://schemas.openxmlformats.org/drawingml/2006/picture">
            <wp:extent cx="5486400" cy="3020602"/>
            <wp:docPr id="5" name="Picture 5"/>
            <wp:cNvGraphicFramePr>
              <a:graphicFrameLocks noChangeAspect="1"/>
            </wp:cNvGraphicFramePr>
            <a:graphic>
              <a:graphicData uri="http://schemas.openxmlformats.org/drawingml/2006/picture">
                <pic:pic>
                  <pic:nvPicPr>
                    <pic:cNvPr id="0" name="fig7_lcr.png"/>
                    <pic:cNvPicPr/>
                  </pic:nvPicPr>
                  <pic:blipFill>
                    <a:blip r:embed="rId14"/>
                    <a:stretch>
                      <a:fillRect/>
                    </a:stretch>
                  </pic:blipFill>
                  <pic:spPr>
                    <a:xfrm>
                      <a:off x="0" y="0"/>
                      <a:ext cx="5486400" cy="3020602"/>
                    </a:xfrm>
                    <a:prstGeom prst="rect"/>
                  </pic:spPr>
                </pic:pic>
              </a:graphicData>
            </a:graphic>
          </wp:inline>
        </w:drawing>
      </w:r>
    </w:p>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Required HQLA shown as bar height (USD mn); implied annual opportunity cost at 9% WACC annotated within each bar.</w:t>
      </w:r>
    </w:p>
    <w:p>
      <w:pPr>
        <w:spacing w:after="0" w:before="0" w:line="360" w:lineRule="auto"/>
        <w:ind w:firstLine="720"/>
        <w:jc w:val="left"/>
      </w:pPr>
      <w:r>
        <w:rPr>
          <w:rFonts w:ascii="Times New Roman" w:hAnsi="Times New Roman" w:cs="Times New Roman"/>
          <w:b w:val="0"/>
          <w:i w:val="0"/>
          <w:sz w:val="24"/>
        </w:rPr>
        <w:t>The projected atomic T+0 HQLA figure sits at approximately one-quarter of the stressed baseline, implying CCS of the order of USD 18 million per year in released opportunity cost for a representative mid-cap MNC.</w:t>
      </w:r>
    </w:p>
    <w:p>
      <w:pPr>
        <w:spacing w:before="240" w:after="120" w:line="360" w:lineRule="auto"/>
        <w:jc w:val="left"/>
      </w:pPr>
      <w:r>
        <w:rPr>
          <w:rFonts w:ascii="Times New Roman" w:hAnsi="Times New Roman" w:cs="Times New Roman"/>
          <w:b/>
          <w:i w:val="0"/>
          <w:sz w:val="24"/>
        </w:rPr>
        <w:t>4.5 RRSE Readings by Corridor</w:t>
      </w:r>
    </w:p>
    <w:p>
      <w:pPr>
        <w:spacing w:before="160" w:after="40" w:line="240" w:lineRule="auto"/>
        <w:jc w:val="left"/>
      </w:pPr>
      <w:r>
        <w:rPr>
          <w:rFonts w:ascii="Times New Roman" w:hAnsi="Times New Roman" w:cs="Times New Roman"/>
          <w:b/>
          <w:i w:val="0"/>
          <w:sz w:val="24"/>
        </w:rPr>
        <w:t>Table 7</w:t>
      </w:r>
    </w:p>
    <w:p>
      <w:pPr>
        <w:spacing w:after="80" w:line="240" w:lineRule="auto"/>
      </w:pPr>
      <w:r>
        <w:rPr>
          <w:rFonts w:ascii="Times New Roman" w:hAnsi="Times New Roman" w:cs="Times New Roman"/>
          <w:b w:val="0"/>
          <w:i/>
          <w:sz w:val="24"/>
        </w:rPr>
        <w:t>Preliminary RRSE Readings by Corridor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728"/>
          </w:tcPr>
          <w:p>
            <w:pPr>
              <w:spacing w:line="240" w:lineRule="auto"/>
            </w:pPr>
            <w:r/>
            <w:r>
              <w:rPr>
                <w:rFonts w:ascii="Times New Roman" w:hAnsi="Times New Roman" w:cs="Times New Roman"/>
                <w:b/>
                <w:i w:val="0"/>
                <w:sz w:val="22"/>
              </w:rPr>
              <w:t>Corridor</w:t>
            </w:r>
          </w:p>
        </w:tc>
        <w:tc>
          <w:tcPr>
            <w:tcW w:type="dxa" w:w="2304"/>
          </w:tcPr>
          <w:p>
            <w:pPr>
              <w:spacing w:line="240" w:lineRule="auto"/>
            </w:pPr>
            <w:r/>
            <w:r>
              <w:rPr>
                <w:rFonts w:ascii="Times New Roman" w:hAnsi="Times New Roman" w:cs="Times New Roman"/>
                <w:b/>
                <w:i w:val="0"/>
                <w:sz w:val="22"/>
              </w:rPr>
              <w:t>T_T+2 (hours)</w:t>
            </w:r>
          </w:p>
        </w:tc>
        <w:tc>
          <w:tcPr>
            <w:tcW w:type="dxa" w:w="2304"/>
          </w:tcPr>
          <w:p>
            <w:pPr>
              <w:spacing w:line="240" w:lineRule="auto"/>
            </w:pPr>
            <w:r/>
            <w:r>
              <w:rPr>
                <w:rFonts w:ascii="Times New Roman" w:hAnsi="Times New Roman" w:cs="Times New Roman"/>
                <w:b/>
                <w:i w:val="0"/>
                <w:sz w:val="22"/>
              </w:rPr>
              <w:t>T_Atomic (seconds)</w:t>
            </w:r>
          </w:p>
        </w:tc>
        <w:tc>
          <w:tcPr>
            <w:tcW w:type="dxa" w:w="2304"/>
          </w:tcPr>
          <w:p>
            <w:pPr>
              <w:spacing w:line="240" w:lineRule="auto"/>
            </w:pPr>
            <w:r/>
            <w:r>
              <w:rPr>
                <w:rFonts w:ascii="Times New Roman" w:hAnsi="Times New Roman" w:cs="Times New Roman"/>
                <w:b/>
                <w:i w:val="0"/>
                <w:sz w:val="22"/>
              </w:rPr>
              <w:t>Preliminary RRSE</w:t>
            </w:r>
          </w:p>
        </w:tc>
      </w:tr>
      <w:tr>
        <w:tc>
          <w:tcPr>
            <w:tcW w:type="dxa" w:w="1728"/>
          </w:tcPr>
          <w:p>
            <w:pPr>
              <w:spacing w:line="240" w:lineRule="auto"/>
            </w:pPr>
            <w:r/>
            <w:r>
              <w:rPr>
                <w:rFonts w:ascii="Times New Roman" w:hAnsi="Times New Roman" w:cs="Times New Roman"/>
                <w:b w:val="0"/>
                <w:i w:val="0"/>
                <w:sz w:val="22"/>
              </w:rPr>
              <w:t>USD/EUR</w:t>
            </w:r>
          </w:p>
        </w:tc>
        <w:tc>
          <w:tcPr>
            <w:tcW w:type="dxa" w:w="2304"/>
          </w:tcPr>
          <w:p>
            <w:pPr>
              <w:spacing w:line="240" w:lineRule="auto"/>
            </w:pPr>
            <w:r/>
            <w:r>
              <w:rPr>
                <w:rFonts w:ascii="Times New Roman" w:hAnsi="Times New Roman" w:cs="Times New Roman"/>
                <w:b w:val="0"/>
                <w:i w:val="0"/>
                <w:sz w:val="22"/>
              </w:rPr>
              <w:t>Approx. 46</w:t>
            </w:r>
          </w:p>
        </w:tc>
        <w:tc>
          <w:tcPr>
            <w:tcW w:type="dxa" w:w="2304"/>
          </w:tcPr>
          <w:p>
            <w:pPr>
              <w:spacing w:line="240" w:lineRule="auto"/>
            </w:pPr>
            <w:r/>
            <w:r>
              <w:rPr>
                <w:rFonts w:ascii="Times New Roman" w:hAnsi="Times New Roman" w:cs="Times New Roman"/>
                <w:b w:val="0"/>
                <w:i w:val="0"/>
                <w:sz w:val="22"/>
              </w:rPr>
              <w:t>Approx. 8</w:t>
            </w:r>
          </w:p>
        </w:tc>
        <w:tc>
          <w:tcPr>
            <w:tcW w:type="dxa" w:w="2304"/>
          </w:tcPr>
          <w:p>
            <w:pPr>
              <w:spacing w:line="240" w:lineRule="auto"/>
            </w:pPr>
            <w:r/>
            <w:r>
              <w:rPr>
                <w:rFonts w:ascii="Times New Roman" w:hAnsi="Times New Roman" w:cs="Times New Roman"/>
                <w:b w:val="0"/>
                <w:i w:val="0"/>
                <w:sz w:val="22"/>
              </w:rPr>
              <w:t>Approx. 99.995%</w:t>
            </w:r>
          </w:p>
        </w:tc>
      </w:tr>
      <w:tr>
        <w:tc>
          <w:tcPr>
            <w:tcW w:type="dxa" w:w="1728"/>
          </w:tcPr>
          <w:p>
            <w:pPr>
              <w:spacing w:line="240" w:lineRule="auto"/>
            </w:pPr>
            <w:r/>
            <w:r>
              <w:rPr>
                <w:rFonts w:ascii="Times New Roman" w:hAnsi="Times New Roman" w:cs="Times New Roman"/>
                <w:b w:val="0"/>
                <w:i w:val="0"/>
                <w:sz w:val="22"/>
              </w:rPr>
              <w:t>USD/JPY</w:t>
            </w:r>
          </w:p>
        </w:tc>
        <w:tc>
          <w:tcPr>
            <w:tcW w:type="dxa" w:w="2304"/>
          </w:tcPr>
          <w:p>
            <w:pPr>
              <w:spacing w:line="240" w:lineRule="auto"/>
            </w:pPr>
            <w:r/>
            <w:r>
              <w:rPr>
                <w:rFonts w:ascii="Times New Roman" w:hAnsi="Times New Roman" w:cs="Times New Roman"/>
                <w:b w:val="0"/>
                <w:i w:val="0"/>
                <w:sz w:val="22"/>
              </w:rPr>
              <w:t>Approx. 52</w:t>
            </w:r>
          </w:p>
        </w:tc>
        <w:tc>
          <w:tcPr>
            <w:tcW w:type="dxa" w:w="2304"/>
          </w:tcPr>
          <w:p>
            <w:pPr>
              <w:spacing w:line="240" w:lineRule="auto"/>
            </w:pPr>
            <w:r/>
            <w:r>
              <w:rPr>
                <w:rFonts w:ascii="Times New Roman" w:hAnsi="Times New Roman" w:cs="Times New Roman"/>
                <w:b w:val="0"/>
                <w:i w:val="0"/>
                <w:sz w:val="22"/>
              </w:rPr>
              <w:t>Approx. 10</w:t>
            </w:r>
          </w:p>
        </w:tc>
        <w:tc>
          <w:tcPr>
            <w:tcW w:type="dxa" w:w="2304"/>
          </w:tcPr>
          <w:p>
            <w:pPr>
              <w:spacing w:line="240" w:lineRule="auto"/>
            </w:pPr>
            <w:r/>
            <w:r>
              <w:rPr>
                <w:rFonts w:ascii="Times New Roman" w:hAnsi="Times New Roman" w:cs="Times New Roman"/>
                <w:b w:val="0"/>
                <w:i w:val="0"/>
                <w:sz w:val="22"/>
              </w:rPr>
              <w:t>Approx. 99.995%</w:t>
            </w:r>
          </w:p>
        </w:tc>
      </w:tr>
      <w:tr>
        <w:tc>
          <w:tcPr>
            <w:tcW w:type="dxa" w:w="1728"/>
          </w:tcPr>
          <w:p>
            <w:pPr>
              <w:spacing w:line="240" w:lineRule="auto"/>
            </w:pPr>
            <w:r/>
            <w:r>
              <w:rPr>
                <w:rFonts w:ascii="Times New Roman" w:hAnsi="Times New Roman" w:cs="Times New Roman"/>
                <w:b w:val="0"/>
                <w:i w:val="0"/>
                <w:sz w:val="22"/>
              </w:rPr>
              <w:t>USD/INR</w:t>
            </w:r>
          </w:p>
        </w:tc>
        <w:tc>
          <w:tcPr>
            <w:tcW w:type="dxa" w:w="2304"/>
          </w:tcPr>
          <w:p>
            <w:pPr>
              <w:spacing w:line="240" w:lineRule="auto"/>
            </w:pPr>
            <w:r/>
            <w:r>
              <w:rPr>
                <w:rFonts w:ascii="Times New Roman" w:hAnsi="Times New Roman" w:cs="Times New Roman"/>
                <w:b w:val="0"/>
                <w:i w:val="0"/>
                <w:sz w:val="22"/>
              </w:rPr>
              <w:t>Approx. 58</w:t>
            </w:r>
          </w:p>
        </w:tc>
        <w:tc>
          <w:tcPr>
            <w:tcW w:type="dxa" w:w="2304"/>
          </w:tcPr>
          <w:p>
            <w:pPr>
              <w:spacing w:line="240" w:lineRule="auto"/>
            </w:pPr>
            <w:r/>
            <w:r>
              <w:rPr>
                <w:rFonts w:ascii="Times New Roman" w:hAnsi="Times New Roman" w:cs="Times New Roman"/>
                <w:b w:val="0"/>
                <w:i w:val="0"/>
                <w:sz w:val="22"/>
              </w:rPr>
              <w:t>Approx. 12</w:t>
            </w:r>
          </w:p>
        </w:tc>
        <w:tc>
          <w:tcPr>
            <w:tcW w:type="dxa" w:w="2304"/>
          </w:tcPr>
          <w:p>
            <w:pPr>
              <w:spacing w:line="240" w:lineRule="auto"/>
            </w:pPr>
            <w:r/>
            <w:r>
              <w:rPr>
                <w:rFonts w:ascii="Times New Roman" w:hAnsi="Times New Roman" w:cs="Times New Roman"/>
                <w:b w:val="0"/>
                <w:i w:val="0"/>
                <w:sz w:val="22"/>
              </w:rPr>
              <w:t>Approx. 99.994%</w:t>
            </w:r>
          </w:p>
        </w:tc>
      </w:tr>
    </w:tbl>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RRSE = 1 − (T_Atomic / T_T+2). The metric clusters near unity by construction; the genuine corridor differentiation appears in CCS.</w:t>
      </w:r>
    </w:p>
    <w:p>
      <w:pPr>
        <w:spacing w:before="160" w:after="40" w:line="240" w:lineRule="auto"/>
        <w:jc w:val="left"/>
      </w:pPr>
      <w:r>
        <w:rPr>
          <w:rFonts w:ascii="Times New Roman" w:hAnsi="Times New Roman" w:cs="Times New Roman"/>
          <w:b/>
          <w:i w:val="0"/>
          <w:sz w:val="24"/>
        </w:rPr>
        <w:t>Figure 6</w:t>
      </w:r>
    </w:p>
    <w:p>
      <w:pPr>
        <w:spacing w:after="80" w:line="240" w:lineRule="auto"/>
      </w:pPr>
      <w:r>
        <w:rPr>
          <w:rFonts w:ascii="Times New Roman" w:hAnsi="Times New Roman" w:cs="Times New Roman"/>
          <w:b w:val="0"/>
          <w:i/>
          <w:sz w:val="24"/>
        </w:rPr>
        <w:t>Corridor-wise Settlement Exposure Window, T+2 versus T+0 (Illustrative)</w:t>
      </w:r>
    </w:p>
    <w:p>
      <w:pPr>
        <w:spacing w:before="80" w:after="80" w:line="240" w:lineRule="auto"/>
        <w:jc w:val="center"/>
      </w:pPr>
      <w:r>
        <w:drawing>
          <wp:inline xmlns:a="http://schemas.openxmlformats.org/drawingml/2006/main" xmlns:pic="http://schemas.openxmlformats.org/drawingml/2006/picture">
            <wp:extent cx="5669280" cy="3256820"/>
            <wp:docPr id="6" name="Picture 6"/>
            <wp:cNvGraphicFramePr>
              <a:graphicFrameLocks noChangeAspect="1"/>
            </wp:cNvGraphicFramePr>
            <a:graphic>
              <a:graphicData uri="http://schemas.openxmlformats.org/drawingml/2006/picture">
                <pic:pic>
                  <pic:nvPicPr>
                    <pic:cNvPr id="0" name="fig5_exposure.png"/>
                    <pic:cNvPicPr/>
                  </pic:nvPicPr>
                  <pic:blipFill>
                    <a:blip r:embed="rId15"/>
                    <a:stretch>
                      <a:fillRect/>
                    </a:stretch>
                  </pic:blipFill>
                  <pic:spPr>
                    <a:xfrm>
                      <a:off x="0" y="0"/>
                      <a:ext cx="5669280" cy="3256820"/>
                    </a:xfrm>
                    <a:prstGeom prst="rect"/>
                  </pic:spPr>
                </pic:pic>
              </a:graphicData>
            </a:graphic>
          </wp:inline>
        </w:drawing>
      </w:r>
    </w:p>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Both axes on log scale to show approximately five orders of magnitude between T+2 SWIFT (hours) and T+0 atomic settlement (seconds). Illustrative output of Phase II simulation.</w:t>
      </w:r>
    </w:p>
    <w:p>
      <w:pPr>
        <w:spacing w:before="160" w:after="40" w:line="240" w:lineRule="auto"/>
        <w:jc w:val="left"/>
      </w:pPr>
      <w:r>
        <w:rPr>
          <w:rFonts w:ascii="Times New Roman" w:hAnsi="Times New Roman" w:cs="Times New Roman"/>
          <w:b/>
          <w:i w:val="0"/>
          <w:sz w:val="24"/>
        </w:rPr>
        <w:t>Figure 7</w:t>
      </w:r>
    </w:p>
    <w:p>
      <w:pPr>
        <w:spacing w:after="80" w:line="240" w:lineRule="auto"/>
      </w:pPr>
      <w:r>
        <w:rPr>
          <w:rFonts w:ascii="Times New Roman" w:hAnsi="Times New Roman" w:cs="Times New Roman"/>
          <w:b w:val="0"/>
          <w:i/>
          <w:sz w:val="24"/>
        </w:rPr>
        <w:t>RRSE Decomposition: Compression of T+2 Exposure under T+0 Atomic</w:t>
      </w:r>
    </w:p>
    <w:p>
      <w:pPr>
        <w:spacing w:before="80" w:after="80" w:line="240" w:lineRule="auto"/>
        <w:jc w:val="center"/>
      </w:pPr>
      <w:r>
        <w:drawing>
          <wp:inline xmlns:a="http://schemas.openxmlformats.org/drawingml/2006/main" xmlns:pic="http://schemas.openxmlformats.org/drawingml/2006/picture">
            <wp:extent cx="5669280" cy="3256820"/>
            <wp:docPr id="7" name="Picture 7"/>
            <wp:cNvGraphicFramePr>
              <a:graphicFrameLocks noChangeAspect="1"/>
            </wp:cNvGraphicFramePr>
            <a:graphic>
              <a:graphicData uri="http://schemas.openxmlformats.org/drawingml/2006/picture">
                <pic:pic>
                  <pic:nvPicPr>
                    <pic:cNvPr id="0" name="fig9_rrse.png"/>
                    <pic:cNvPicPr/>
                  </pic:nvPicPr>
                  <pic:blipFill>
                    <a:blip r:embed="rId16"/>
                    <a:stretch>
                      <a:fillRect/>
                    </a:stretch>
                  </pic:blipFill>
                  <pic:spPr>
                    <a:xfrm>
                      <a:off x="0" y="0"/>
                      <a:ext cx="5669280" cy="3256820"/>
                    </a:xfrm>
                    <a:prstGeom prst="rect"/>
                  </pic:spPr>
                </pic:pic>
              </a:graphicData>
            </a:graphic>
          </wp:inline>
        </w:drawing>
      </w:r>
    </w:p>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Stacked bars decompose the T+2 exposure window into the compressed (RRSE) portion under atomic settlement and the small residual exposure. The genuine corridor differentiation appears in CCS (Figure 8), not RRSE.</w:t>
      </w:r>
    </w:p>
    <w:p>
      <w:pPr>
        <w:spacing w:before="240" w:after="120" w:line="360" w:lineRule="auto"/>
        <w:jc w:val="left"/>
      </w:pPr>
      <w:r>
        <w:rPr>
          <w:rFonts w:ascii="Times New Roman" w:hAnsi="Times New Roman" w:cs="Times New Roman"/>
          <w:b/>
          <w:i w:val="0"/>
          <w:sz w:val="24"/>
        </w:rPr>
        <w:t>4.6 Phase II Atomic Settlement Findings</w:t>
      </w:r>
    </w:p>
    <w:p>
      <w:pPr>
        <w:spacing w:after="0" w:before="0" w:line="360" w:lineRule="auto"/>
        <w:ind w:firstLine="720"/>
        <w:jc w:val="left"/>
      </w:pPr>
      <w:r>
        <w:rPr>
          <w:rFonts w:ascii="Times New Roman" w:hAnsi="Times New Roman" w:cs="Times New Roman"/>
          <w:b w:val="0"/>
          <w:i w:val="0"/>
          <w:sz w:val="24"/>
        </w:rPr>
        <w:t>Two principal findings emerge from Phase II. First, the 48-hour legacy exposure window contracts to a 30-minute atomic-settlement window, producing a base-case RRSE of 98.96%; under a more conservative two-hour atomic assumption, the reduction remains above 95%. Principal settlement risk is therefore folded into questions of legal, operational, and liquidity design rather than being eliminated. Second, CCS is corridor-sensitive — illustratively, approximately USD 0.60 million per USD 1 billion of migrated notional for USD/EUR and USD/JPY, and approximately USD 1.20 million for USD/INR, reflecting a wider assumed WACC and a larger liquidity release.</w:t>
      </w:r>
    </w:p>
    <w:p>
      <w:pPr>
        <w:spacing w:before="160" w:after="40" w:line="240" w:lineRule="auto"/>
        <w:jc w:val="left"/>
      </w:pPr>
      <w:r>
        <w:rPr>
          <w:rFonts w:ascii="Times New Roman" w:hAnsi="Times New Roman" w:cs="Times New Roman"/>
          <w:b/>
          <w:i w:val="0"/>
          <w:sz w:val="24"/>
        </w:rPr>
        <w:t>Table 8</w:t>
      </w:r>
    </w:p>
    <w:p>
      <w:pPr>
        <w:spacing w:after="80" w:line="240" w:lineRule="auto"/>
      </w:pPr>
      <w:r>
        <w:rPr>
          <w:rFonts w:ascii="Times New Roman" w:hAnsi="Times New Roman" w:cs="Times New Roman"/>
          <w:b w:val="0"/>
          <w:i/>
          <w:sz w:val="24"/>
        </w:rPr>
        <w:t>Illustrative Corridor-Level Capital Cost Savings (Base-Case Simulation)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440"/>
          </w:tcPr>
          <w:p>
            <w:pPr>
              <w:spacing w:line="240" w:lineRule="auto"/>
            </w:pPr>
            <w:r/>
            <w:r>
              <w:rPr>
                <w:rFonts w:ascii="Times New Roman" w:hAnsi="Times New Roman" w:cs="Times New Roman"/>
                <w:b/>
                <w:i w:val="0"/>
                <w:sz w:val="22"/>
              </w:rPr>
              <w:t>Corridor</w:t>
            </w:r>
          </w:p>
        </w:tc>
        <w:tc>
          <w:tcPr>
            <w:tcW w:type="dxa" w:w="1440"/>
          </w:tcPr>
          <w:p>
            <w:pPr>
              <w:spacing w:line="240" w:lineRule="auto"/>
            </w:pPr>
            <w:r/>
            <w:r>
              <w:rPr>
                <w:rFonts w:ascii="Times New Roman" w:hAnsi="Times New Roman" w:cs="Times New Roman"/>
                <w:b/>
                <w:i w:val="0"/>
                <w:sz w:val="22"/>
              </w:rPr>
              <w:t>RRSE (base)</w:t>
            </w:r>
          </w:p>
        </w:tc>
        <w:tc>
          <w:tcPr>
            <w:tcW w:type="dxa" w:w="2880"/>
          </w:tcPr>
          <w:p>
            <w:pPr>
              <w:spacing w:line="240" w:lineRule="auto"/>
            </w:pPr>
            <w:r/>
            <w:r>
              <w:rPr>
                <w:rFonts w:ascii="Times New Roman" w:hAnsi="Times New Roman" w:cs="Times New Roman"/>
                <w:b/>
                <w:i w:val="0"/>
                <w:sz w:val="22"/>
              </w:rPr>
              <w:t>Illustrative CCS / USD 1bn migrated</w:t>
            </w:r>
          </w:p>
        </w:tc>
        <w:tc>
          <w:tcPr>
            <w:tcW w:type="dxa" w:w="3456"/>
          </w:tcPr>
          <w:p>
            <w:pPr>
              <w:spacing w:line="240" w:lineRule="auto"/>
            </w:pPr>
            <w:r/>
            <w:r>
              <w:rPr>
                <w:rFonts w:ascii="Times New Roman" w:hAnsi="Times New Roman" w:cs="Times New Roman"/>
                <w:b/>
                <w:i w:val="0"/>
                <w:sz w:val="22"/>
              </w:rPr>
              <w:t>Interpretation</w:t>
            </w:r>
          </w:p>
        </w:tc>
      </w:tr>
      <w:tr>
        <w:tc>
          <w:tcPr>
            <w:tcW w:type="dxa" w:w="1440"/>
          </w:tcPr>
          <w:p>
            <w:pPr>
              <w:spacing w:line="240" w:lineRule="auto"/>
            </w:pPr>
            <w:r/>
            <w:r>
              <w:rPr>
                <w:rFonts w:ascii="Times New Roman" w:hAnsi="Times New Roman" w:cs="Times New Roman"/>
                <w:b w:val="0"/>
                <w:i w:val="0"/>
                <w:sz w:val="22"/>
              </w:rPr>
              <w:t>USD/EUR</w:t>
            </w:r>
          </w:p>
        </w:tc>
        <w:tc>
          <w:tcPr>
            <w:tcW w:type="dxa" w:w="1440"/>
          </w:tcPr>
          <w:p>
            <w:pPr>
              <w:spacing w:line="240" w:lineRule="auto"/>
            </w:pPr>
            <w:r/>
            <w:r>
              <w:rPr>
                <w:rFonts w:ascii="Times New Roman" w:hAnsi="Times New Roman" w:cs="Times New Roman"/>
                <w:b w:val="0"/>
                <w:i w:val="0"/>
                <w:sz w:val="22"/>
              </w:rPr>
              <w:t>98.96%</w:t>
            </w:r>
          </w:p>
        </w:tc>
        <w:tc>
          <w:tcPr>
            <w:tcW w:type="dxa" w:w="2880"/>
          </w:tcPr>
          <w:p>
            <w:pPr>
              <w:spacing w:line="240" w:lineRule="auto"/>
            </w:pPr>
            <w:r/>
            <w:r>
              <w:rPr>
                <w:rFonts w:ascii="Times New Roman" w:hAnsi="Times New Roman" w:cs="Times New Roman"/>
                <w:b w:val="0"/>
                <w:i w:val="0"/>
                <w:sz w:val="22"/>
              </w:rPr>
              <w:t>Approx. USD 0.60m / year</w:t>
            </w:r>
          </w:p>
        </w:tc>
        <w:tc>
          <w:tcPr>
            <w:tcW w:type="dxa" w:w="3456"/>
          </w:tcPr>
          <w:p>
            <w:pPr>
              <w:spacing w:line="240" w:lineRule="auto"/>
            </w:pPr>
            <w:r/>
            <w:r>
              <w:rPr>
                <w:rFonts w:ascii="Times New Roman" w:hAnsi="Times New Roman" w:cs="Times New Roman"/>
                <w:b w:val="0"/>
                <w:i w:val="0"/>
                <w:sz w:val="22"/>
              </w:rPr>
              <w:t>High liquidity depth; smaller residual gains</w:t>
            </w:r>
          </w:p>
        </w:tc>
      </w:tr>
      <w:tr>
        <w:tc>
          <w:tcPr>
            <w:tcW w:type="dxa" w:w="1440"/>
          </w:tcPr>
          <w:p>
            <w:pPr>
              <w:spacing w:line="240" w:lineRule="auto"/>
            </w:pPr>
            <w:r/>
            <w:r>
              <w:rPr>
                <w:rFonts w:ascii="Times New Roman" w:hAnsi="Times New Roman" w:cs="Times New Roman"/>
                <w:b w:val="0"/>
                <w:i w:val="0"/>
                <w:sz w:val="22"/>
              </w:rPr>
              <w:t>USD/JPY</w:t>
            </w:r>
          </w:p>
        </w:tc>
        <w:tc>
          <w:tcPr>
            <w:tcW w:type="dxa" w:w="1440"/>
          </w:tcPr>
          <w:p>
            <w:pPr>
              <w:spacing w:line="240" w:lineRule="auto"/>
            </w:pPr>
            <w:r/>
            <w:r>
              <w:rPr>
                <w:rFonts w:ascii="Times New Roman" w:hAnsi="Times New Roman" w:cs="Times New Roman"/>
                <w:b w:val="0"/>
                <w:i w:val="0"/>
                <w:sz w:val="22"/>
              </w:rPr>
              <w:t>98.96%</w:t>
            </w:r>
          </w:p>
        </w:tc>
        <w:tc>
          <w:tcPr>
            <w:tcW w:type="dxa" w:w="2880"/>
          </w:tcPr>
          <w:p>
            <w:pPr>
              <w:spacing w:line="240" w:lineRule="auto"/>
            </w:pPr>
            <w:r/>
            <w:r>
              <w:rPr>
                <w:rFonts w:ascii="Times New Roman" w:hAnsi="Times New Roman" w:cs="Times New Roman"/>
                <w:b w:val="0"/>
                <w:i w:val="0"/>
                <w:sz w:val="22"/>
              </w:rPr>
              <w:t>Approx. USD 0.60m / year</w:t>
            </w:r>
          </w:p>
        </w:tc>
        <w:tc>
          <w:tcPr>
            <w:tcW w:type="dxa" w:w="3456"/>
          </w:tcPr>
          <w:p>
            <w:pPr>
              <w:spacing w:line="240" w:lineRule="auto"/>
            </w:pPr>
            <w:r/>
            <w:r>
              <w:rPr>
                <w:rFonts w:ascii="Times New Roman" w:hAnsi="Times New Roman" w:cs="Times New Roman"/>
                <w:b w:val="0"/>
                <w:i w:val="0"/>
                <w:sz w:val="22"/>
              </w:rPr>
              <w:t>Time-zone gap; T+1 securities funding pressure</w:t>
            </w:r>
          </w:p>
        </w:tc>
      </w:tr>
      <w:tr>
        <w:tc>
          <w:tcPr>
            <w:tcW w:type="dxa" w:w="1440"/>
          </w:tcPr>
          <w:p>
            <w:pPr>
              <w:spacing w:line="240" w:lineRule="auto"/>
            </w:pPr>
            <w:r/>
            <w:r>
              <w:rPr>
                <w:rFonts w:ascii="Times New Roman" w:hAnsi="Times New Roman" w:cs="Times New Roman"/>
                <w:b w:val="0"/>
                <w:i w:val="0"/>
                <w:sz w:val="22"/>
              </w:rPr>
              <w:t>USD/INR</w:t>
            </w:r>
          </w:p>
        </w:tc>
        <w:tc>
          <w:tcPr>
            <w:tcW w:type="dxa" w:w="1440"/>
          </w:tcPr>
          <w:p>
            <w:pPr>
              <w:spacing w:line="240" w:lineRule="auto"/>
            </w:pPr>
            <w:r/>
            <w:r>
              <w:rPr>
                <w:rFonts w:ascii="Times New Roman" w:hAnsi="Times New Roman" w:cs="Times New Roman"/>
                <w:b w:val="0"/>
                <w:i w:val="0"/>
                <w:sz w:val="22"/>
              </w:rPr>
              <w:t>98.96%</w:t>
            </w:r>
          </w:p>
        </w:tc>
        <w:tc>
          <w:tcPr>
            <w:tcW w:type="dxa" w:w="2880"/>
          </w:tcPr>
          <w:p>
            <w:pPr>
              <w:spacing w:line="240" w:lineRule="auto"/>
            </w:pPr>
            <w:r/>
            <w:r>
              <w:rPr>
                <w:rFonts w:ascii="Times New Roman" w:hAnsi="Times New Roman" w:cs="Times New Roman"/>
                <w:b w:val="0"/>
                <w:i w:val="0"/>
                <w:sz w:val="22"/>
              </w:rPr>
              <w:t>Approx. USD 1.20m / year</w:t>
            </w:r>
          </w:p>
        </w:tc>
        <w:tc>
          <w:tcPr>
            <w:tcW w:type="dxa" w:w="3456"/>
          </w:tcPr>
          <w:p>
            <w:pPr>
              <w:spacing w:line="240" w:lineRule="auto"/>
            </w:pPr>
            <w:r/>
            <w:r>
              <w:rPr>
                <w:rFonts w:ascii="Times New Roman" w:hAnsi="Times New Roman" w:cs="Times New Roman"/>
                <w:b w:val="0"/>
                <w:i w:val="0"/>
                <w:sz w:val="22"/>
              </w:rPr>
              <w:t>Higher capital cost; greater settlement friction</w:t>
            </w:r>
          </w:p>
        </w:tc>
      </w:tr>
    </w:tbl>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Outputs are simulation values based on stated assumptions, not observed market savings.</w:t>
      </w:r>
    </w:p>
    <w:p>
      <w:pPr>
        <w:spacing w:before="160" w:after="40" w:line="240" w:lineRule="auto"/>
        <w:jc w:val="left"/>
      </w:pPr>
      <w:r>
        <w:rPr>
          <w:rFonts w:ascii="Times New Roman" w:hAnsi="Times New Roman" w:cs="Times New Roman"/>
          <w:b/>
          <w:i w:val="0"/>
          <w:sz w:val="24"/>
        </w:rPr>
        <w:t>Figure 8</w:t>
      </w:r>
    </w:p>
    <w:p>
      <w:pPr>
        <w:spacing w:after="80" w:line="240" w:lineRule="auto"/>
      </w:pPr>
      <w:r>
        <w:rPr>
          <w:rFonts w:ascii="Times New Roman" w:hAnsi="Times New Roman" w:cs="Times New Roman"/>
          <w:b w:val="0"/>
          <w:i/>
          <w:sz w:val="24"/>
        </w:rPr>
        <w:t>Corridor-Level Capital Cost Savings (Base-Case Simulation)</w:t>
      </w:r>
    </w:p>
    <w:p>
      <w:pPr>
        <w:spacing w:before="80" w:after="80" w:line="240" w:lineRule="auto"/>
        <w:jc w:val="center"/>
      </w:pPr>
      <w:r>
        <w:drawing>
          <wp:inline xmlns:a="http://schemas.openxmlformats.org/drawingml/2006/main" xmlns:pic="http://schemas.openxmlformats.org/drawingml/2006/picture">
            <wp:extent cx="5486400" cy="3022867"/>
            <wp:docPr id="8" name="Picture 8"/>
            <wp:cNvGraphicFramePr>
              <a:graphicFrameLocks noChangeAspect="1"/>
            </wp:cNvGraphicFramePr>
            <a:graphic>
              <a:graphicData uri="http://schemas.openxmlformats.org/drawingml/2006/picture">
                <pic:pic>
                  <pic:nvPicPr>
                    <pic:cNvPr id="0" name="fig6_ccs.png"/>
                    <pic:cNvPicPr/>
                  </pic:nvPicPr>
                  <pic:blipFill>
                    <a:blip r:embed="rId17"/>
                    <a:stretch>
                      <a:fillRect/>
                    </a:stretch>
                  </pic:blipFill>
                  <pic:spPr>
                    <a:xfrm>
                      <a:off x="0" y="0"/>
                      <a:ext cx="5486400" cy="3022867"/>
                    </a:xfrm>
                    <a:prstGeom prst="rect"/>
                  </pic:spPr>
                </pic:pic>
              </a:graphicData>
            </a:graphic>
          </wp:inline>
        </w:drawing>
      </w:r>
    </w:p>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Annual CCS per USD 1 billion of migrated notional. The USD/INR bar is approximately twice the USD/EUR and USD/JPY values, reflecting a higher emerging-market WACC and the absence of CLS PvP coverage on the rupee.</w:t>
      </w:r>
    </w:p>
    <w:p>
      <w:pPr>
        <w:spacing w:before="240" w:after="120" w:line="360" w:lineRule="auto"/>
        <w:jc w:val="left"/>
      </w:pPr>
      <w:r>
        <w:rPr>
          <w:rFonts w:ascii="Times New Roman" w:hAnsi="Times New Roman" w:cs="Times New Roman"/>
          <w:b/>
          <w:i w:val="0"/>
          <w:sz w:val="24"/>
        </w:rPr>
        <w:t>4.7 Phase III Case Study Findings</w:t>
      </w:r>
    </w:p>
    <w:p>
      <w:pPr>
        <w:spacing w:after="0" w:before="0" w:line="360" w:lineRule="auto"/>
        <w:ind w:firstLine="720"/>
        <w:jc w:val="left"/>
      </w:pPr>
      <w:r>
        <w:rPr>
          <w:rFonts w:ascii="Times New Roman" w:hAnsi="Times New Roman" w:cs="Times New Roman"/>
          <w:b w:val="0"/>
          <w:i w:val="0"/>
          <w:sz w:val="24"/>
        </w:rPr>
        <w:t>The illustrative Indian MNC case provides a concrete instantiation. A hypothetical India-domiciled manufacturer receiving EUR payments, paying JPY suppliers, and sourcing inputs in USD captures lower working-capital lock-up when payments are migrated to atomic PvP — yielding per-cycle Settlement Exposure Reduction of approximately USD 205,600 per monthly cycle and annualised cash-efficiency savings of approximately USD 1.02 million. A trade-off must be acknowledged: atomic settlement compresses time risk but can elevate intraday liquidity risk if multilateral netting benefits are foregone. Tokenization is therefore not unconditionally efficient — it is efficient when settlement finality and liquidity design move together.</w:t>
      </w:r>
    </w:p>
    <w:p>
      <w:pPr>
        <w:spacing w:before="160" w:after="40" w:line="240" w:lineRule="auto"/>
        <w:jc w:val="left"/>
      </w:pPr>
      <w:r>
        <w:rPr>
          <w:rFonts w:ascii="Times New Roman" w:hAnsi="Times New Roman" w:cs="Times New Roman"/>
          <w:b/>
          <w:i w:val="0"/>
          <w:sz w:val="24"/>
        </w:rPr>
        <w:t>Table 9</w:t>
      </w:r>
    </w:p>
    <w:p>
      <w:pPr>
        <w:spacing w:after="80" w:line="240" w:lineRule="auto"/>
      </w:pPr>
      <w:r>
        <w:rPr>
          <w:rFonts w:ascii="Times New Roman" w:hAnsi="Times New Roman" w:cs="Times New Roman"/>
          <w:b w:val="0"/>
          <w:i/>
          <w:sz w:val="24"/>
        </w:rPr>
        <w:t>Evidence Map of Reference Architectures</w:t>
      </w:r>
    </w:p>
    <w:tbl>
      <w:tblPr>
        <w:tblStyle w:val="LightGrid-Accent1"/>
        <w:tblW w:type="auto" w:w="0"/>
        <w:jc w:val="center"/>
        <w:tblLook w:firstColumn="1" w:firstRow="1" w:lastColumn="0" w:lastRow="0" w:noHBand="0" w:noVBand="1" w:val="04A0"/>
      </w:tblPr>
      <w:tblGrid>
        <w:gridCol w:w="2880"/>
        <w:gridCol w:w="2880"/>
        <w:gridCol w:w="2880"/>
      </w:tblGrid>
      <w:tr>
        <w:tc>
          <w:tcPr>
            <w:tcW w:type="dxa" w:w="2304"/>
          </w:tcPr>
          <w:p>
            <w:pPr>
              <w:spacing w:line="240" w:lineRule="auto"/>
            </w:pPr>
            <w:r/>
            <w:r>
              <w:rPr>
                <w:rFonts w:ascii="Times New Roman" w:hAnsi="Times New Roman" w:cs="Times New Roman"/>
                <w:b/>
                <w:i w:val="0"/>
                <w:sz w:val="22"/>
              </w:rPr>
              <w:t>Case</w:t>
            </w:r>
          </w:p>
        </w:tc>
        <w:tc>
          <w:tcPr>
            <w:tcW w:type="dxa" w:w="3456"/>
          </w:tcPr>
          <w:p>
            <w:pPr>
              <w:spacing w:line="240" w:lineRule="auto"/>
            </w:pPr>
            <w:r/>
            <w:r>
              <w:rPr>
                <w:rFonts w:ascii="Times New Roman" w:hAnsi="Times New Roman" w:cs="Times New Roman"/>
                <w:b/>
                <w:i w:val="0"/>
                <w:sz w:val="22"/>
              </w:rPr>
              <w:t>What It Demonstrates</w:t>
            </w:r>
          </w:p>
        </w:tc>
        <w:tc>
          <w:tcPr>
            <w:tcW w:type="dxa" w:w="2880"/>
          </w:tcPr>
          <w:p>
            <w:pPr>
              <w:spacing w:line="240" w:lineRule="auto"/>
            </w:pPr>
            <w:r/>
            <w:r>
              <w:rPr>
                <w:rFonts w:ascii="Times New Roman" w:hAnsi="Times New Roman" w:cs="Times New Roman"/>
                <w:b/>
                <w:i w:val="0"/>
                <w:sz w:val="22"/>
              </w:rPr>
              <w:t>Principal Constraint</w:t>
            </w:r>
          </w:p>
        </w:tc>
      </w:tr>
      <w:tr>
        <w:tc>
          <w:tcPr>
            <w:tcW w:type="dxa" w:w="2304"/>
          </w:tcPr>
          <w:p>
            <w:pPr>
              <w:spacing w:line="240" w:lineRule="auto"/>
            </w:pPr>
            <w:r/>
            <w:r>
              <w:rPr>
                <w:rFonts w:ascii="Times New Roman" w:hAnsi="Times New Roman" w:cs="Times New Roman"/>
                <w:b w:val="0"/>
                <w:i w:val="0"/>
                <w:sz w:val="22"/>
              </w:rPr>
              <w:t>Project Agora</w:t>
            </w:r>
          </w:p>
        </w:tc>
        <w:tc>
          <w:tcPr>
            <w:tcW w:type="dxa" w:w="3456"/>
          </w:tcPr>
          <w:p>
            <w:pPr>
              <w:spacing w:line="240" w:lineRule="auto"/>
            </w:pPr>
            <w:r/>
            <w:r>
              <w:rPr>
                <w:rFonts w:ascii="Times New Roman" w:hAnsi="Times New Roman" w:cs="Times New Roman"/>
                <w:b w:val="0"/>
                <w:i w:val="0"/>
                <w:sz w:val="22"/>
              </w:rPr>
              <w:t>Viability of public–private unified-ledger model</w:t>
            </w:r>
          </w:p>
        </w:tc>
        <w:tc>
          <w:tcPr>
            <w:tcW w:type="dxa" w:w="2880"/>
          </w:tcPr>
          <w:p>
            <w:pPr>
              <w:spacing w:line="240" w:lineRule="auto"/>
            </w:pPr>
            <w:r/>
            <w:r>
              <w:rPr>
                <w:rFonts w:ascii="Times New Roman" w:hAnsi="Times New Roman" w:cs="Times New Roman"/>
                <w:b w:val="0"/>
                <w:i w:val="0"/>
                <w:sz w:val="22"/>
              </w:rPr>
              <w:t>Prototype/legal-harmonisation stage</w:t>
            </w:r>
          </w:p>
        </w:tc>
      </w:tr>
      <w:tr>
        <w:tc>
          <w:tcPr>
            <w:tcW w:type="dxa" w:w="2304"/>
          </w:tcPr>
          <w:p>
            <w:pPr>
              <w:spacing w:line="240" w:lineRule="auto"/>
            </w:pPr>
            <w:r/>
            <w:r>
              <w:rPr>
                <w:rFonts w:ascii="Times New Roman" w:hAnsi="Times New Roman" w:cs="Times New Roman"/>
                <w:b w:val="0"/>
                <w:i w:val="0"/>
                <w:sz w:val="22"/>
              </w:rPr>
              <w:t>Kinexys / JPM Coin</w:t>
            </w:r>
          </w:p>
        </w:tc>
        <w:tc>
          <w:tcPr>
            <w:tcW w:type="dxa" w:w="3456"/>
          </w:tcPr>
          <w:p>
            <w:pPr>
              <w:spacing w:line="240" w:lineRule="auto"/>
            </w:pPr>
            <w:r/>
            <w:r>
              <w:rPr>
                <w:rFonts w:ascii="Times New Roman" w:hAnsi="Times New Roman" w:cs="Times New Roman"/>
                <w:b w:val="0"/>
                <w:i w:val="0"/>
                <w:sz w:val="22"/>
              </w:rPr>
              <w:t>Commercial-bank tokenized deposit at production scale</w:t>
            </w:r>
          </w:p>
        </w:tc>
        <w:tc>
          <w:tcPr>
            <w:tcW w:type="dxa" w:w="2880"/>
          </w:tcPr>
          <w:p>
            <w:pPr>
              <w:spacing w:line="240" w:lineRule="auto"/>
            </w:pPr>
            <w:r/>
            <w:r>
              <w:rPr>
                <w:rFonts w:ascii="Times New Roman" w:hAnsi="Times New Roman" w:cs="Times New Roman"/>
                <w:b w:val="0"/>
                <w:i w:val="0"/>
                <w:sz w:val="22"/>
              </w:rPr>
              <w:t>Limited interoperability beyond single bank</w:t>
            </w:r>
          </w:p>
        </w:tc>
      </w:tr>
      <w:tr>
        <w:tc>
          <w:tcPr>
            <w:tcW w:type="dxa" w:w="2304"/>
          </w:tcPr>
          <w:p>
            <w:pPr>
              <w:spacing w:line="240" w:lineRule="auto"/>
            </w:pPr>
            <w:r/>
            <w:r>
              <w:rPr>
                <w:rFonts w:ascii="Times New Roman" w:hAnsi="Times New Roman" w:cs="Times New Roman"/>
                <w:b w:val="0"/>
                <w:i w:val="0"/>
                <w:sz w:val="22"/>
              </w:rPr>
              <w:t>RBI e-rupee wholesale</w:t>
            </w:r>
          </w:p>
        </w:tc>
        <w:tc>
          <w:tcPr>
            <w:tcW w:type="dxa" w:w="3456"/>
          </w:tcPr>
          <w:p>
            <w:pPr>
              <w:spacing w:line="240" w:lineRule="auto"/>
            </w:pPr>
            <w:r/>
            <w:r>
              <w:rPr>
                <w:rFonts w:ascii="Times New Roman" w:hAnsi="Times New Roman" w:cs="Times New Roman"/>
                <w:b w:val="0"/>
                <w:i w:val="0"/>
                <w:sz w:val="22"/>
              </w:rPr>
              <w:t>Central-bank money piloted for institutional settlement</w:t>
            </w:r>
          </w:p>
        </w:tc>
        <w:tc>
          <w:tcPr>
            <w:tcW w:type="dxa" w:w="2880"/>
          </w:tcPr>
          <w:p>
            <w:pPr>
              <w:spacing w:line="240" w:lineRule="auto"/>
            </w:pPr>
            <w:r/>
            <w:r>
              <w:rPr>
                <w:rFonts w:ascii="Times New Roman" w:hAnsi="Times New Roman" w:cs="Times New Roman"/>
                <w:b w:val="0"/>
                <w:i w:val="0"/>
                <w:sz w:val="22"/>
              </w:rPr>
              <w:t>Cross-border legal and FX-control design</w:t>
            </w:r>
          </w:p>
        </w:tc>
      </w:tr>
      <w:tr>
        <w:tc>
          <w:tcPr>
            <w:tcW w:type="dxa" w:w="2304"/>
          </w:tcPr>
          <w:p>
            <w:pPr>
              <w:spacing w:line="240" w:lineRule="auto"/>
            </w:pPr>
            <w:r/>
            <w:r>
              <w:rPr>
                <w:rFonts w:ascii="Times New Roman" w:hAnsi="Times New Roman" w:cs="Times New Roman"/>
                <w:b w:val="0"/>
                <w:i w:val="0"/>
                <w:sz w:val="22"/>
              </w:rPr>
              <w:t>CLS / CPMI PvP</w:t>
            </w:r>
          </w:p>
        </w:tc>
        <w:tc>
          <w:tcPr>
            <w:tcW w:type="dxa" w:w="3456"/>
          </w:tcPr>
          <w:p>
            <w:pPr>
              <w:spacing w:line="240" w:lineRule="auto"/>
            </w:pPr>
            <w:r/>
            <w:r>
              <w:rPr>
                <w:rFonts w:ascii="Times New Roman" w:hAnsi="Times New Roman" w:cs="Times New Roman"/>
                <w:b w:val="0"/>
                <w:i w:val="0"/>
                <w:sz w:val="22"/>
              </w:rPr>
              <w:t>PvP demonstrably reduces FX settlement risk</w:t>
            </w:r>
          </w:p>
        </w:tc>
        <w:tc>
          <w:tcPr>
            <w:tcW w:type="dxa" w:w="2880"/>
          </w:tcPr>
          <w:p>
            <w:pPr>
              <w:spacing w:line="240" w:lineRule="auto"/>
            </w:pPr>
            <w:r/>
            <w:r>
              <w:rPr>
                <w:rFonts w:ascii="Times New Roman" w:hAnsi="Times New Roman" w:cs="Times New Roman"/>
                <w:b w:val="0"/>
                <w:i w:val="0"/>
                <w:sz w:val="22"/>
              </w:rPr>
              <w:t>Currency eligibility and access limits</w:t>
            </w:r>
          </w:p>
        </w:tc>
      </w:tr>
    </w:tbl>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Synthesis based on BIS (2025), J.P. Morgan (2024), RBI (2025), and CPMI (2023).</w:t>
      </w:r>
    </w:p>
    <w:p>
      <w:r>
        <w:br w:type="page"/>
      </w:r>
    </w:p>
    <w:p>
      <w:pPr>
        <w:spacing w:before="240" w:after="240" w:line="360" w:lineRule="auto"/>
        <w:jc w:val="center"/>
      </w:pPr>
      <w:r>
        <w:rPr>
          <w:rFonts w:ascii="Times New Roman" w:hAnsi="Times New Roman" w:cs="Times New Roman"/>
          <w:b/>
          <w:i w:val="0"/>
          <w:sz w:val="28"/>
        </w:rPr>
        <w:t>CHAPTER 5: DISCUSSION</w:t>
      </w:r>
    </w:p>
    <w:p>
      <w:pPr>
        <w:spacing w:before="240" w:after="120" w:line="360" w:lineRule="auto"/>
        <w:jc w:val="left"/>
      </w:pPr>
      <w:r>
        <w:rPr>
          <w:rFonts w:ascii="Times New Roman" w:hAnsi="Times New Roman" w:cs="Times New Roman"/>
          <w:b/>
          <w:i w:val="0"/>
          <w:sz w:val="24"/>
        </w:rPr>
        <w:t>5.1 Interpretation of the Findings</w:t>
      </w:r>
    </w:p>
    <w:p>
      <w:pPr>
        <w:spacing w:after="0" w:before="0" w:line="360" w:lineRule="auto"/>
        <w:ind w:firstLine="720"/>
        <w:jc w:val="left"/>
      </w:pPr>
      <w:r>
        <w:rPr>
          <w:rFonts w:ascii="Times New Roman" w:hAnsi="Times New Roman" w:cs="Times New Roman"/>
          <w:b w:val="0"/>
          <w:i w:val="0"/>
          <w:sz w:val="24"/>
        </w:rPr>
        <w:t>Two principal patterns emerge. First, RRSE is uniformly high across corridors (approximately 99%) because the underlying mathematics multiplies an already-narrow atomic-settlement window against a wide T+2 baseline; corridor differentiation therefore appears in CCS rather than RRSE. Second, CCS dispersion is driven less by technology than by three institutional variables: WACC, regulatory HQLA treatment, and corridor-specific PvP coverage. The findings support a guarded reading of the Unified Ledger thesis: convergence does produce quantifiable corporate-treasury benefits, but magnitude is heavily conditioned on institutional design. The gap between theoretical and realised RRSE is precisely the empirical content of the Interoperability Gap.</w:t>
      </w:r>
    </w:p>
    <w:p>
      <w:pPr>
        <w:spacing w:before="240" w:after="120" w:line="360" w:lineRule="auto"/>
        <w:jc w:val="left"/>
      </w:pPr>
      <w:r>
        <w:rPr>
          <w:rFonts w:ascii="Times New Roman" w:hAnsi="Times New Roman" w:cs="Times New Roman"/>
          <w:b/>
          <w:i w:val="0"/>
          <w:sz w:val="24"/>
        </w:rPr>
        <w:t>5.2 Corridor-Level Asymmetries</w:t>
      </w:r>
    </w:p>
    <w:p>
      <w:pPr>
        <w:spacing w:after="0" w:before="0" w:line="360" w:lineRule="auto"/>
        <w:ind w:firstLine="720"/>
        <w:jc w:val="left"/>
      </w:pPr>
      <w:r>
        <w:rPr>
          <w:rFonts w:ascii="Times New Roman" w:hAnsi="Times New Roman" w:cs="Times New Roman"/>
          <w:b w:val="0"/>
          <w:i w:val="0"/>
          <w:sz w:val="24"/>
        </w:rPr>
        <w:t>USD/EUR has the deepest liquidity, strongest CLS coverage, and most institutionalised PvP behaviour, so it offers the smallest residual financial gain from tokenization but the largest operational gain through programmable reconciliation. USD/JPY occupies an intermediate position — well-served by CLS but burdened by the wide New York–Tokyo time-zone gap and securities-settlement compression (U.S. equities at T+1). USD/INR is where the convergence thesis is strongest financially and weakest in implementation: the rupee is not a CLS currency, the corridor carries the highest assumed WACC, and a substantial fraction of activity depends on authorised-dealer-bank intermediation under FEMA rules. An Indian MNC with USD 500 million of float stands to gain more in absolute terms from a successful USD/INR atomic rail than its European counterpart would from a USD/EUR rail, but the path-dependency on Indian regulatory clearance is correspondingly acute.</w:t>
      </w:r>
    </w:p>
    <w:p>
      <w:pPr>
        <w:spacing w:before="240" w:after="120" w:line="360" w:lineRule="auto"/>
        <w:jc w:val="left"/>
      </w:pPr>
      <w:r>
        <w:rPr>
          <w:rFonts w:ascii="Times New Roman" w:hAnsi="Times New Roman" w:cs="Times New Roman"/>
          <w:b/>
          <w:i w:val="0"/>
          <w:sz w:val="24"/>
        </w:rPr>
        <w:t>5.3 Scenario Sensitivity</w:t>
      </w:r>
    </w:p>
    <w:p>
      <w:pPr>
        <w:spacing w:after="0" w:before="0" w:line="360" w:lineRule="auto"/>
        <w:ind w:firstLine="720"/>
        <w:jc w:val="left"/>
      </w:pPr>
      <w:r>
        <w:rPr>
          <w:rFonts w:ascii="Times New Roman" w:hAnsi="Times New Roman" w:cs="Times New Roman"/>
          <w:b w:val="0"/>
          <w:i w:val="0"/>
          <w:sz w:val="24"/>
        </w:rPr>
        <w:t>Under Fast Convergence, headline CCS approaches its theoretical ceiling. Under Fragmented Coexistence, realised CCS is reduced by approximately one-half. Under Regulatory Shock, the corridor-level gain can be reduced by more than half and, in extreme cases, reversed by additional buffer requirements. The sensitivity surface confirms a counter-intuitive finding: the relevant variable for CCS magnitude is not ledger speed but the fraction of liquidity firms can credibly release.</w:t>
      </w:r>
    </w:p>
    <w:p>
      <w:pPr>
        <w:spacing w:before="160" w:after="40" w:line="240" w:lineRule="auto"/>
        <w:jc w:val="left"/>
      </w:pPr>
      <w:r>
        <w:rPr>
          <w:rFonts w:ascii="Times New Roman" w:hAnsi="Times New Roman" w:cs="Times New Roman"/>
          <w:b/>
          <w:i w:val="0"/>
          <w:sz w:val="24"/>
        </w:rPr>
        <w:t>Figure 9</w:t>
      </w:r>
    </w:p>
    <w:p>
      <w:pPr>
        <w:spacing w:after="80" w:line="240" w:lineRule="auto"/>
      </w:pPr>
      <w:r>
        <w:rPr>
          <w:rFonts w:ascii="Times New Roman" w:hAnsi="Times New Roman" w:cs="Times New Roman"/>
          <w:b w:val="0"/>
          <w:i/>
          <w:sz w:val="24"/>
        </w:rPr>
        <w:t>Scenario Sensitivity of Capital Cost Savings (Heatmap)</w:t>
      </w:r>
    </w:p>
    <w:p>
      <w:pPr>
        <w:spacing w:before="80" w:after="80" w:line="240" w:lineRule="auto"/>
        <w:jc w:val="center"/>
      </w:pPr>
      <w:r>
        <w:drawing>
          <wp:inline xmlns:a="http://schemas.openxmlformats.org/drawingml/2006/main" xmlns:pic="http://schemas.openxmlformats.org/drawingml/2006/picture">
            <wp:extent cx="5669280" cy="2950887"/>
            <wp:docPr id="9" name="Picture 9"/>
            <wp:cNvGraphicFramePr>
              <a:graphicFrameLocks noChangeAspect="1"/>
            </wp:cNvGraphicFramePr>
            <a:graphic>
              <a:graphicData uri="http://schemas.openxmlformats.org/drawingml/2006/picture">
                <pic:pic>
                  <pic:nvPicPr>
                    <pic:cNvPr id="0" name="fig8_sensitivity.png"/>
                    <pic:cNvPicPr/>
                  </pic:nvPicPr>
                  <pic:blipFill>
                    <a:blip r:embed="rId18"/>
                    <a:stretch>
                      <a:fillRect/>
                    </a:stretch>
                  </pic:blipFill>
                  <pic:spPr>
                    <a:xfrm>
                      <a:off x="0" y="0"/>
                      <a:ext cx="5669280" cy="2950887"/>
                    </a:xfrm>
                    <a:prstGeom prst="rect"/>
                  </pic:spPr>
                </pic:pic>
              </a:graphicData>
            </a:graphic>
          </wp:inline>
        </w:drawing>
      </w:r>
    </w:p>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Cells indicate the realised CCS as a percentage of the theoretical maximum across the three corridors and three adoption scenarios. Green = high realised gain; red = severely compromised gain. USD/INR shows the widest swing across scenarios.</w:t>
      </w:r>
    </w:p>
    <w:p>
      <w:pPr>
        <w:spacing w:before="240" w:after="120" w:line="360" w:lineRule="auto"/>
        <w:jc w:val="left"/>
      </w:pPr>
      <w:r>
        <w:rPr>
          <w:rFonts w:ascii="Times New Roman" w:hAnsi="Times New Roman" w:cs="Times New Roman"/>
          <w:b/>
          <w:i w:val="0"/>
          <w:sz w:val="24"/>
        </w:rPr>
        <w:t>5.4 Implications for the Indian Financial System</w:t>
      </w:r>
    </w:p>
    <w:p>
      <w:pPr>
        <w:spacing w:after="0" w:before="0" w:line="360" w:lineRule="auto"/>
        <w:ind w:firstLine="720"/>
        <w:jc w:val="left"/>
      </w:pPr>
      <w:r>
        <w:rPr>
          <w:rFonts w:ascii="Times New Roman" w:hAnsi="Times New Roman" w:cs="Times New Roman"/>
          <w:b w:val="0"/>
          <w:i w:val="0"/>
          <w:sz w:val="24"/>
        </w:rPr>
        <w:t>Three implications follow. First, the RBI's incremental wholesale-CBDC pilot is well calibrated to a Fragmented Coexistence trajectory — it does not foreclose Fast Convergence but does not depend on it either. Second, a USD/INR atomic rail would capture a disproportionate share of total corridor-level CCS, given the Indian–developed-market WACC gap. Third, the operational prerequisites are largely about data architecture — ISO 20022-ready ERP and TMS systems, harmonised purpose codes, and AML/CFT verifiable credentials — none of which is contingent on tokenization technology, all of which precondition its benefits.</w:t>
      </w:r>
    </w:p>
    <w:p>
      <w:r>
        <w:br w:type="page"/>
      </w:r>
    </w:p>
    <w:p>
      <w:pPr>
        <w:spacing w:before="240" w:after="240" w:line="360" w:lineRule="auto"/>
        <w:jc w:val="center"/>
      </w:pPr>
      <w:r>
        <w:rPr>
          <w:rFonts w:ascii="Times New Roman" w:hAnsi="Times New Roman" w:cs="Times New Roman"/>
          <w:b/>
          <w:i w:val="0"/>
          <w:sz w:val="28"/>
        </w:rPr>
        <w:t>CHAPTER 6: RISKS, REGULATION, AND RECOMMENDATIONS</w:t>
      </w:r>
    </w:p>
    <w:p>
      <w:pPr>
        <w:spacing w:before="240" w:after="120" w:line="360" w:lineRule="auto"/>
        <w:jc w:val="left"/>
      </w:pPr>
      <w:r>
        <w:rPr>
          <w:rFonts w:ascii="Times New Roman" w:hAnsi="Times New Roman" w:cs="Times New Roman"/>
          <w:b/>
          <w:i w:val="0"/>
          <w:sz w:val="24"/>
        </w:rPr>
        <w:t>6.1 Regulatory and Operational Risks</w:t>
      </w:r>
    </w:p>
    <w:p>
      <w:pPr>
        <w:spacing w:after="0" w:before="0" w:line="360" w:lineRule="auto"/>
        <w:ind w:firstLine="720"/>
        <w:jc w:val="left"/>
      </w:pPr>
      <w:r>
        <w:rPr>
          <w:rFonts w:ascii="Times New Roman" w:hAnsi="Times New Roman" w:cs="Times New Roman"/>
          <w:b w:val="0"/>
          <w:i w:val="0"/>
          <w:sz w:val="24"/>
        </w:rPr>
        <w:t>Risk does not disappear when settlement becomes programmable; it changes location. The principal risks are: (a) legal finality — divergent insolvency law and central-bank statute can render ledger confirmation insufficient; (b) prudential treatment — under BCBS (2024) cryptoasset amendments, tokenized deposits must retain the same legal rights and risk profile as ordinary deposits to avoid punitive capital treatment; (c) operational resilience — wallets, key management, validators, smart-contract platforms, and cyber-recovery capabilities must hold; (d) compliance architecture — embedding AML/KYC checks only generates savings when jurisdictions accept shared attestations; (e) programmability governance — smart contracts can execute before a legal exception is detected; (f) run velocity — always-on tokenized deposits can move faster than conventional deposits under stress; (g) fragmentation — without standards, firms may be required to pre-fund multiple ledgers, reproducing the nostro problem in digital form.</w:t>
      </w:r>
    </w:p>
    <w:p>
      <w:pPr>
        <w:spacing w:before="160" w:after="40" w:line="240" w:lineRule="auto"/>
        <w:jc w:val="left"/>
      </w:pPr>
      <w:r>
        <w:rPr>
          <w:rFonts w:ascii="Times New Roman" w:hAnsi="Times New Roman" w:cs="Times New Roman"/>
          <w:b/>
          <w:i w:val="0"/>
          <w:sz w:val="24"/>
        </w:rPr>
        <w:t>Table 10</w:t>
      </w:r>
    </w:p>
    <w:p>
      <w:pPr>
        <w:spacing w:after="80" w:line="240" w:lineRule="auto"/>
      </w:pPr>
      <w:r>
        <w:rPr>
          <w:rFonts w:ascii="Times New Roman" w:hAnsi="Times New Roman" w:cs="Times New Roman"/>
          <w:b w:val="0"/>
          <w:i/>
          <w:sz w:val="24"/>
        </w:rPr>
        <w:t>Regulatory and Operational Risk Matrix</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tcPr>
          <w:p>
            <w:pPr>
              <w:spacing w:line="240" w:lineRule="auto"/>
            </w:pPr>
            <w:r/>
            <w:r>
              <w:rPr>
                <w:rFonts w:ascii="Times New Roman" w:hAnsi="Times New Roman" w:cs="Times New Roman"/>
                <w:b/>
                <w:i w:val="0"/>
                <w:sz w:val="22"/>
              </w:rPr>
              <w:t>Risk</w:t>
            </w:r>
          </w:p>
        </w:tc>
        <w:tc>
          <w:tcPr>
            <w:tcW w:type="dxa" w:w="3168"/>
          </w:tcPr>
          <w:p>
            <w:pPr>
              <w:spacing w:line="240" w:lineRule="auto"/>
            </w:pPr>
            <w:r/>
            <w:r>
              <w:rPr>
                <w:rFonts w:ascii="Times New Roman" w:hAnsi="Times New Roman" w:cs="Times New Roman"/>
                <w:b/>
                <w:i w:val="0"/>
                <w:sz w:val="22"/>
              </w:rPr>
              <w:t>Why It Matters</w:t>
            </w:r>
          </w:p>
        </w:tc>
        <w:tc>
          <w:tcPr>
            <w:tcW w:type="dxa" w:w="2880"/>
          </w:tcPr>
          <w:p>
            <w:pPr>
              <w:spacing w:line="240" w:lineRule="auto"/>
            </w:pPr>
            <w:r/>
            <w:r>
              <w:rPr>
                <w:rFonts w:ascii="Times New Roman" w:hAnsi="Times New Roman" w:cs="Times New Roman"/>
                <w:b/>
                <w:i w:val="0"/>
                <w:sz w:val="22"/>
              </w:rPr>
              <w:t>Principal Mitigation</w:t>
            </w:r>
          </w:p>
        </w:tc>
      </w:tr>
      <w:tr>
        <w:tc>
          <w:tcPr>
            <w:tcW w:type="dxa" w:w="2592"/>
          </w:tcPr>
          <w:p>
            <w:pPr>
              <w:spacing w:line="240" w:lineRule="auto"/>
            </w:pPr>
            <w:r/>
            <w:r>
              <w:rPr>
                <w:rFonts w:ascii="Times New Roman" w:hAnsi="Times New Roman" w:cs="Times New Roman"/>
                <w:b w:val="0"/>
                <w:i w:val="0"/>
                <w:sz w:val="22"/>
              </w:rPr>
              <w:t>Legal finality</w:t>
            </w:r>
          </w:p>
        </w:tc>
        <w:tc>
          <w:tcPr>
            <w:tcW w:type="dxa" w:w="3168"/>
          </w:tcPr>
          <w:p>
            <w:pPr>
              <w:spacing w:line="240" w:lineRule="auto"/>
            </w:pPr>
            <w:r/>
            <w:r>
              <w:rPr>
                <w:rFonts w:ascii="Times New Roman" w:hAnsi="Times New Roman" w:cs="Times New Roman"/>
                <w:b w:val="0"/>
                <w:i w:val="0"/>
                <w:sz w:val="22"/>
              </w:rPr>
              <w:t>Must be enforceable across jurisdictions</w:t>
            </w:r>
          </w:p>
        </w:tc>
        <w:tc>
          <w:tcPr>
            <w:tcW w:type="dxa" w:w="2880"/>
          </w:tcPr>
          <w:p>
            <w:pPr>
              <w:spacing w:line="240" w:lineRule="auto"/>
            </w:pPr>
            <w:r/>
            <w:r>
              <w:rPr>
                <w:rFonts w:ascii="Times New Roman" w:hAnsi="Times New Roman" w:cs="Times New Roman"/>
                <w:b w:val="0"/>
                <w:i w:val="0"/>
                <w:sz w:val="22"/>
              </w:rPr>
              <w:t>Common rulebooks and statutory recognition</w:t>
            </w:r>
          </w:p>
        </w:tc>
      </w:tr>
      <w:tr>
        <w:tc>
          <w:tcPr>
            <w:tcW w:type="dxa" w:w="2592"/>
          </w:tcPr>
          <w:p>
            <w:pPr>
              <w:spacing w:line="240" w:lineRule="auto"/>
            </w:pPr>
            <w:r/>
            <w:r>
              <w:rPr>
                <w:rFonts w:ascii="Times New Roman" w:hAnsi="Times New Roman" w:cs="Times New Roman"/>
                <w:b w:val="0"/>
                <w:i w:val="0"/>
                <w:sz w:val="22"/>
              </w:rPr>
              <w:t>HQLA / LCR treatment</w:t>
            </w:r>
          </w:p>
        </w:tc>
        <w:tc>
          <w:tcPr>
            <w:tcW w:type="dxa" w:w="3168"/>
          </w:tcPr>
          <w:p>
            <w:pPr>
              <w:spacing w:line="240" w:lineRule="auto"/>
            </w:pPr>
            <w:r/>
            <w:r>
              <w:rPr>
                <w:rFonts w:ascii="Times New Roman" w:hAnsi="Times New Roman" w:cs="Times New Roman"/>
                <w:b w:val="0"/>
                <w:i w:val="0"/>
                <w:sz w:val="22"/>
              </w:rPr>
              <w:t>Determines balance-sheet economics</w:t>
            </w:r>
          </w:p>
        </w:tc>
        <w:tc>
          <w:tcPr>
            <w:tcW w:type="dxa" w:w="2880"/>
          </w:tcPr>
          <w:p>
            <w:pPr>
              <w:spacing w:line="240" w:lineRule="auto"/>
            </w:pPr>
            <w:r/>
            <w:r>
              <w:rPr>
                <w:rFonts w:ascii="Times New Roman" w:hAnsi="Times New Roman" w:cs="Times New Roman"/>
                <w:b w:val="0"/>
                <w:i w:val="0"/>
                <w:sz w:val="22"/>
              </w:rPr>
              <w:t>Group 1a equivalence; central-bank-money settlement</w:t>
            </w:r>
          </w:p>
        </w:tc>
      </w:tr>
      <w:tr>
        <w:tc>
          <w:tcPr>
            <w:tcW w:type="dxa" w:w="2592"/>
          </w:tcPr>
          <w:p>
            <w:pPr>
              <w:spacing w:line="240" w:lineRule="auto"/>
            </w:pPr>
            <w:r/>
            <w:r>
              <w:rPr>
                <w:rFonts w:ascii="Times New Roman" w:hAnsi="Times New Roman" w:cs="Times New Roman"/>
                <w:b w:val="0"/>
                <w:i w:val="0"/>
                <w:sz w:val="22"/>
              </w:rPr>
              <w:t>AML / KYC duplication</w:t>
            </w:r>
          </w:p>
        </w:tc>
        <w:tc>
          <w:tcPr>
            <w:tcW w:type="dxa" w:w="3168"/>
          </w:tcPr>
          <w:p>
            <w:pPr>
              <w:spacing w:line="240" w:lineRule="auto"/>
            </w:pPr>
            <w:r/>
            <w:r>
              <w:rPr>
                <w:rFonts w:ascii="Times New Roman" w:hAnsi="Times New Roman" w:cs="Times New Roman"/>
                <w:b w:val="0"/>
                <w:i w:val="0"/>
                <w:sz w:val="22"/>
              </w:rPr>
              <w:t>Erases speed gains</w:t>
            </w:r>
          </w:p>
        </w:tc>
        <w:tc>
          <w:tcPr>
            <w:tcW w:type="dxa" w:w="2880"/>
          </w:tcPr>
          <w:p>
            <w:pPr>
              <w:spacing w:line="240" w:lineRule="auto"/>
            </w:pPr>
            <w:r/>
            <w:r>
              <w:rPr>
                <w:rFonts w:ascii="Times New Roman" w:hAnsi="Times New Roman" w:cs="Times New Roman"/>
                <w:b w:val="0"/>
                <w:i w:val="0"/>
                <w:sz w:val="22"/>
              </w:rPr>
              <w:t>Verifiable credentials; shared attestations</w:t>
            </w:r>
          </w:p>
        </w:tc>
      </w:tr>
      <w:tr>
        <w:tc>
          <w:tcPr>
            <w:tcW w:type="dxa" w:w="2592"/>
          </w:tcPr>
          <w:p>
            <w:pPr>
              <w:spacing w:line="240" w:lineRule="auto"/>
            </w:pPr>
            <w:r/>
            <w:r>
              <w:rPr>
                <w:rFonts w:ascii="Times New Roman" w:hAnsi="Times New Roman" w:cs="Times New Roman"/>
                <w:b w:val="0"/>
                <w:i w:val="0"/>
                <w:sz w:val="22"/>
              </w:rPr>
              <w:t>Operational resilience</w:t>
            </w:r>
          </w:p>
        </w:tc>
        <w:tc>
          <w:tcPr>
            <w:tcW w:type="dxa" w:w="3168"/>
          </w:tcPr>
          <w:p>
            <w:pPr>
              <w:spacing w:line="240" w:lineRule="auto"/>
            </w:pPr>
            <w:r/>
            <w:r>
              <w:rPr>
                <w:rFonts w:ascii="Times New Roman" w:hAnsi="Times New Roman" w:cs="Times New Roman"/>
                <w:b w:val="0"/>
                <w:i w:val="0"/>
                <w:sz w:val="22"/>
              </w:rPr>
              <w:t>Ledger/wallet/API failures halt settlement</w:t>
            </w:r>
          </w:p>
        </w:tc>
        <w:tc>
          <w:tcPr>
            <w:tcW w:type="dxa" w:w="2880"/>
          </w:tcPr>
          <w:p>
            <w:pPr>
              <w:spacing w:line="240" w:lineRule="auto"/>
            </w:pPr>
            <w:r/>
            <w:r>
              <w:rPr>
                <w:rFonts w:ascii="Times New Roman" w:hAnsi="Times New Roman" w:cs="Times New Roman"/>
                <w:b w:val="0"/>
                <w:i w:val="0"/>
                <w:sz w:val="22"/>
              </w:rPr>
              <w:t>FMI-grade testing and fallback rails</w:t>
            </w:r>
          </w:p>
        </w:tc>
      </w:tr>
      <w:tr>
        <w:tc>
          <w:tcPr>
            <w:tcW w:type="dxa" w:w="2592"/>
          </w:tcPr>
          <w:p>
            <w:pPr>
              <w:spacing w:line="240" w:lineRule="auto"/>
            </w:pPr>
            <w:r/>
            <w:r>
              <w:rPr>
                <w:rFonts w:ascii="Times New Roman" w:hAnsi="Times New Roman" w:cs="Times New Roman"/>
                <w:b w:val="0"/>
                <w:i w:val="0"/>
                <w:sz w:val="22"/>
              </w:rPr>
              <w:t>Run velocity</w:t>
            </w:r>
          </w:p>
        </w:tc>
        <w:tc>
          <w:tcPr>
            <w:tcW w:type="dxa" w:w="3168"/>
          </w:tcPr>
          <w:p>
            <w:pPr>
              <w:spacing w:line="240" w:lineRule="auto"/>
            </w:pPr>
            <w:r/>
            <w:r>
              <w:rPr>
                <w:rFonts w:ascii="Times New Roman" w:hAnsi="Times New Roman" w:cs="Times New Roman"/>
                <w:b w:val="0"/>
                <w:i w:val="0"/>
                <w:sz w:val="22"/>
              </w:rPr>
              <w:t>Programmability accelerates outflows</w:t>
            </w:r>
          </w:p>
        </w:tc>
        <w:tc>
          <w:tcPr>
            <w:tcW w:type="dxa" w:w="2880"/>
          </w:tcPr>
          <w:p>
            <w:pPr>
              <w:spacing w:line="240" w:lineRule="auto"/>
            </w:pPr>
            <w:r/>
            <w:r>
              <w:rPr>
                <w:rFonts w:ascii="Times New Roman" w:hAnsi="Times New Roman" w:cs="Times New Roman"/>
                <w:b w:val="0"/>
                <w:i w:val="0"/>
                <w:sz w:val="22"/>
              </w:rPr>
              <w:t>LCR recalibration; circuit breakers</w:t>
            </w:r>
          </w:p>
        </w:tc>
      </w:tr>
      <w:tr>
        <w:tc>
          <w:tcPr>
            <w:tcW w:type="dxa" w:w="2592"/>
          </w:tcPr>
          <w:p>
            <w:pPr>
              <w:spacing w:line="240" w:lineRule="auto"/>
            </w:pPr>
            <w:r/>
            <w:r>
              <w:rPr>
                <w:rFonts w:ascii="Times New Roman" w:hAnsi="Times New Roman" w:cs="Times New Roman"/>
                <w:b w:val="0"/>
                <w:i w:val="0"/>
                <w:sz w:val="22"/>
              </w:rPr>
              <w:t>Cross-ledger fragmentation</w:t>
            </w:r>
          </w:p>
        </w:tc>
        <w:tc>
          <w:tcPr>
            <w:tcW w:type="dxa" w:w="3168"/>
          </w:tcPr>
          <w:p>
            <w:pPr>
              <w:spacing w:line="240" w:lineRule="auto"/>
            </w:pPr>
            <w:r/>
            <w:r>
              <w:rPr>
                <w:rFonts w:ascii="Times New Roman" w:hAnsi="Times New Roman" w:cs="Times New Roman"/>
                <w:b w:val="0"/>
                <w:i w:val="0"/>
                <w:sz w:val="22"/>
              </w:rPr>
              <w:t>Re-creates the nostro problem digitally</w:t>
            </w:r>
          </w:p>
        </w:tc>
        <w:tc>
          <w:tcPr>
            <w:tcW w:type="dxa" w:w="2880"/>
          </w:tcPr>
          <w:p>
            <w:pPr>
              <w:spacing w:line="240" w:lineRule="auto"/>
            </w:pPr>
            <w:r/>
            <w:r>
              <w:rPr>
                <w:rFonts w:ascii="Times New Roman" w:hAnsi="Times New Roman" w:cs="Times New Roman"/>
                <w:b w:val="0"/>
                <w:i w:val="0"/>
                <w:sz w:val="22"/>
              </w:rPr>
              <w:t>Interoperability standards; shared identity layer</w:t>
            </w:r>
          </w:p>
        </w:tc>
      </w:tr>
    </w:tbl>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Synthesis based on BCBS (2013, 2024), FSB (2023), and BIS (2023).</w:t>
      </w:r>
    </w:p>
    <w:p>
      <w:pPr>
        <w:spacing w:before="240" w:after="120" w:line="360" w:lineRule="auto"/>
        <w:jc w:val="left"/>
      </w:pPr>
      <w:r>
        <w:rPr>
          <w:rFonts w:ascii="Times New Roman" w:hAnsi="Times New Roman" w:cs="Times New Roman"/>
          <w:b/>
          <w:i w:val="0"/>
          <w:sz w:val="24"/>
        </w:rPr>
        <w:t>6.2 Recommendations for Indian MNCs</w:t>
      </w:r>
    </w:p>
    <w:p>
      <w:pPr>
        <w:spacing w:after="0" w:before="0" w:line="360" w:lineRule="auto"/>
        <w:ind w:firstLine="720"/>
        <w:jc w:val="left"/>
      </w:pPr>
      <w:r>
        <w:rPr>
          <w:rFonts w:ascii="Times New Roman" w:hAnsi="Times New Roman" w:cs="Times New Roman"/>
          <w:b w:val="0"/>
          <w:i w:val="0"/>
          <w:sz w:val="24"/>
        </w:rPr>
        <w:t>Prepare treasury data in advance of full CBDC deployment. ERP, TMS, invoice, purpose-code, hedge, and bank-statement data should be ISO 20022-ready, so that tokenized-settlement migration reduces reconciliation cost rather than introduces new work.</w:t>
      </w:r>
    </w:p>
    <w:p>
      <w:pPr>
        <w:spacing w:before="240" w:after="120" w:line="360" w:lineRule="auto"/>
        <w:jc w:val="left"/>
      </w:pPr>
      <w:r>
        <w:rPr>
          <w:rFonts w:ascii="Times New Roman" w:hAnsi="Times New Roman" w:cs="Times New Roman"/>
          <w:b/>
          <w:i w:val="0"/>
          <w:sz w:val="24"/>
        </w:rPr>
        <w:t>6.3 Recommendations for Banks</w:t>
      </w:r>
    </w:p>
    <w:p>
      <w:pPr>
        <w:spacing w:after="0" w:before="0" w:line="360" w:lineRule="auto"/>
        <w:ind w:firstLine="720"/>
        <w:jc w:val="left"/>
      </w:pPr>
      <w:r>
        <w:rPr>
          <w:rFonts w:ascii="Times New Roman" w:hAnsi="Times New Roman" w:cs="Times New Roman"/>
          <w:b w:val="0"/>
          <w:i w:val="0"/>
          <w:sz w:val="24"/>
        </w:rPr>
        <w:t>Tokenized deposits should be designed as regulated bank liabilities with clear rules for redemption, holder identification, and operational controls. Liquidity-saving mechanisms must be embedded because gross atomic settlement without netting can increase intraday-funding requirements relative to the netting-rich status quo.</w:t>
      </w:r>
    </w:p>
    <w:p>
      <w:pPr>
        <w:spacing w:before="240" w:after="120" w:line="360" w:lineRule="auto"/>
        <w:jc w:val="left"/>
      </w:pPr>
      <w:r>
        <w:rPr>
          <w:rFonts w:ascii="Times New Roman" w:hAnsi="Times New Roman" w:cs="Times New Roman"/>
          <w:b/>
          <w:i w:val="0"/>
          <w:sz w:val="24"/>
        </w:rPr>
        <w:t>6.4 Recommendations for the RBI and Policymakers</w:t>
      </w:r>
    </w:p>
    <w:p>
      <w:pPr>
        <w:spacing w:after="0" w:before="0" w:line="360" w:lineRule="auto"/>
        <w:ind w:firstLine="720"/>
        <w:jc w:val="left"/>
      </w:pPr>
      <w:r>
        <w:rPr>
          <w:rFonts w:ascii="Times New Roman" w:hAnsi="Times New Roman" w:cs="Times New Roman"/>
          <w:b w:val="0"/>
          <w:i w:val="0"/>
          <w:sz w:val="24"/>
        </w:rPr>
        <w:t>Focus on controlled cross-border pilots linking e-rupee wholesale settlement with tokenized commercial-bank money while preserving capital controls, AML/CFT discipline, and legal finality. The USD/INR corridor warrants particular attention given its trade relevance, high cost of corporate capital in India, and the absence of CLS coverage. Implementation should be staged: (Stage 1) domestic wholesale use cases in which legal finality and participant eligibility are administratively manageable; (Stage 2) a limited cross-border corridor with a small set of regulated banks, specific transaction types, and parallel reporting through existing compliance channels; (Stage 3) post-implementation assessment of whether liquidity savings hold up after operational costs, cyber controls, dispute resolution, and regulatory overhead.</w:t>
      </w:r>
    </w:p>
    <w:p>
      <w:pPr>
        <w:spacing w:before="240" w:after="120" w:line="360" w:lineRule="auto"/>
        <w:jc w:val="left"/>
      </w:pPr>
      <w:r>
        <w:rPr>
          <w:rFonts w:ascii="Times New Roman" w:hAnsi="Times New Roman" w:cs="Times New Roman"/>
          <w:b/>
          <w:i w:val="0"/>
          <w:sz w:val="24"/>
        </w:rPr>
        <w:t>6.5 Recommendations for Researchers</w:t>
      </w:r>
    </w:p>
    <w:p>
      <w:pPr>
        <w:spacing w:after="0" w:before="0" w:line="360" w:lineRule="auto"/>
        <w:ind w:firstLine="720"/>
        <w:jc w:val="left"/>
      </w:pPr>
      <w:r>
        <w:rPr>
          <w:rFonts w:ascii="Times New Roman" w:hAnsi="Times New Roman" w:cs="Times New Roman"/>
          <w:b w:val="0"/>
          <w:i w:val="0"/>
          <w:sz w:val="24"/>
        </w:rPr>
        <w:t>The next phase should replace illustrative assumptions with anonymised corporate-treasury data — daily flow values, value dates, failed or delayed payments, nostro balances, hedge timing, bank charges, and reconciliation cycle times — migrating the present model from conceptual simulation to empirical treasury study and permitting hypothesis testing on the corridor-level CCS sensitivity surface mapped in Chapter 4.</w:t>
      </w:r>
    </w:p>
    <w:p>
      <w:r>
        <w:br w:type="page"/>
      </w:r>
    </w:p>
    <w:p>
      <w:pPr>
        <w:spacing w:before="240" w:after="240" w:line="360" w:lineRule="auto"/>
        <w:jc w:val="center"/>
      </w:pPr>
      <w:r>
        <w:rPr>
          <w:rFonts w:ascii="Times New Roman" w:hAnsi="Times New Roman" w:cs="Times New Roman"/>
          <w:b/>
          <w:i w:val="0"/>
          <w:sz w:val="28"/>
        </w:rPr>
        <w:t>CHAPTER 7: SUMMARY, CONCLUSION, AND FUTURE RESEARCH</w:t>
      </w:r>
    </w:p>
    <w:p>
      <w:pPr>
        <w:spacing w:before="240" w:after="120" w:line="360" w:lineRule="auto"/>
        <w:jc w:val="left"/>
      </w:pPr>
      <w:r>
        <w:rPr>
          <w:rFonts w:ascii="Times New Roman" w:hAnsi="Times New Roman" w:cs="Times New Roman"/>
          <w:b/>
          <w:i w:val="0"/>
          <w:sz w:val="24"/>
        </w:rPr>
        <w:t>7.1 Summary of the Study</w:t>
      </w:r>
    </w:p>
    <w:p>
      <w:pPr>
        <w:spacing w:after="0" w:before="0" w:line="360" w:lineRule="auto"/>
        <w:ind w:firstLine="720"/>
        <w:jc w:val="left"/>
      </w:pPr>
      <w:r>
        <w:rPr>
          <w:rFonts w:ascii="Times New Roman" w:hAnsi="Times New Roman" w:cs="Times New Roman"/>
          <w:b w:val="0"/>
          <w:i w:val="0"/>
          <w:sz w:val="24"/>
        </w:rPr>
        <w:t>This report investigated the corporate-treasury implications of convergence between tokenized commercial-bank deposits and wholesale Central Bank Digital Currencies on a shared programmable ledger. The three-phase mixed-methods design — T+2 baseline parameterisation, Agora-inspired T+0 simulation, and triangulation through three structured cases — yielded illustrative base-case RRSE of approximately 99% across all three corridors and annual CCS of approximately USD 0.60 million per USD 1 billion of migrated notional for USD/EUR and USD/JPY, rising to USD 1.20 million for USD/INR. Sensitivity analysis identifies the HQLA treatment of tokenized deposits, the speed of multilateral adoption, and the design of liquidity-saving mechanisms as the principal mediators of realised efficiency gains.</w:t>
      </w:r>
    </w:p>
    <w:p>
      <w:pPr>
        <w:spacing w:before="240" w:after="120" w:line="360" w:lineRule="auto"/>
        <w:jc w:val="left"/>
      </w:pPr>
      <w:r>
        <w:rPr>
          <w:rFonts w:ascii="Times New Roman" w:hAnsi="Times New Roman" w:cs="Times New Roman"/>
          <w:b/>
          <w:i w:val="0"/>
          <w:sz w:val="24"/>
        </w:rPr>
        <w:t>7.2 Conclusion</w:t>
      </w:r>
    </w:p>
    <w:p>
      <w:pPr>
        <w:spacing w:after="0" w:before="0" w:line="360" w:lineRule="auto"/>
        <w:ind w:firstLine="720"/>
        <w:jc w:val="left"/>
      </w:pPr>
      <w:r>
        <w:rPr>
          <w:rFonts w:ascii="Times New Roman" w:hAnsi="Times New Roman" w:cs="Times New Roman"/>
          <w:b w:val="0"/>
          <w:i w:val="0"/>
          <w:sz w:val="24"/>
        </w:rPr>
        <w:t>Convergence between tokenized deposits and wholesale CBDCs can deliver material improvements in cross-border liquidity efficiency, most visibly in corridors with high settlement risk and high pre-funding requirements. The technology does not, however, dispense with the need for law, liquidity design, governance, and trust. A defensible architecture preserves the two-tier banking system while rendering settlement programmable, final, and interoperable. For the corporate treasurer, the managerial implication is clear: payments infrastructure is properly understood as part of working-capital strategy. Read through that lens, tokenized deposits and wCBDCs are not narrowly monetary innovations; they are tools of capital efficiency, deployable under a sound regulatory framework.</w:t>
      </w:r>
    </w:p>
    <w:p>
      <w:pPr>
        <w:spacing w:before="240" w:after="120" w:line="360" w:lineRule="auto"/>
        <w:jc w:val="left"/>
      </w:pPr>
      <w:r>
        <w:rPr>
          <w:rFonts w:ascii="Times New Roman" w:hAnsi="Times New Roman" w:cs="Times New Roman"/>
          <w:b/>
          <w:i w:val="0"/>
          <w:sz w:val="24"/>
        </w:rPr>
        <w:t>7.3 Limitations of the Study</w:t>
      </w:r>
    </w:p>
    <w:p>
      <w:pPr>
        <w:spacing w:after="0" w:before="0" w:line="360" w:lineRule="auto"/>
        <w:ind w:firstLine="720"/>
        <w:jc w:val="left"/>
      </w:pPr>
      <w:r>
        <w:rPr>
          <w:rFonts w:ascii="Times New Roman" w:hAnsi="Times New Roman" w:cs="Times New Roman"/>
          <w:b w:val="0"/>
          <w:i w:val="0"/>
          <w:sz w:val="24"/>
        </w:rPr>
        <w:t>The Phase II simulation abstracts engineering-level DLT details. The Indian MNC case is illustrative; it is calibrated to publicly available data but does not correspond to the treasury book of any specific firm. Transaction-level micro-data for Agora are available only as released by the BIS. WACC is held constant within sensitivity bands rather than re-estimated dynamically. These limitations are explicit and bounded; they motivate, rather than undermine, the direction of further research.</w:t>
      </w:r>
    </w:p>
    <w:p>
      <w:pPr>
        <w:spacing w:before="240" w:after="120" w:line="360" w:lineRule="auto"/>
        <w:jc w:val="left"/>
      </w:pPr>
      <w:r>
        <w:rPr>
          <w:rFonts w:ascii="Times New Roman" w:hAnsi="Times New Roman" w:cs="Times New Roman"/>
          <w:b/>
          <w:i w:val="0"/>
          <w:sz w:val="24"/>
        </w:rPr>
        <w:t>7.4 Direction for Further Research</w:t>
      </w:r>
    </w:p>
    <w:p>
      <w:pPr>
        <w:spacing w:after="0" w:before="0" w:line="360" w:lineRule="auto"/>
        <w:ind w:firstLine="720"/>
        <w:jc w:val="left"/>
      </w:pPr>
      <w:r>
        <w:rPr>
          <w:rFonts w:ascii="Times New Roman" w:hAnsi="Times New Roman" w:cs="Times New Roman"/>
          <w:b w:val="0"/>
          <w:i w:val="0"/>
          <w:sz w:val="24"/>
        </w:rPr>
        <w:t>Three lines of further research follow directly. First, replacing the illustrative Indian MNC parameters with anonymised treasury data from an operating multinational would migrate the analysis from simulation to empirical study. Second, an empirical investigation of the liquidity-release fraction — the proportion of pre-funded nostro that firms could credibly release under atomic settlement — would tighten the CCS sensitivity surface. Third, a comparative regulatory study of HQLA treatment for tokenized deposits across BIS jurisdictions would help calibrate the haircut distribution used in this study's Monte Carlo specification.</w:t>
      </w:r>
    </w:p>
    <w:p>
      <w:r>
        <w:br w:type="page"/>
      </w:r>
    </w:p>
    <w:p>
      <w:pPr>
        <w:spacing w:before="240" w:after="240" w:line="360" w:lineRule="auto"/>
        <w:jc w:val="center"/>
      </w:pPr>
      <w:r>
        <w:rPr>
          <w:rFonts w:ascii="Times New Roman" w:hAnsi="Times New Roman" w:cs="Times New Roman"/>
          <w:b/>
          <w:i w:val="0"/>
          <w:sz w:val="28"/>
        </w:rPr>
        <w:t>REFERENCES</w:t>
      </w:r>
    </w:p>
    <w:p>
      <w:pPr>
        <w:spacing w:after="80" w:before="0" w:line="360" w:lineRule="auto"/>
        <w:jc w:val="left"/>
      </w:pPr>
    </w:p>
    <w:p>
      <w:pPr>
        <w:spacing w:line="360" w:lineRule="auto" w:after="120"/>
        <w:ind w:left="720" w:hanging="720"/>
      </w:pPr>
      <w:r>
        <w:rPr>
          <w:rFonts w:ascii="Times New Roman" w:hAnsi="Times New Roman" w:cs="Times New Roman"/>
          <w:b w:val="0"/>
          <w:i w:val="0"/>
          <w:sz w:val="24"/>
        </w:rPr>
        <w:t>Bank for International Settlements. (2022). FX settlement risk: An unsettled issue. BIS Quarterly Review, December. https://www.bis.org/publ/qtrpdf/r_qt2212i.htm</w:t>
      </w:r>
    </w:p>
    <w:p>
      <w:pPr>
        <w:spacing w:line="360" w:lineRule="auto" w:after="120"/>
        <w:ind w:left="720" w:hanging="720"/>
      </w:pPr>
      <w:r>
        <w:rPr>
          <w:rFonts w:ascii="Times New Roman" w:hAnsi="Times New Roman" w:cs="Times New Roman"/>
          <w:b w:val="0"/>
          <w:i w:val="0"/>
          <w:sz w:val="24"/>
        </w:rPr>
        <w:t>Bank for International Settlements. (2023). Blueprint for the future monetary system: Improving the old, enabling the new (BIS Annual Economic Report, Chapter III). https://www.bis.org/publ/arpdf/ar2023e3.htm</w:t>
      </w:r>
    </w:p>
    <w:p>
      <w:pPr>
        <w:spacing w:line="360" w:lineRule="auto" w:after="120"/>
        <w:ind w:left="720" w:hanging="720"/>
      </w:pPr>
      <w:r>
        <w:rPr>
          <w:rFonts w:ascii="Times New Roman" w:hAnsi="Times New Roman" w:cs="Times New Roman"/>
          <w:b w:val="0"/>
          <w:i w:val="0"/>
          <w:sz w:val="24"/>
        </w:rPr>
        <w:t>Bank for International Settlements. (2024). CPMI Red Book statistics on payment and settlement systems. https://stats.bis.org/statx/srs/table/T1</w:t>
      </w:r>
    </w:p>
    <w:p>
      <w:pPr>
        <w:spacing w:line="360" w:lineRule="auto" w:after="120"/>
        <w:ind w:left="720" w:hanging="720"/>
      </w:pPr>
      <w:r>
        <w:rPr>
          <w:rFonts w:ascii="Times New Roman" w:hAnsi="Times New Roman" w:cs="Times New Roman"/>
          <w:b w:val="0"/>
          <w:i w:val="0"/>
          <w:sz w:val="24"/>
        </w:rPr>
        <w:t>Bank for International Settlements. (2025). Project Agora: Cross-border payments in tokenised commercial bank deposits and wholesale CBDCs — Pilot results. BIS Innovation Hub.</w:t>
      </w:r>
    </w:p>
    <w:p>
      <w:pPr>
        <w:spacing w:line="360" w:lineRule="auto" w:after="120"/>
        <w:ind w:left="720" w:hanging="720"/>
      </w:pPr>
      <w:r>
        <w:rPr>
          <w:rFonts w:ascii="Times New Roman" w:hAnsi="Times New Roman" w:cs="Times New Roman"/>
          <w:b w:val="0"/>
          <w:i w:val="0"/>
          <w:sz w:val="24"/>
        </w:rPr>
        <w:t>Basel Committee on Banking Supervision. (2013). Basel III: The Liquidity Coverage Ratio and liquidity risk monitoring tools (BCBS 238). Bank for International Settlements. https://www.bis.org/publ/bcbs238.htm</w:t>
      </w:r>
    </w:p>
    <w:p>
      <w:pPr>
        <w:spacing w:line="360" w:lineRule="auto" w:after="120"/>
        <w:ind w:left="720" w:hanging="720"/>
      </w:pPr>
      <w:r>
        <w:rPr>
          <w:rFonts w:ascii="Times New Roman" w:hAnsi="Times New Roman" w:cs="Times New Roman"/>
          <w:b w:val="0"/>
          <w:i w:val="0"/>
          <w:sz w:val="24"/>
        </w:rPr>
        <w:t>Basel Committee on Banking Supervision. (2024). Cryptoasset standard amendments. Bank for International Settlements. https://www.bis.org/bcbs/publ/d579.htm</w:t>
      </w:r>
    </w:p>
    <w:p>
      <w:pPr>
        <w:spacing w:line="360" w:lineRule="auto" w:after="120"/>
        <w:ind w:left="720" w:hanging="720"/>
      </w:pPr>
      <w:r>
        <w:rPr>
          <w:rFonts w:ascii="Times New Roman" w:hAnsi="Times New Roman" w:cs="Times New Roman"/>
          <w:b w:val="0"/>
          <w:i w:val="0"/>
          <w:sz w:val="24"/>
        </w:rPr>
        <w:t>Baumol, W. J. (1952). The transactions demand for cash: An inventory theoretic approach. The Quarterly Journal of Economics, 66(4), 545–556.</w:t>
      </w:r>
    </w:p>
    <w:p>
      <w:pPr>
        <w:spacing w:line="360" w:lineRule="auto" w:after="120"/>
        <w:ind w:left="720" w:hanging="720"/>
      </w:pPr>
      <w:r>
        <w:rPr>
          <w:rFonts w:ascii="Times New Roman" w:hAnsi="Times New Roman" w:cs="Times New Roman"/>
          <w:b w:val="0"/>
          <w:i w:val="0"/>
          <w:sz w:val="24"/>
        </w:rPr>
        <w:t>BIS Innovation Hub. (2022). Project Dunbar: International settlements using multi-CBDCs. https://www.bis.org/publ/othp47.htm</w:t>
      </w:r>
    </w:p>
    <w:p>
      <w:pPr>
        <w:spacing w:line="360" w:lineRule="auto" w:after="120"/>
        <w:ind w:left="720" w:hanging="720"/>
      </w:pPr>
      <w:r>
        <w:rPr>
          <w:rFonts w:ascii="Times New Roman" w:hAnsi="Times New Roman" w:cs="Times New Roman"/>
          <w:b w:val="0"/>
          <w:i w:val="0"/>
          <w:sz w:val="24"/>
        </w:rPr>
        <w:t>BIS Innovation Hub. (2024). Project Agora: Multi-jurisdictional unified ledger prototype. https://www.bis.org/about/bisih/topics/fmis/agora.htm</w:t>
      </w:r>
    </w:p>
    <w:p>
      <w:pPr>
        <w:spacing w:line="360" w:lineRule="auto" w:after="120"/>
        <w:ind w:left="720" w:hanging="720"/>
      </w:pPr>
      <w:r>
        <w:rPr>
          <w:rFonts w:ascii="Times New Roman" w:hAnsi="Times New Roman" w:cs="Times New Roman"/>
          <w:b w:val="0"/>
          <w:i w:val="0"/>
          <w:sz w:val="24"/>
        </w:rPr>
        <w:t>Carstens, A. (2023). A blueprint for the future monetary system. In BIS Annual Economic Report 2023. Bank for International Settlements.</w:t>
      </w:r>
    </w:p>
    <w:p>
      <w:pPr>
        <w:spacing w:line="360" w:lineRule="auto" w:after="120"/>
        <w:ind w:left="720" w:hanging="720"/>
      </w:pPr>
      <w:r>
        <w:rPr>
          <w:rFonts w:ascii="Times New Roman" w:hAnsi="Times New Roman" w:cs="Times New Roman"/>
          <w:b w:val="0"/>
          <w:i w:val="0"/>
          <w:sz w:val="24"/>
        </w:rPr>
        <w:t>Committee on Payments and Market Infrastructures. (2018). Cross-border retail payments. Bank for International Settlements. https://www.bis.org/cpmi/publ/d173.htm</w:t>
      </w:r>
    </w:p>
    <w:p>
      <w:pPr>
        <w:spacing w:line="360" w:lineRule="auto" w:after="120"/>
        <w:ind w:left="720" w:hanging="720"/>
      </w:pPr>
      <w:r>
        <w:rPr>
          <w:rFonts w:ascii="Times New Roman" w:hAnsi="Times New Roman" w:cs="Times New Roman"/>
          <w:b w:val="0"/>
          <w:i w:val="0"/>
          <w:sz w:val="24"/>
        </w:rPr>
        <w:t>Committee on Payments and Market Infrastructures. (2023). Enhancing cross-border payments: Priority actions of the G20 roadmap. Bank for International Settlements. https://www.bis.org/cpmi/publ/d220.htm</w:t>
      </w:r>
    </w:p>
    <w:p>
      <w:pPr>
        <w:spacing w:line="360" w:lineRule="auto" w:after="120"/>
        <w:ind w:left="720" w:hanging="720"/>
      </w:pPr>
      <w:r>
        <w:rPr>
          <w:rFonts w:ascii="Times New Roman" w:hAnsi="Times New Roman" w:cs="Times New Roman"/>
          <w:b w:val="0"/>
          <w:i w:val="0"/>
          <w:sz w:val="24"/>
        </w:rPr>
        <w:t>Creswell, J. W. (2014). Research design: Qualitative, quantitative and mixed methods approaches (4th ed.). SAGE Publications.</w:t>
      </w:r>
    </w:p>
    <w:p>
      <w:pPr>
        <w:spacing w:line="360" w:lineRule="auto" w:after="120"/>
        <w:ind w:left="720" w:hanging="720"/>
      </w:pPr>
      <w:r>
        <w:rPr>
          <w:rFonts w:ascii="Times New Roman" w:hAnsi="Times New Roman" w:cs="Times New Roman"/>
          <w:b w:val="0"/>
          <w:i w:val="0"/>
          <w:sz w:val="24"/>
        </w:rPr>
        <w:t>Duffie, D. (2011). How big banks fail and what to do about it. Princeton University Press.</w:t>
      </w:r>
    </w:p>
    <w:p>
      <w:pPr>
        <w:spacing w:line="360" w:lineRule="auto" w:after="120"/>
        <w:ind w:left="720" w:hanging="720"/>
      </w:pPr>
      <w:r>
        <w:rPr>
          <w:rFonts w:ascii="Times New Roman" w:hAnsi="Times New Roman" w:cs="Times New Roman"/>
          <w:b w:val="0"/>
          <w:i w:val="0"/>
          <w:sz w:val="24"/>
        </w:rPr>
        <w:t>Financial Stability Board. (2023). High-level recommendations for the regulation, supervision and oversight of crypto-asset activities and markets. https://www.fsb.org/2023/07/</w:t>
      </w:r>
    </w:p>
    <w:p>
      <w:pPr>
        <w:spacing w:line="360" w:lineRule="auto" w:after="120"/>
        <w:ind w:left="720" w:hanging="720"/>
      </w:pPr>
      <w:r>
        <w:rPr>
          <w:rFonts w:ascii="Times New Roman" w:hAnsi="Times New Roman" w:cs="Times New Roman"/>
          <w:b w:val="0"/>
          <w:i w:val="0"/>
          <w:sz w:val="24"/>
        </w:rPr>
        <w:t>Foreign Exchange Dealers' Association of India. (2024). Annual turnover 2023–24. FEDAI. https://www.fedai.org.in</w:t>
      </w:r>
    </w:p>
    <w:p>
      <w:pPr>
        <w:spacing w:line="360" w:lineRule="auto" w:after="120"/>
        <w:ind w:left="720" w:hanging="720"/>
      </w:pPr>
      <w:r>
        <w:rPr>
          <w:rFonts w:ascii="Times New Roman" w:hAnsi="Times New Roman" w:cs="Times New Roman"/>
          <w:b w:val="0"/>
          <w:i w:val="0"/>
          <w:sz w:val="24"/>
        </w:rPr>
        <w:t>Galati, G. (2002). Settlement risk in foreign exchange markets and CLS Bank. BIS Quarterly Review, December 2002.</w:t>
      </w:r>
    </w:p>
    <w:p>
      <w:pPr>
        <w:spacing w:line="360" w:lineRule="auto" w:after="120"/>
        <w:ind w:left="720" w:hanging="720"/>
      </w:pPr>
      <w:r>
        <w:rPr>
          <w:rFonts w:ascii="Times New Roman" w:hAnsi="Times New Roman" w:cs="Times New Roman"/>
          <w:b w:val="0"/>
          <w:i w:val="0"/>
          <w:sz w:val="24"/>
        </w:rPr>
        <w:t>J.P. Morgan. (2024). Onyx Digital Assets: 2024 platform update and disclosures. https://www.jpmorgan.com/onyx</w:t>
      </w:r>
    </w:p>
    <w:p>
      <w:pPr>
        <w:spacing w:line="360" w:lineRule="auto" w:after="120"/>
        <w:ind w:left="720" w:hanging="720"/>
      </w:pPr>
      <w:r>
        <w:rPr>
          <w:rFonts w:ascii="Times New Roman" w:hAnsi="Times New Roman" w:cs="Times New Roman"/>
          <w:b w:val="0"/>
          <w:i w:val="0"/>
          <w:sz w:val="24"/>
        </w:rPr>
        <w:t>Miller, M. H., &amp; Orr, D. (1966). A model of the demand for money by firms. The Quarterly Journal of Economics, 80(3), 413–435.</w:t>
      </w:r>
    </w:p>
    <w:p>
      <w:pPr>
        <w:spacing w:line="360" w:lineRule="auto" w:after="120"/>
        <w:ind w:left="720" w:hanging="720"/>
      </w:pPr>
      <w:r>
        <w:rPr>
          <w:rFonts w:ascii="Times New Roman" w:hAnsi="Times New Roman" w:cs="Times New Roman"/>
          <w:b w:val="0"/>
          <w:i w:val="0"/>
          <w:sz w:val="24"/>
        </w:rPr>
        <w:t>Reserve Bank of India. (2024). Report on Currency and Finance 2023–24 — Chapter on CBDC. https://www.rbi.org.in</w:t>
      </w:r>
    </w:p>
    <w:p>
      <w:pPr>
        <w:spacing w:line="360" w:lineRule="auto" w:after="120"/>
        <w:ind w:left="720" w:hanging="720"/>
      </w:pPr>
      <w:r>
        <w:rPr>
          <w:rFonts w:ascii="Times New Roman" w:hAnsi="Times New Roman" w:cs="Times New Roman"/>
          <w:b w:val="0"/>
          <w:i w:val="0"/>
          <w:sz w:val="24"/>
        </w:rPr>
        <w:t>Reserve Bank of India. (2025). Progress of the Digital Rupee pilot. RBI Bulletin, March 2025. https://www.rbi.org.in</w:t>
      </w:r>
    </w:p>
    <w:p>
      <w:pPr>
        <w:spacing w:line="360" w:lineRule="auto" w:after="120"/>
        <w:ind w:left="720" w:hanging="720"/>
      </w:pPr>
      <w:r>
        <w:rPr>
          <w:rFonts w:ascii="Times New Roman" w:hAnsi="Times New Roman" w:cs="Times New Roman"/>
          <w:b w:val="0"/>
          <w:i w:val="0"/>
          <w:sz w:val="24"/>
        </w:rPr>
        <w:t>Rogers, E. M. (2003). Diffusion of innovations (5th ed.). Free Press.</w:t>
      </w:r>
    </w:p>
    <w:p>
      <w:pPr>
        <w:spacing w:line="360" w:lineRule="auto" w:after="120"/>
        <w:ind w:left="720" w:hanging="720"/>
      </w:pPr>
      <w:r>
        <w:rPr>
          <w:rFonts w:ascii="Times New Roman" w:hAnsi="Times New Roman" w:cs="Times New Roman"/>
          <w:b w:val="0"/>
          <w:i w:val="0"/>
          <w:sz w:val="24"/>
        </w:rPr>
        <w:t>Scott, S. V., &amp; Zachariadis, M. (2014). The Society for Worldwide Interbank Financial Telecommunication (SWIFT): Cooperative governance of network innovation, standards and community. Routledge.</w:t>
      </w:r>
    </w:p>
    <w:p>
      <w:pPr>
        <w:spacing w:line="360" w:lineRule="auto" w:after="120"/>
        <w:ind w:left="720" w:hanging="720"/>
      </w:pPr>
      <w:r>
        <w:rPr>
          <w:rFonts w:ascii="Times New Roman" w:hAnsi="Times New Roman" w:cs="Times New Roman"/>
          <w:b w:val="0"/>
          <w:i w:val="0"/>
          <w:sz w:val="24"/>
        </w:rPr>
        <w:t>SWIFT. (2024). RMB Tracker and cross-border payments monitor. https://www.swift.com/our-solutions/compliance-and-shared-services/business-intelligence/renminbi/rmb-tracker</w:t>
      </w:r>
    </w:p>
    <w:p>
      <w:r>
        <w:br w:type="page"/>
      </w:r>
    </w:p>
    <w:p>
      <w:pPr>
        <w:spacing w:before="240" w:after="240" w:line="360" w:lineRule="auto"/>
        <w:jc w:val="center"/>
      </w:pPr>
      <w:r>
        <w:rPr>
          <w:rFonts w:ascii="Times New Roman" w:hAnsi="Times New Roman" w:cs="Times New Roman"/>
          <w:b/>
          <w:i w:val="0"/>
          <w:sz w:val="28"/>
        </w:rPr>
        <w:t>APPENDICES</w:t>
      </w:r>
    </w:p>
    <w:p>
      <w:pPr>
        <w:spacing w:before="240" w:after="120" w:line="360" w:lineRule="auto"/>
        <w:jc w:val="left"/>
      </w:pPr>
      <w:r>
        <w:rPr>
          <w:rFonts w:ascii="Times New Roman" w:hAnsi="Times New Roman" w:cs="Times New Roman"/>
          <w:b/>
          <w:i w:val="0"/>
          <w:sz w:val="24"/>
        </w:rPr>
        <w:t>Appendix A: Approved Synopsis</w:t>
      </w:r>
    </w:p>
    <w:p>
      <w:pPr>
        <w:spacing w:after="0" w:before="0" w:line="360" w:lineRule="auto"/>
        <w:ind w:firstLine="720"/>
        <w:jc w:val="left"/>
      </w:pPr>
      <w:r>
        <w:rPr>
          <w:rFonts w:ascii="Times New Roman" w:hAnsi="Times New Roman" w:cs="Times New Roman"/>
          <w:b w:val="0"/>
          <w:i w:val="0"/>
          <w:sz w:val="24"/>
        </w:rPr>
        <w:t>The approved Project Proposal Proforma, comprising the research synopsis and the faculty mentor's bio-data, is physically bound into the front matter of this report as required by the IIM Rohtak Immersive Project submission convention. For electronic submission, the original synopsis PDF has been retained under the filename Synopsis_TokenizedDeposits_wCBDC.pdf.</w:t>
      </w:r>
    </w:p>
    <w:p>
      <w:pPr>
        <w:spacing w:before="240" w:after="120" w:line="360" w:lineRule="auto"/>
        <w:jc w:val="left"/>
      </w:pPr>
      <w:r>
        <w:rPr>
          <w:rFonts w:ascii="Times New Roman" w:hAnsi="Times New Roman" w:cs="Times New Roman"/>
          <w:b/>
          <w:i w:val="0"/>
          <w:sz w:val="24"/>
        </w:rPr>
        <w:t>Appendix B: Phase I Baseline Parameter Table (Expanded)</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4032"/>
          </w:tcPr>
          <w:p>
            <w:pPr>
              <w:spacing w:line="240" w:lineRule="auto"/>
            </w:pPr>
            <w:r/>
            <w:r>
              <w:rPr>
                <w:rFonts w:ascii="Times New Roman" w:hAnsi="Times New Roman" w:cs="Times New Roman"/>
                <w:b/>
                <w:i w:val="0"/>
                <w:sz w:val="22"/>
              </w:rPr>
              <w:t>Parameter</w:t>
            </w:r>
          </w:p>
        </w:tc>
        <w:tc>
          <w:tcPr>
            <w:tcW w:type="dxa" w:w="1440"/>
          </w:tcPr>
          <w:p>
            <w:pPr>
              <w:spacing w:line="240" w:lineRule="auto"/>
            </w:pPr>
            <w:r/>
            <w:r>
              <w:rPr>
                <w:rFonts w:ascii="Times New Roman" w:hAnsi="Times New Roman" w:cs="Times New Roman"/>
                <w:b/>
                <w:i w:val="0"/>
                <w:sz w:val="22"/>
              </w:rPr>
              <w:t>USD/EUR</w:t>
            </w:r>
          </w:p>
        </w:tc>
        <w:tc>
          <w:tcPr>
            <w:tcW w:type="dxa" w:w="1440"/>
          </w:tcPr>
          <w:p>
            <w:pPr>
              <w:spacing w:line="240" w:lineRule="auto"/>
            </w:pPr>
            <w:r/>
            <w:r>
              <w:rPr>
                <w:rFonts w:ascii="Times New Roman" w:hAnsi="Times New Roman" w:cs="Times New Roman"/>
                <w:b/>
                <w:i w:val="0"/>
                <w:sz w:val="22"/>
              </w:rPr>
              <w:t>USD/JPY</w:t>
            </w:r>
          </w:p>
        </w:tc>
        <w:tc>
          <w:tcPr>
            <w:tcW w:type="dxa" w:w="1440"/>
          </w:tcPr>
          <w:p>
            <w:pPr>
              <w:spacing w:line="240" w:lineRule="auto"/>
            </w:pPr>
            <w:r/>
            <w:r>
              <w:rPr>
                <w:rFonts w:ascii="Times New Roman" w:hAnsi="Times New Roman" w:cs="Times New Roman"/>
                <w:b/>
                <w:i w:val="0"/>
                <w:sz w:val="22"/>
              </w:rPr>
              <w:t>USD/INR</w:t>
            </w:r>
          </w:p>
        </w:tc>
      </w:tr>
      <w:tr>
        <w:tc>
          <w:tcPr>
            <w:tcW w:type="dxa" w:w="4032"/>
          </w:tcPr>
          <w:p>
            <w:pPr>
              <w:spacing w:line="240" w:lineRule="auto"/>
            </w:pPr>
            <w:r/>
            <w:r>
              <w:rPr>
                <w:rFonts w:ascii="Times New Roman" w:hAnsi="Times New Roman" w:cs="Times New Roman"/>
                <w:b w:val="0"/>
                <w:i w:val="0"/>
                <w:sz w:val="22"/>
              </w:rPr>
              <w:t>Settlement exposure window (hours)</w:t>
            </w:r>
          </w:p>
        </w:tc>
        <w:tc>
          <w:tcPr>
            <w:tcW w:type="dxa" w:w="1440"/>
          </w:tcPr>
          <w:p>
            <w:pPr>
              <w:spacing w:line="240" w:lineRule="auto"/>
            </w:pPr>
            <w:r/>
            <w:r>
              <w:rPr>
                <w:rFonts w:ascii="Times New Roman" w:hAnsi="Times New Roman" w:cs="Times New Roman"/>
                <w:b w:val="0"/>
                <w:i w:val="0"/>
                <w:sz w:val="22"/>
              </w:rPr>
              <w:t>Approx. 46</w:t>
            </w:r>
          </w:p>
        </w:tc>
        <w:tc>
          <w:tcPr>
            <w:tcW w:type="dxa" w:w="1440"/>
          </w:tcPr>
          <w:p>
            <w:pPr>
              <w:spacing w:line="240" w:lineRule="auto"/>
            </w:pPr>
            <w:r/>
            <w:r>
              <w:rPr>
                <w:rFonts w:ascii="Times New Roman" w:hAnsi="Times New Roman" w:cs="Times New Roman"/>
                <w:b w:val="0"/>
                <w:i w:val="0"/>
                <w:sz w:val="22"/>
              </w:rPr>
              <w:t>Approx. 52</w:t>
            </w:r>
          </w:p>
        </w:tc>
        <w:tc>
          <w:tcPr>
            <w:tcW w:type="dxa" w:w="1440"/>
          </w:tcPr>
          <w:p>
            <w:pPr>
              <w:spacing w:line="240" w:lineRule="auto"/>
            </w:pPr>
            <w:r/>
            <w:r>
              <w:rPr>
                <w:rFonts w:ascii="Times New Roman" w:hAnsi="Times New Roman" w:cs="Times New Roman"/>
                <w:b w:val="0"/>
                <w:i w:val="0"/>
                <w:sz w:val="22"/>
              </w:rPr>
              <w:t>Approx. 58</w:t>
            </w:r>
          </w:p>
        </w:tc>
      </w:tr>
      <w:tr>
        <w:tc>
          <w:tcPr>
            <w:tcW w:type="dxa" w:w="4032"/>
          </w:tcPr>
          <w:p>
            <w:pPr>
              <w:spacing w:line="240" w:lineRule="auto"/>
            </w:pPr>
            <w:r/>
            <w:r>
              <w:rPr>
                <w:rFonts w:ascii="Times New Roman" w:hAnsi="Times New Roman" w:cs="Times New Roman"/>
                <w:b w:val="0"/>
                <w:i w:val="0"/>
                <w:sz w:val="22"/>
              </w:rPr>
              <w:t>Daily transaction sample size</w:t>
            </w:r>
          </w:p>
        </w:tc>
        <w:tc>
          <w:tcPr>
            <w:tcW w:type="dxa" w:w="1440"/>
          </w:tcPr>
          <w:p>
            <w:pPr>
              <w:spacing w:line="240" w:lineRule="auto"/>
            </w:pPr>
            <w:r/>
            <w:r>
              <w:rPr>
                <w:rFonts w:ascii="Times New Roman" w:hAnsi="Times New Roman" w:cs="Times New Roman"/>
                <w:b w:val="0"/>
                <w:i w:val="0"/>
                <w:sz w:val="22"/>
              </w:rPr>
              <w:t>1,200</w:t>
            </w:r>
          </w:p>
        </w:tc>
        <w:tc>
          <w:tcPr>
            <w:tcW w:type="dxa" w:w="1440"/>
          </w:tcPr>
          <w:p>
            <w:pPr>
              <w:spacing w:line="240" w:lineRule="auto"/>
            </w:pPr>
            <w:r/>
            <w:r>
              <w:rPr>
                <w:rFonts w:ascii="Times New Roman" w:hAnsi="Times New Roman" w:cs="Times New Roman"/>
                <w:b w:val="0"/>
                <w:i w:val="0"/>
                <w:sz w:val="22"/>
              </w:rPr>
              <w:t>1,200</w:t>
            </w:r>
          </w:p>
        </w:tc>
        <w:tc>
          <w:tcPr>
            <w:tcW w:type="dxa" w:w="1440"/>
          </w:tcPr>
          <w:p>
            <w:pPr>
              <w:spacing w:line="240" w:lineRule="auto"/>
            </w:pPr>
            <w:r/>
            <w:r>
              <w:rPr>
                <w:rFonts w:ascii="Times New Roman" w:hAnsi="Times New Roman" w:cs="Times New Roman"/>
                <w:b w:val="0"/>
                <w:i w:val="0"/>
                <w:sz w:val="22"/>
              </w:rPr>
              <w:t>1,200</w:t>
            </w:r>
          </w:p>
        </w:tc>
      </w:tr>
      <w:tr>
        <w:tc>
          <w:tcPr>
            <w:tcW w:type="dxa" w:w="4032"/>
          </w:tcPr>
          <w:p>
            <w:pPr>
              <w:spacing w:line="240" w:lineRule="auto"/>
            </w:pPr>
            <w:r/>
            <w:r>
              <w:rPr>
                <w:rFonts w:ascii="Times New Roman" w:hAnsi="Times New Roman" w:cs="Times New Roman"/>
                <w:b w:val="0"/>
                <w:i w:val="0"/>
                <w:sz w:val="22"/>
              </w:rPr>
              <w:t>Mean ticket size (USD mn)</w:t>
            </w:r>
          </w:p>
        </w:tc>
        <w:tc>
          <w:tcPr>
            <w:tcW w:type="dxa" w:w="1440"/>
          </w:tcPr>
          <w:p>
            <w:pPr>
              <w:spacing w:line="240" w:lineRule="auto"/>
            </w:pPr>
            <w:r/>
            <w:r>
              <w:rPr>
                <w:rFonts w:ascii="Times New Roman" w:hAnsi="Times New Roman" w:cs="Times New Roman"/>
                <w:b w:val="0"/>
                <w:i w:val="0"/>
                <w:sz w:val="22"/>
              </w:rPr>
              <w:t>Approx. 8.2</w:t>
            </w:r>
          </w:p>
        </w:tc>
        <w:tc>
          <w:tcPr>
            <w:tcW w:type="dxa" w:w="1440"/>
          </w:tcPr>
          <w:p>
            <w:pPr>
              <w:spacing w:line="240" w:lineRule="auto"/>
            </w:pPr>
            <w:r/>
            <w:r>
              <w:rPr>
                <w:rFonts w:ascii="Times New Roman" w:hAnsi="Times New Roman" w:cs="Times New Roman"/>
                <w:b w:val="0"/>
                <w:i w:val="0"/>
                <w:sz w:val="22"/>
              </w:rPr>
              <w:t>Approx. 6.5</w:t>
            </w:r>
          </w:p>
        </w:tc>
        <w:tc>
          <w:tcPr>
            <w:tcW w:type="dxa" w:w="1440"/>
          </w:tcPr>
          <w:p>
            <w:pPr>
              <w:spacing w:line="240" w:lineRule="auto"/>
            </w:pPr>
            <w:r/>
            <w:r>
              <w:rPr>
                <w:rFonts w:ascii="Times New Roman" w:hAnsi="Times New Roman" w:cs="Times New Roman"/>
                <w:b w:val="0"/>
                <w:i w:val="0"/>
                <w:sz w:val="22"/>
              </w:rPr>
              <w:t>Approx. 3.1</w:t>
            </w:r>
          </w:p>
        </w:tc>
      </w:tr>
      <w:tr>
        <w:tc>
          <w:tcPr>
            <w:tcW w:type="dxa" w:w="4032"/>
          </w:tcPr>
          <w:p>
            <w:pPr>
              <w:spacing w:line="240" w:lineRule="auto"/>
            </w:pPr>
            <w:r/>
            <w:r>
              <w:rPr>
                <w:rFonts w:ascii="Times New Roman" w:hAnsi="Times New Roman" w:cs="Times New Roman"/>
                <w:b w:val="0"/>
                <w:i w:val="0"/>
                <w:sz w:val="22"/>
              </w:rPr>
              <w:t>Nostro requirement — 99% stress (USD mn)</w:t>
            </w:r>
          </w:p>
        </w:tc>
        <w:tc>
          <w:tcPr>
            <w:tcW w:type="dxa" w:w="1440"/>
          </w:tcPr>
          <w:p>
            <w:pPr>
              <w:spacing w:line="240" w:lineRule="auto"/>
            </w:pPr>
            <w:r/>
            <w:r>
              <w:rPr>
                <w:rFonts w:ascii="Times New Roman" w:hAnsi="Times New Roman" w:cs="Times New Roman"/>
                <w:b w:val="0"/>
                <w:i w:val="0"/>
                <w:sz w:val="22"/>
              </w:rPr>
              <w:t>Approx. 180</w:t>
            </w:r>
          </w:p>
        </w:tc>
        <w:tc>
          <w:tcPr>
            <w:tcW w:type="dxa" w:w="1440"/>
          </w:tcPr>
          <w:p>
            <w:pPr>
              <w:spacing w:line="240" w:lineRule="auto"/>
            </w:pPr>
            <w:r/>
            <w:r>
              <w:rPr>
                <w:rFonts w:ascii="Times New Roman" w:hAnsi="Times New Roman" w:cs="Times New Roman"/>
                <w:b w:val="0"/>
                <w:i w:val="0"/>
                <w:sz w:val="22"/>
              </w:rPr>
              <w:t>Approx. 220</w:t>
            </w:r>
          </w:p>
        </w:tc>
        <w:tc>
          <w:tcPr>
            <w:tcW w:type="dxa" w:w="1440"/>
          </w:tcPr>
          <w:p>
            <w:pPr>
              <w:spacing w:line="240" w:lineRule="auto"/>
            </w:pPr>
            <w:r/>
            <w:r>
              <w:rPr>
                <w:rFonts w:ascii="Times New Roman" w:hAnsi="Times New Roman" w:cs="Times New Roman"/>
                <w:b w:val="0"/>
                <w:i w:val="0"/>
                <w:sz w:val="22"/>
              </w:rPr>
              <w:t>Approx. 145</w:t>
            </w:r>
          </w:p>
        </w:tc>
      </w:tr>
      <w:tr>
        <w:tc>
          <w:tcPr>
            <w:tcW w:type="dxa" w:w="4032"/>
          </w:tcPr>
          <w:p>
            <w:pPr>
              <w:spacing w:line="240" w:lineRule="auto"/>
            </w:pPr>
            <w:r/>
            <w:r>
              <w:rPr>
                <w:rFonts w:ascii="Times New Roman" w:hAnsi="Times New Roman" w:cs="Times New Roman"/>
                <w:b w:val="0"/>
                <w:i w:val="0"/>
                <w:sz w:val="22"/>
              </w:rPr>
              <w:t>LCR buffer share of nostro (%)</w:t>
            </w:r>
          </w:p>
        </w:tc>
        <w:tc>
          <w:tcPr>
            <w:tcW w:type="dxa" w:w="1440"/>
          </w:tcPr>
          <w:p>
            <w:pPr>
              <w:spacing w:line="240" w:lineRule="auto"/>
            </w:pPr>
            <w:r/>
            <w:r>
              <w:rPr>
                <w:rFonts w:ascii="Times New Roman" w:hAnsi="Times New Roman" w:cs="Times New Roman"/>
                <w:b w:val="0"/>
                <w:i w:val="0"/>
                <w:sz w:val="22"/>
              </w:rPr>
              <w:t>Approx. 31</w:t>
            </w:r>
          </w:p>
        </w:tc>
        <w:tc>
          <w:tcPr>
            <w:tcW w:type="dxa" w:w="1440"/>
          </w:tcPr>
          <w:p>
            <w:pPr>
              <w:spacing w:line="240" w:lineRule="auto"/>
            </w:pPr>
            <w:r/>
            <w:r>
              <w:rPr>
                <w:rFonts w:ascii="Times New Roman" w:hAnsi="Times New Roman" w:cs="Times New Roman"/>
                <w:b w:val="0"/>
                <w:i w:val="0"/>
                <w:sz w:val="22"/>
              </w:rPr>
              <w:t>Approx. 32</w:t>
            </w:r>
          </w:p>
        </w:tc>
        <w:tc>
          <w:tcPr>
            <w:tcW w:type="dxa" w:w="1440"/>
          </w:tcPr>
          <w:p>
            <w:pPr>
              <w:spacing w:line="240" w:lineRule="auto"/>
            </w:pPr>
            <w:r/>
            <w:r>
              <w:rPr>
                <w:rFonts w:ascii="Times New Roman" w:hAnsi="Times New Roman" w:cs="Times New Roman"/>
                <w:b w:val="0"/>
                <w:i w:val="0"/>
                <w:sz w:val="22"/>
              </w:rPr>
              <w:t>Approx. 33</w:t>
            </w:r>
          </w:p>
        </w:tc>
      </w:tr>
      <w:tr>
        <w:tc>
          <w:tcPr>
            <w:tcW w:type="dxa" w:w="4032"/>
          </w:tcPr>
          <w:p>
            <w:pPr>
              <w:spacing w:line="240" w:lineRule="auto"/>
            </w:pPr>
            <w:r/>
            <w:r>
              <w:rPr>
                <w:rFonts w:ascii="Times New Roman" w:hAnsi="Times New Roman" w:cs="Times New Roman"/>
                <w:b w:val="0"/>
                <w:i w:val="0"/>
                <w:sz w:val="22"/>
              </w:rPr>
              <w:t>Representative WACC (% p.a.)</w:t>
            </w:r>
          </w:p>
        </w:tc>
        <w:tc>
          <w:tcPr>
            <w:tcW w:type="dxa" w:w="1440"/>
          </w:tcPr>
          <w:p>
            <w:pPr>
              <w:spacing w:line="240" w:lineRule="auto"/>
            </w:pPr>
            <w:r/>
            <w:r>
              <w:rPr>
                <w:rFonts w:ascii="Times New Roman" w:hAnsi="Times New Roman" w:cs="Times New Roman"/>
                <w:b w:val="0"/>
                <w:i w:val="0"/>
                <w:sz w:val="22"/>
              </w:rPr>
              <w:t>9.0</w:t>
            </w:r>
          </w:p>
        </w:tc>
        <w:tc>
          <w:tcPr>
            <w:tcW w:type="dxa" w:w="1440"/>
          </w:tcPr>
          <w:p>
            <w:pPr>
              <w:spacing w:line="240" w:lineRule="auto"/>
            </w:pPr>
            <w:r/>
            <w:r>
              <w:rPr>
                <w:rFonts w:ascii="Times New Roman" w:hAnsi="Times New Roman" w:cs="Times New Roman"/>
                <w:b w:val="0"/>
                <w:i w:val="0"/>
                <w:sz w:val="22"/>
              </w:rPr>
              <w:t>9.0</w:t>
            </w:r>
          </w:p>
        </w:tc>
        <w:tc>
          <w:tcPr>
            <w:tcW w:type="dxa" w:w="1440"/>
          </w:tcPr>
          <w:p>
            <w:pPr>
              <w:spacing w:line="240" w:lineRule="auto"/>
            </w:pPr>
            <w:r/>
            <w:r>
              <w:rPr>
                <w:rFonts w:ascii="Times New Roman" w:hAnsi="Times New Roman" w:cs="Times New Roman"/>
                <w:b w:val="0"/>
                <w:i w:val="0"/>
                <w:sz w:val="22"/>
              </w:rPr>
              <w:t>9.0</w:t>
            </w:r>
          </w:p>
        </w:tc>
      </w:tr>
      <w:tr>
        <w:tc>
          <w:tcPr>
            <w:tcW w:type="dxa" w:w="4032"/>
          </w:tcPr>
          <w:p>
            <w:pPr>
              <w:spacing w:line="240" w:lineRule="auto"/>
            </w:pPr>
            <w:r/>
            <w:r>
              <w:rPr>
                <w:rFonts w:ascii="Times New Roman" w:hAnsi="Times New Roman" w:cs="Times New Roman"/>
                <w:b w:val="0"/>
                <w:i w:val="0"/>
                <w:sz w:val="22"/>
              </w:rPr>
              <w:t>Assumed HQLA haircut on tokenized deposit</w:t>
            </w:r>
          </w:p>
        </w:tc>
        <w:tc>
          <w:tcPr>
            <w:tcW w:type="dxa" w:w="1440"/>
          </w:tcPr>
          <w:p>
            <w:pPr>
              <w:spacing w:line="240" w:lineRule="auto"/>
            </w:pPr>
            <w:r/>
            <w:r>
              <w:rPr>
                <w:rFonts w:ascii="Times New Roman" w:hAnsi="Times New Roman" w:cs="Times New Roman"/>
                <w:b w:val="0"/>
                <w:i w:val="0"/>
                <w:sz w:val="22"/>
              </w:rPr>
              <w:t>0%</w:t>
            </w:r>
          </w:p>
        </w:tc>
        <w:tc>
          <w:tcPr>
            <w:tcW w:type="dxa" w:w="1440"/>
          </w:tcPr>
          <w:p>
            <w:pPr>
              <w:spacing w:line="240" w:lineRule="auto"/>
            </w:pPr>
            <w:r/>
            <w:r>
              <w:rPr>
                <w:rFonts w:ascii="Times New Roman" w:hAnsi="Times New Roman" w:cs="Times New Roman"/>
                <w:b w:val="0"/>
                <w:i w:val="0"/>
                <w:sz w:val="22"/>
              </w:rPr>
              <w:t>0–15%</w:t>
            </w:r>
          </w:p>
        </w:tc>
        <w:tc>
          <w:tcPr>
            <w:tcW w:type="dxa" w:w="1440"/>
          </w:tcPr>
          <w:p>
            <w:pPr>
              <w:spacing w:line="240" w:lineRule="auto"/>
            </w:pPr>
            <w:r/>
            <w:r>
              <w:rPr>
                <w:rFonts w:ascii="Times New Roman" w:hAnsi="Times New Roman" w:cs="Times New Roman"/>
                <w:b w:val="0"/>
                <w:i w:val="0"/>
                <w:sz w:val="22"/>
              </w:rPr>
              <w:t>0–25%</w:t>
            </w:r>
          </w:p>
        </w:tc>
      </w:tr>
    </w:tbl>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All values are illustrative simulation inputs based on the assumptions specified in Chapter 3.</w:t>
      </w:r>
    </w:p>
    <w:p>
      <w:pPr>
        <w:spacing w:before="240" w:after="120" w:line="360" w:lineRule="auto"/>
        <w:jc w:val="left"/>
      </w:pPr>
      <w:r>
        <w:rPr>
          <w:rFonts w:ascii="Times New Roman" w:hAnsi="Times New Roman" w:cs="Times New Roman"/>
          <w:b/>
          <w:i w:val="0"/>
          <w:sz w:val="24"/>
        </w:rPr>
        <w:t>Appendix C: Variable Definitions and Notation</w:t>
      </w:r>
    </w:p>
    <w:p>
      <w:pPr>
        <w:spacing w:line="360" w:lineRule="auto" w:after="80"/>
        <w:ind w:left="720" w:hanging="720"/>
      </w:pPr>
      <w:r>
        <w:rPr>
          <w:rFonts w:ascii="Times New Roman" w:hAnsi="Times New Roman" w:cs="Times New Roman"/>
          <w:b/>
          <w:i w:val="0"/>
          <w:sz w:val="24"/>
        </w:rPr>
        <w:t xml:space="preserve">T_T+2 — </w:t>
      </w:r>
      <w:r>
        <w:rPr>
          <w:rFonts w:ascii="Times New Roman" w:hAnsi="Times New Roman" w:cs="Times New Roman"/>
          <w:b w:val="0"/>
          <w:i w:val="0"/>
          <w:sz w:val="24"/>
        </w:rPr>
        <w:t>Mean settlement-exposure duration under the SWIFT T+2 baseline (hours)</w:t>
      </w:r>
    </w:p>
    <w:p>
      <w:pPr>
        <w:spacing w:line="360" w:lineRule="auto" w:after="80"/>
        <w:ind w:left="720" w:hanging="720"/>
      </w:pPr>
      <w:r>
        <w:rPr>
          <w:rFonts w:ascii="Times New Roman" w:hAnsi="Times New Roman" w:cs="Times New Roman"/>
          <w:b/>
          <w:i w:val="0"/>
          <w:sz w:val="24"/>
        </w:rPr>
        <w:t xml:space="preserve">T_Atomic — </w:t>
      </w:r>
      <w:r>
        <w:rPr>
          <w:rFonts w:ascii="Times New Roman" w:hAnsi="Times New Roman" w:cs="Times New Roman"/>
          <w:b w:val="0"/>
          <w:i w:val="0"/>
          <w:sz w:val="24"/>
        </w:rPr>
        <w:t>Mean settlement-exposure duration under the atomic T+0 simulation (seconds)</w:t>
      </w:r>
    </w:p>
    <w:p>
      <w:pPr>
        <w:spacing w:line="360" w:lineRule="auto" w:after="80"/>
        <w:ind w:left="720" w:hanging="720"/>
      </w:pPr>
      <w:r>
        <w:rPr>
          <w:rFonts w:ascii="Times New Roman" w:hAnsi="Times New Roman" w:cs="Times New Roman"/>
          <w:b/>
          <w:i w:val="0"/>
          <w:sz w:val="24"/>
        </w:rPr>
        <w:t xml:space="preserve">L_T+2 — </w:t>
      </w:r>
      <w:r>
        <w:rPr>
          <w:rFonts w:ascii="Times New Roman" w:hAnsi="Times New Roman" w:cs="Times New Roman"/>
          <w:b w:val="0"/>
          <w:i w:val="0"/>
          <w:sz w:val="24"/>
        </w:rPr>
        <w:t>Pre-funded nostro liquidity requirement under the baseline (USD millions)</w:t>
      </w:r>
    </w:p>
    <w:p>
      <w:pPr>
        <w:spacing w:line="360" w:lineRule="auto" w:after="80"/>
        <w:ind w:left="720" w:hanging="720"/>
      </w:pPr>
      <w:r>
        <w:rPr>
          <w:rFonts w:ascii="Times New Roman" w:hAnsi="Times New Roman" w:cs="Times New Roman"/>
          <w:b/>
          <w:i w:val="0"/>
          <w:sz w:val="24"/>
        </w:rPr>
        <w:t xml:space="preserve">L_T+0 — </w:t>
      </w:r>
      <w:r>
        <w:rPr>
          <w:rFonts w:ascii="Times New Roman" w:hAnsi="Times New Roman" w:cs="Times New Roman"/>
          <w:b w:val="0"/>
          <w:i w:val="0"/>
          <w:sz w:val="24"/>
        </w:rPr>
        <w:t>Pre-funded liquidity requirement under atomic settlement (USD millions)</w:t>
      </w:r>
    </w:p>
    <w:p>
      <w:pPr>
        <w:spacing w:line="360" w:lineRule="auto" w:after="80"/>
        <w:ind w:left="720" w:hanging="720"/>
      </w:pPr>
      <w:r>
        <w:rPr>
          <w:rFonts w:ascii="Times New Roman" w:hAnsi="Times New Roman" w:cs="Times New Roman"/>
          <w:b/>
          <w:i w:val="0"/>
          <w:sz w:val="24"/>
        </w:rPr>
        <w:t xml:space="preserve">WACC_MNC — </w:t>
      </w:r>
      <w:r>
        <w:rPr>
          <w:rFonts w:ascii="Times New Roman" w:hAnsi="Times New Roman" w:cs="Times New Roman"/>
          <w:b w:val="0"/>
          <w:i w:val="0"/>
          <w:sz w:val="24"/>
        </w:rPr>
        <w:t>Weighted average cost of capital of representative mid-cap MNC (% per annum)</w:t>
      </w:r>
    </w:p>
    <w:p>
      <w:pPr>
        <w:spacing w:line="360" w:lineRule="auto" w:after="80"/>
        <w:ind w:left="720" w:hanging="720"/>
      </w:pPr>
      <w:r>
        <w:rPr>
          <w:rFonts w:ascii="Times New Roman" w:hAnsi="Times New Roman" w:cs="Times New Roman"/>
          <w:b/>
          <w:i w:val="0"/>
          <w:sz w:val="24"/>
        </w:rPr>
        <w:t xml:space="preserve">h_j — </w:t>
      </w:r>
      <w:r>
        <w:rPr>
          <w:rFonts w:ascii="Times New Roman" w:hAnsi="Times New Roman" w:cs="Times New Roman"/>
          <w:b w:val="0"/>
          <w:i w:val="0"/>
          <w:sz w:val="24"/>
        </w:rPr>
        <w:t>Jurisdictional HQLA haircut on tokenized deposits (percentage, 0–25%)</w:t>
      </w:r>
    </w:p>
    <w:p>
      <w:pPr>
        <w:spacing w:line="360" w:lineRule="auto" w:after="80"/>
        <w:ind w:left="720" w:hanging="720"/>
      </w:pPr>
      <w:r>
        <w:rPr>
          <w:rFonts w:ascii="Times New Roman" w:hAnsi="Times New Roman" w:cs="Times New Roman"/>
          <w:b/>
          <w:i w:val="0"/>
          <w:sz w:val="24"/>
        </w:rPr>
        <w:t xml:space="preserve">RRSE — </w:t>
      </w:r>
      <w:r>
        <w:rPr>
          <w:rFonts w:ascii="Times New Roman" w:hAnsi="Times New Roman" w:cs="Times New Roman"/>
          <w:b w:val="0"/>
          <w:i w:val="0"/>
          <w:sz w:val="24"/>
        </w:rPr>
        <w:t>Reduction in Settlement Risk Exposure = 1 − (T_Atomic / T_T+2)</w:t>
      </w:r>
    </w:p>
    <w:p>
      <w:pPr>
        <w:spacing w:line="360" w:lineRule="auto" w:after="80"/>
        <w:ind w:left="720" w:hanging="720"/>
      </w:pPr>
      <w:r>
        <w:rPr>
          <w:rFonts w:ascii="Times New Roman" w:hAnsi="Times New Roman" w:cs="Times New Roman"/>
          <w:b/>
          <w:i w:val="0"/>
          <w:sz w:val="24"/>
        </w:rPr>
        <w:t xml:space="preserve">CCS — </w:t>
      </w:r>
      <w:r>
        <w:rPr>
          <w:rFonts w:ascii="Times New Roman" w:hAnsi="Times New Roman" w:cs="Times New Roman"/>
          <w:b w:val="0"/>
          <w:i w:val="0"/>
          <w:sz w:val="24"/>
        </w:rPr>
        <w:t>Capital Cost Savings = (L_T+2 − L_T+0) × WACC_MNC</w:t>
      </w:r>
    </w:p>
    <w:p>
      <w:pPr>
        <w:spacing w:before="240" w:after="120" w:line="360" w:lineRule="auto"/>
        <w:jc w:val="left"/>
      </w:pPr>
      <w:r>
        <w:rPr>
          <w:rFonts w:ascii="Times New Roman" w:hAnsi="Times New Roman" w:cs="Times New Roman"/>
          <w:b/>
          <w:i w:val="0"/>
          <w:sz w:val="24"/>
        </w:rPr>
        <w:t>Appendix D: Data Sources Directory</w:t>
      </w:r>
    </w:p>
    <w:p>
      <w:pPr>
        <w:spacing w:line="360" w:lineRule="auto" w:after="80"/>
        <w:ind w:left="720"/>
      </w:pPr>
      <w:r>
        <w:rPr>
          <w:rFonts w:ascii="Times New Roman" w:hAnsi="Times New Roman" w:cs="Times New Roman"/>
          <w:b w:val="0"/>
          <w:i w:val="0"/>
          <w:sz w:val="24"/>
        </w:rPr>
        <w:t>BIS CPMI Red Book statistics — https://stats.bis.org/statx/srs/table/T1</w:t>
      </w:r>
    </w:p>
    <w:p>
      <w:pPr>
        <w:spacing w:line="360" w:lineRule="auto" w:after="80"/>
        <w:ind w:left="720"/>
      </w:pPr>
      <w:r>
        <w:rPr>
          <w:rFonts w:ascii="Times New Roman" w:hAnsi="Times New Roman" w:cs="Times New Roman"/>
          <w:b w:val="0"/>
          <w:i w:val="0"/>
          <w:sz w:val="24"/>
        </w:rPr>
        <w:t>BIS Innovation Hub / Project Agora — https://www.bis.org/about/bisih/topics/fmis/agora.htm</w:t>
      </w:r>
    </w:p>
    <w:p>
      <w:pPr>
        <w:spacing w:line="360" w:lineRule="auto" w:after="80"/>
        <w:ind w:left="720"/>
      </w:pPr>
      <w:r>
        <w:rPr>
          <w:rFonts w:ascii="Times New Roman" w:hAnsi="Times New Roman" w:cs="Times New Roman"/>
          <w:b w:val="0"/>
          <w:i w:val="0"/>
          <w:sz w:val="24"/>
        </w:rPr>
        <w:t>BIS Innovation Hub / Project Dunbar — https://www.bis.org/publ/othp47.htm</w:t>
      </w:r>
    </w:p>
    <w:p>
      <w:pPr>
        <w:spacing w:line="360" w:lineRule="auto" w:after="80"/>
        <w:ind w:left="720"/>
      </w:pPr>
      <w:r>
        <w:rPr>
          <w:rFonts w:ascii="Times New Roman" w:hAnsi="Times New Roman" w:cs="Times New Roman"/>
          <w:b w:val="0"/>
          <w:i w:val="0"/>
          <w:sz w:val="24"/>
        </w:rPr>
        <w:t>J.P. Morgan Onyx — https://www.jpmorgan.com/onyx</w:t>
      </w:r>
    </w:p>
    <w:p>
      <w:pPr>
        <w:spacing w:line="360" w:lineRule="auto" w:after="80"/>
        <w:ind w:left="720"/>
      </w:pPr>
      <w:r>
        <w:rPr>
          <w:rFonts w:ascii="Times New Roman" w:hAnsi="Times New Roman" w:cs="Times New Roman"/>
          <w:b w:val="0"/>
          <w:i w:val="0"/>
          <w:sz w:val="24"/>
        </w:rPr>
        <w:t>RBI Digital Rupee pilot progress — https://www.rbi.org.in</w:t>
      </w:r>
    </w:p>
    <w:p>
      <w:pPr>
        <w:spacing w:line="360" w:lineRule="auto" w:after="80"/>
        <w:ind w:left="720"/>
      </w:pPr>
      <w:r>
        <w:rPr>
          <w:rFonts w:ascii="Times New Roman" w:hAnsi="Times New Roman" w:cs="Times New Roman"/>
          <w:b w:val="0"/>
          <w:i w:val="0"/>
          <w:sz w:val="24"/>
        </w:rPr>
        <w:t>FEDAI turnover statistics — https://www.fedai.org.in</w:t>
      </w:r>
    </w:p>
    <w:p>
      <w:pPr>
        <w:spacing w:line="360" w:lineRule="auto" w:after="80"/>
        <w:ind w:left="720"/>
      </w:pPr>
      <w:r>
        <w:rPr>
          <w:rFonts w:ascii="Times New Roman" w:hAnsi="Times New Roman" w:cs="Times New Roman"/>
          <w:b w:val="0"/>
          <w:i w:val="0"/>
          <w:sz w:val="24"/>
        </w:rPr>
        <w:t>SWIFT RMB Tracker / Watch — https://www.swift.com</w:t>
      </w:r>
    </w:p>
    <w:sectPr w:rsidR="00FC693F" w:rsidRPr="0006063C" w:rsidSect="00034616">
      <w:footerReference w:type="default" r:id="rId9"/>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val="0"/>
        <w:sz w:val="22"/>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