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00" w:before="200"/>
        <w:jc w:val="center"/>
      </w:pPr>
      <w:r>
        <w:rPr>
          <w:rFonts w:ascii="Arial" w:cs="Arial" w:eastAsia="Arial" w:hAnsi="Arial"/>
          <w:b/>
          <w:bCs/>
          <w:color w:val="1E5AA8"/>
          <w:sz w:val="64"/>
          <w:szCs w:val="64"/>
        </w:rPr>
        <w:t xml:space="preserve">BHARAT SAMPADA CHAIN</w:t>
      </w:r>
    </w:p>
    <w:p>
      <w:pPr>
        <w:spacing w:after="80" w:before="80"/>
        <w:jc w:val="center"/>
      </w:pPr>
      <w:r>
        <w:rPr>
          <w:rFonts w:ascii="Arial" w:cs="Arial" w:eastAsia="Arial" w:hAnsi="Arial"/>
          <w:i/>
          <w:iCs/>
          <w:color w:val="2E75B6"/>
          <w:sz w:val="28"/>
          <w:szCs w:val="28"/>
        </w:rPr>
        <w:t xml:space="preserve">India's Unified Blockchain Wealth Transparency System</w:t>
      </w:r>
    </w:p>
    <w:p>
      <w:pPr>
        <w:pBdr>
          <w:bottom w:val="single" w:color="2E75B6" w:sz="4" w:space="1"/>
        </w:pBdr>
        <w:spacing w:after="200" w:before="200"/>
      </w:pPr>
    </w:p>
    <w:p>
      <w:pPr>
        <w:spacing w:after="100" w:before="200"/>
        <w:jc w:val="center"/>
      </w:pPr>
      <w:r>
        <w:rPr>
          <w:rFonts w:ascii="Arial" w:cs="Arial" w:eastAsia="Arial" w:hAnsi="Arial"/>
          <w:b/>
          <w:bCs/>
          <w:color w:val="1F4E79"/>
          <w:sz w:val="28"/>
          <w:szCs w:val="28"/>
        </w:rPr>
        <w:t xml:space="preserve">PROTOTYPE CONCEPT WHITEPAPER</w:t>
      </w:r>
    </w:p>
    <w:p>
      <w:pPr>
        <w:spacing w:after="60" w:before="60"/>
        <w:jc w:val="center"/>
      </w:pPr>
      <w:r>
        <w:rPr>
          <w:rFonts w:ascii="Arial" w:cs="Arial" w:eastAsia="Arial" w:hAnsi="Arial"/>
          <w:color w:val="555555"/>
          <w:sz w:val="22"/>
          <w:szCs w:val="22"/>
        </w:rPr>
        <w:t xml:space="preserve">Version 1.0  |  April 2026</w:t>
      </w:r>
    </w:p>
    <w:p>
      <w:pPr>
        <w:spacing w:after="120" w:before="120"/>
      </w:pPr>
    </w:p>
    <w:p>
      <w:pPr>
        <w:spacing w:after="120" w:before="120"/>
      </w:pPr>
    </w:p>
    <w:p>
      <w:pPr>
        <w:spacing w:after="80" w:before="80"/>
        <w:jc w:val="center"/>
      </w:pPr>
      <w:r>
        <w:rPr>
          <w:rFonts w:ascii="Arial" w:cs="Arial" w:eastAsia="Arial" w:hAnsi="Arial"/>
          <w:color w:val="333333"/>
          <w:sz w:val="22"/>
          <w:szCs w:val="22"/>
        </w:rPr>
        <w:t xml:space="preserve">A Citizen-Driven Initiative for Financial Accountability,</w:t>
      </w:r>
    </w:p>
    <w:p>
      <w:pPr>
        <w:spacing w:after="40" w:before="40"/>
        <w:jc w:val="center"/>
      </w:pPr>
      <w:r>
        <w:rPr>
          <w:rFonts w:ascii="Arial" w:cs="Arial" w:eastAsia="Arial" w:hAnsi="Arial"/>
          <w:color w:val="333333"/>
          <w:sz w:val="22"/>
          <w:szCs w:val="22"/>
        </w:rPr>
        <w:t xml:space="preserve">Anti-Corruption &amp; National Wealth Transparency</w:t>
      </w:r>
    </w:p>
    <w:p>
      <w:pPr>
        <w:spacing w:after="120" w:before="120"/>
      </w:pPr>
    </w:p>
    <w:p>
      <w:pPr>
        <w:spacing w:after="120" w:before="120"/>
      </w:pPr>
    </w:p>
    <w:p>
      <w:pPr>
        <w:spacing w:after="120" w:before="120"/>
      </w:pPr>
    </w:p>
    <w:p>
      <w:r>
        <w:br w:type="page"/>
      </w:r>
    </w:p>
    <w:p>
      <w:pPr>
        <w:pStyle w:val="Heading1"/>
        <w:spacing w:after="200" w:before="400"/>
      </w:pPr>
      <w:r>
        <w:rPr>
          <w:rFonts w:ascii="Arial" w:cs="Arial" w:eastAsia="Arial" w:hAnsi="Arial"/>
          <w:b/>
          <w:bCs/>
          <w:color w:val="1E5AA8"/>
          <w:sz w:val="32"/>
          <w:szCs w:val="32"/>
        </w:rPr>
        <w:t xml:space="preserve">Executive Summary</w:t>
      </w:r>
    </w:p>
    <w:p>
      <w:pPr>
        <w:pBdr>
          <w:bottom w:val="single" w:color="2E75B6" w:sz="4" w:space="1"/>
        </w:pBdr>
        <w:spacing w:after="200" w:before="200"/>
      </w:pPr>
    </w:p>
    <w:p>
      <w:pPr>
        <w:spacing w:after="100" w:before="80"/>
      </w:pPr>
      <w:r>
        <w:rPr>
          <w:rFonts w:ascii="Arial" w:cs="Arial" w:eastAsia="Arial" w:hAnsi="Arial"/>
          <w:sz w:val="22"/>
          <w:szCs w:val="22"/>
        </w:rPr>
        <w:t xml:space="preserve">India faces a fundamental challenge: while over 1.4 billion citizens are required to be accountable to the state, the state has no reliable mechanism to verify the true wealth of its citizens, politicians, or officials. This results in trillions of rupees lost annually to tax evasion, black money, benami property, and welfare fraud.</w:t>
      </w:r>
    </w:p>
    <w:p>
      <w:pPr>
        <w:spacing w:after="120" w:before="120"/>
      </w:pPr>
    </w:p>
    <w:p>
      <w:pPr>
        <w:spacing w:after="100" w:before="80"/>
      </w:pPr>
      <w:r>
        <w:rPr>
          <w:rFonts w:ascii="Arial" w:cs="Arial" w:eastAsia="Arial" w:hAnsi="Arial"/>
          <w:sz w:val="22"/>
          <w:szCs w:val="22"/>
        </w:rPr>
        <w:t xml:space="preserve">Bharat Sampada Chain (BSC) is a proposed blockchain-based Unified Wealth Transparency System that links every Indian citizen's property, land, bank balances, and financial assets to a single tamper-proof, privacy-respecting digital ledger — accessible to authorized government agencies, courts, and, for public officials, the general public.</w:t>
      </w:r>
    </w:p>
    <w:p>
      <w:pPr>
        <w:spacing w:after="120" w:before="120"/>
      </w:pPr>
    </w:p>
    <w:p>
      <w:pPr>
        <w:spacing w:after="100" w:before="80"/>
      </w:pPr>
      <w:r>
        <w:rPr>
          <w:rFonts w:ascii="Arial" w:cs="Arial" w:eastAsia="Arial" w:hAnsi="Arial"/>
          <w:sz w:val="22"/>
          <w:szCs w:val="22"/>
        </w:rPr>
        <w:t xml:space="preserve">This whitepaper presents the complete prototype concept, architecture, implementation roadmap, and governance framework for BSC. It is intended to be shared with civil society organizations, technology institutions, legal experts, Supreme Court advocates, and reform-minded policymakers.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Key Metric</w:t>
            </w:r>
          </w:p>
        </w:tc>
        <w:tc>
          <w:tcPr>
            <w:tcW w:type="dxa" w:w="3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Current Situation</w:t>
            </w:r>
          </w:p>
        </w:tc>
        <w:tc>
          <w:tcPr>
            <w:tcW w:type="dxa" w:w="33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After BSC</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Annual tax evasion</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₹7–10 lakh crore lost</w:t>
            </w:r>
          </w:p>
        </w:tc>
        <w:tc>
          <w:tcPr>
            <w:tcW w:type="dxa" w:w="3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40–60% recovered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Welfare scheme leakage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 lakh crore/year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Reduced by 70%</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Real estate black money</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₹2–3 lakh crore/year</w:t>
            </w:r>
          </w:p>
        </w:tc>
        <w:tc>
          <w:tcPr>
            <w:tcW w:type="dxa" w:w="3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Near elimination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Bank NPA fraud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lakh crore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Reduced by 50%</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Citizens paying income tax</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Only 3% of population</w:t>
            </w:r>
          </w:p>
        </w:tc>
        <w:tc>
          <w:tcPr>
            <w:tcW w:type="dxa" w:w="3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Broad compliance</w:t>
            </w:r>
          </w:p>
        </w:tc>
      </w:tr>
    </w:tbl>
    <w:p>
      <w:pPr>
        <w:spacing w:after="120" w:before="120"/>
      </w:pPr>
    </w:p>
    <w:p>
      <w:r>
        <w:br w:type="page"/>
      </w:r>
    </w:p>
    <w:p>
      <w:pPr>
        <w:pStyle w:val="Heading1"/>
        <w:spacing w:after="200" w:before="400"/>
      </w:pPr>
      <w:r>
        <w:rPr>
          <w:rFonts w:ascii="Arial" w:cs="Arial" w:eastAsia="Arial" w:hAnsi="Arial"/>
          <w:b/>
          <w:bCs/>
          <w:color w:val="1E5AA8"/>
          <w:sz w:val="32"/>
          <w:szCs w:val="32"/>
        </w:rPr>
        <w:t xml:space="preserve">1. The Problem — Why India Needs This Now</w:t>
      </w:r>
    </w:p>
    <w:p>
      <w:pPr>
        <w:pBdr>
          <w:bottom w:val="single" w:color="2E75B6" w:sz="4" w:space="1"/>
        </w:pBdr>
        <w:spacing w:after="200" w:before="200"/>
      </w:pPr>
    </w:p>
    <w:p>
      <w:pPr>
        <w:pStyle w:val="Heading2"/>
        <w:spacing w:after="160" w:before="300"/>
      </w:pPr>
      <w:r>
        <w:rPr>
          <w:rFonts w:ascii="Arial" w:cs="Arial" w:eastAsia="Arial" w:hAnsi="Arial"/>
          <w:b/>
          <w:bCs/>
          <w:color w:val="2E75B6"/>
          <w:sz w:val="26"/>
          <w:szCs w:val="26"/>
        </w:rPr>
        <w:t xml:space="preserve">1.1 The Wealth Opacity Crisis</w:t>
      </w:r>
    </w:p>
    <w:p>
      <w:pPr>
        <w:spacing w:after="100" w:before="80"/>
      </w:pPr>
      <w:r>
        <w:rPr>
          <w:rFonts w:ascii="Arial" w:cs="Arial" w:eastAsia="Arial" w:hAnsi="Arial"/>
          <w:sz w:val="22"/>
          <w:szCs w:val="22"/>
        </w:rPr>
        <w:t xml:space="preserve">India has a severe disconnect between declared wealth and actual wealth at every level of society. The key manifestations of this crisis include:</w:t>
      </w:r>
    </w:p>
    <w:p>
      <w:pPr>
        <w:spacing w:after="120" w:before="120"/>
      </w:pPr>
    </w:p>
    <w:p>
      <w:pPr>
        <w:pStyle w:val="ListParagraph"/>
        <w:numPr>
          <w:ilvl w:val="0"/>
          <w:numId w:val="2"/>
        </w:numPr>
        <w:spacing w:after="60" w:before="60"/>
      </w:pPr>
      <w:r>
        <w:rPr>
          <w:rFonts w:ascii="Arial" w:cs="Arial" w:eastAsia="Arial" w:hAnsi="Arial"/>
          <w:sz w:val="22"/>
          <w:szCs w:val="22"/>
        </w:rPr>
        <w:t xml:space="preserve">Only 3% of India's 1.4 billion population files income tax returns, yet millions visibly own multiple properties, luxury vehicles, and businesses.</w:t>
      </w:r>
    </w:p>
    <w:p>
      <w:pPr>
        <w:pStyle w:val="ListParagraph"/>
        <w:numPr>
          <w:ilvl w:val="0"/>
          <w:numId w:val="2"/>
        </w:numPr>
        <w:spacing w:after="60" w:before="60"/>
      </w:pPr>
      <w:r>
        <w:rPr>
          <w:rFonts w:ascii="Arial" w:cs="Arial" w:eastAsia="Arial" w:hAnsi="Arial"/>
          <w:sz w:val="22"/>
          <w:szCs w:val="22"/>
        </w:rPr>
        <w:t xml:space="preserve">Real estate transactions are routinely undervalued on paper by 30–70% to avoid stamp duty and capital gains tax.</w:t>
      </w:r>
    </w:p>
    <w:p>
      <w:pPr>
        <w:pStyle w:val="ListParagraph"/>
        <w:numPr>
          <w:ilvl w:val="0"/>
          <w:numId w:val="2"/>
        </w:numPr>
        <w:spacing w:after="60" w:before="60"/>
      </w:pPr>
      <w:r>
        <w:rPr>
          <w:rFonts w:ascii="Arial" w:cs="Arial" w:eastAsia="Arial" w:hAnsi="Arial"/>
          <w:sz w:val="22"/>
          <w:szCs w:val="22"/>
        </w:rPr>
        <w:t xml:space="preserve">Benami property — held in relatives' or employees' names to hide true ownership — runs into lakhs of crores of rupees.</w:t>
      </w:r>
    </w:p>
    <w:p>
      <w:pPr>
        <w:pStyle w:val="ListParagraph"/>
        <w:numPr>
          <w:ilvl w:val="0"/>
          <w:numId w:val="2"/>
        </w:numPr>
        <w:spacing w:after="60" w:before="60"/>
      </w:pPr>
      <w:r>
        <w:rPr>
          <w:rFonts w:ascii="Arial" w:cs="Arial" w:eastAsia="Arial" w:hAnsi="Arial"/>
          <w:sz w:val="22"/>
          <w:szCs w:val="22"/>
        </w:rPr>
        <w:t xml:space="preserve">Politicians declared average assets of ₹3.36 crore in 2019 elections; independent analysts estimate true wealth is 5–10x higher.</w:t>
      </w:r>
    </w:p>
    <w:p>
      <w:pPr>
        <w:pStyle w:val="ListParagraph"/>
        <w:numPr>
          <w:ilvl w:val="0"/>
          <w:numId w:val="2"/>
        </w:numPr>
        <w:spacing w:after="60" w:before="60"/>
      </w:pPr>
      <w:r>
        <w:rPr>
          <w:rFonts w:ascii="Arial" w:cs="Arial" w:eastAsia="Arial" w:hAnsi="Arial"/>
          <w:sz w:val="22"/>
          <w:szCs w:val="22"/>
        </w:rPr>
        <w:t xml:space="preserve">Welfare schemes worth over ₹1.5 lakh crore annually leak to ineligible beneficiaries because there is no cross-verification system.</w:t>
      </w:r>
    </w:p>
    <w:p>
      <w:pPr>
        <w:spacing w:after="120" w:before="120"/>
      </w:pPr>
    </w:p>
    <w:p>
      <w:pPr>
        <w:pStyle w:val="Heading2"/>
        <w:spacing w:after="160" w:before="300"/>
      </w:pPr>
      <w:r>
        <w:rPr>
          <w:rFonts w:ascii="Arial" w:cs="Arial" w:eastAsia="Arial" w:hAnsi="Arial"/>
          <w:b/>
          <w:bCs/>
          <w:color w:val="2E75B6"/>
          <w:sz w:val="26"/>
          <w:szCs w:val="26"/>
        </w:rPr>
        <w:t xml:space="preserve">1.2 Why Existing Systems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Existing System</w:t>
            </w:r>
          </w:p>
        </w:tc>
        <w:tc>
          <w:tcPr>
            <w:tcW w:type="dxa" w:w="3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tcW w:type="dxa" w:w="38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Critical Gap</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Income Tax Returns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Self-reported income filing</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No cross-verification with assets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Benami Act 2016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Targets proxy property holders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Weak enforcement, slow courts</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Election Affidavits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Politician asset declaration</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Self-reported, rarely verified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Aadhaar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Identity verification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linked to assets or wealth</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DILRMP</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Digital land records</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Incomplete, fragmented by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Demonetization 2016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undisclosed cash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Black money mostly in property/gold</w:t>
            </w:r>
          </w:p>
        </w:tc>
      </w:tr>
    </w:tbl>
    <w:p>
      <w:pPr>
        <w:spacing w:after="120" w:before="120"/>
      </w:pPr>
    </w:p>
    <w:p>
      <w:pPr>
        <w:pStyle w:val="Heading2"/>
        <w:spacing w:after="160" w:before="300"/>
      </w:pPr>
      <w:r>
        <w:rPr>
          <w:rFonts w:ascii="Arial" w:cs="Arial" w:eastAsia="Arial" w:hAnsi="Arial"/>
          <w:b/>
          <w:bCs/>
          <w:color w:val="2E75B6"/>
          <w:sz w:val="26"/>
          <w:szCs w:val="26"/>
        </w:rPr>
        <w:t xml:space="preserve">1.3 The Core Paradox</w:t>
      </w:r>
    </w:p>
    <w:p>
      <w:pPr>
        <w:spacing w:after="100" w:before="80"/>
      </w:pPr>
      <w:r>
        <w:rPr>
          <w:rFonts w:ascii="Arial" w:cs="Arial" w:eastAsia="Arial" w:hAnsi="Arial"/>
          <w:sz w:val="22"/>
          <w:szCs w:val="22"/>
        </w:rPr>
        <w:t xml:space="preserve">The most critical barrier to reform is structural: the lawmakers who must approve a transparency system are the same individuals who benefit most from the current opacity. This means reform cannot wait for political will — it must be built from outside the system and forced through civil society pressure, judicial intervention, and international accountability standards.</w:t>
      </w:r>
    </w:p>
    <w:p>
      <w:pPr>
        <w:spacing w:after="120" w:before="120"/>
      </w:pPr>
    </w:p>
    <w:p>
      <w:r>
        <w:br w:type="page"/>
      </w:r>
    </w:p>
    <w:p>
      <w:pPr>
        <w:pStyle w:val="Heading1"/>
        <w:spacing w:after="200" w:before="400"/>
      </w:pPr>
      <w:r>
        <w:rPr>
          <w:rFonts w:ascii="Arial" w:cs="Arial" w:eastAsia="Arial" w:hAnsi="Arial"/>
          <w:b/>
          <w:bCs/>
          <w:color w:val="1E5AA8"/>
          <w:sz w:val="32"/>
          <w:szCs w:val="32"/>
        </w:rPr>
        <w:t xml:space="preserve">2. The Solution — Bharat Sampada Chain</w:t>
      </w:r>
    </w:p>
    <w:p>
      <w:pPr>
        <w:pBdr>
          <w:bottom w:val="single" w:color="2E75B6" w:sz="4" w:space="1"/>
        </w:pBdr>
        <w:spacing w:after="200" w:before="200"/>
      </w:pPr>
    </w:p>
    <w:p>
      <w:pPr>
        <w:pStyle w:val="Heading2"/>
        <w:spacing w:after="160" w:before="300"/>
      </w:pPr>
      <w:r>
        <w:rPr>
          <w:rFonts w:ascii="Arial" w:cs="Arial" w:eastAsia="Arial" w:hAnsi="Arial"/>
          <w:b/>
          <w:bCs/>
          <w:color w:val="2E75B6"/>
          <w:sz w:val="26"/>
          <w:szCs w:val="26"/>
        </w:rPr>
        <w:t xml:space="preserve">2.1 Core Concept</w:t>
      </w:r>
    </w:p>
    <w:p>
      <w:pPr>
        <w:spacing w:after="100" w:before="80"/>
      </w:pPr>
      <w:r>
        <w:rPr>
          <w:rFonts w:ascii="Arial" w:cs="Arial" w:eastAsia="Arial" w:hAnsi="Arial"/>
          <w:sz w:val="22"/>
          <w:szCs w:val="22"/>
        </w:rPr>
        <w:t xml:space="preserve">Bharat Sampada Chain (BSC) is a permissioned blockchain network that creates an immutable, tamper-proof registry of every Indian citizen's assets — property, land, bank balances, investments, and business ownership — linked to a unique cryptographic identity derived from Aadhaar + PAN.</w:t>
      </w:r>
    </w:p>
    <w:p>
      <w:pPr>
        <w:spacing w:after="120" w:before="120"/>
      </w:pPr>
    </w:p>
    <w:p>
      <w:pPr>
        <w:spacing w:after="100" w:before="80"/>
      </w:pPr>
      <w:r>
        <w:rPr>
          <w:rFonts w:ascii="Arial" w:cs="Arial" w:eastAsia="Arial" w:hAnsi="Arial"/>
          <w:sz w:val="22"/>
          <w:szCs w:val="22"/>
        </w:rPr>
        <w:t xml:space="preserve">The system uses Zero-Knowledge Proof (ZKP) cryptography to ensure that privacy is protected for ordinary citizens while full accountability is enforced for public officials, politicians, and government employees.</w:t>
      </w:r>
    </w:p>
    <w:p>
      <w:pPr>
        <w:spacing w:after="120" w:before="120"/>
      </w:pPr>
    </w:p>
    <w:p>
      <w:pPr>
        <w:pStyle w:val="Heading2"/>
        <w:spacing w:after="160" w:before="300"/>
      </w:pPr>
      <w:r>
        <w:rPr>
          <w:rFonts w:ascii="Arial" w:cs="Arial" w:eastAsia="Arial" w:hAnsi="Arial"/>
          <w:b/>
          <w:bCs/>
          <w:color w:val="2E75B6"/>
          <w:sz w:val="26"/>
          <w:szCs w:val="26"/>
        </w:rPr>
        <w:t xml:space="preserve">2.2 Why Blockchain is the Right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Problem</w:t>
            </w:r>
          </w:p>
        </w:tc>
        <w:tc>
          <w:tcPr>
            <w:tcW w:type="dxa" w:w="53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Blockchain Solution</w:t>
            </w:r>
          </w:p>
        </w:tc>
      </w:tr>
      <w:tr>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Officials tamper with records</w:t>
            </w:r>
          </w:p>
        </w:tc>
        <w:tc>
          <w:tcPr>
            <w:tcW w:type="dxa" w:w="5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Immutable ledger — no entry can be altered after recording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Centralized database gets hacked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Decentralized nodes — no single point of failure</w:t>
            </w:r>
          </w:p>
        </w:tc>
      </w:tr>
      <w:tr>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Agencies don't trust each other</w:t>
            </w:r>
          </w:p>
        </w:tc>
        <w:tc>
          <w:tcPr>
            <w:tcW w:type="dxa" w:w="5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Smart contracts execute automatically without intermediaries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Fake property documents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Cryptographic proof — every document has a verifiable hash</w:t>
            </w:r>
          </w:p>
        </w:tc>
      </w:tr>
      <w:tr>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Corruption in data entry</w:t>
            </w:r>
          </w:p>
        </w:tc>
        <w:tc>
          <w:tcPr>
            <w:tcW w:type="dxa" w:w="5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Transparent audit trail — every change is permanently logged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Privacy concerns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Zero-Knowledge Proofs — verify facts without exposing raw data</w:t>
            </w:r>
          </w:p>
        </w:tc>
      </w:tr>
    </w:tbl>
    <w:p>
      <w:pPr>
        <w:spacing w:after="120" w:before="120"/>
      </w:pPr>
    </w:p>
    <w:p>
      <w:r>
        <w:br w:type="page"/>
      </w:r>
    </w:p>
    <w:p>
      <w:pPr>
        <w:pStyle w:val="Heading1"/>
        <w:spacing w:after="200" w:before="400"/>
      </w:pPr>
      <w:r>
        <w:rPr>
          <w:rFonts w:ascii="Arial" w:cs="Arial" w:eastAsia="Arial" w:hAnsi="Arial"/>
          <w:b/>
          <w:bCs/>
          <w:color w:val="1E5AA8"/>
          <w:sz w:val="32"/>
          <w:szCs w:val="32"/>
        </w:rPr>
        <w:t xml:space="preserve">3. System Architecture — Five Modules</w:t>
      </w:r>
    </w:p>
    <w:p>
      <w:pPr>
        <w:pBdr>
          <w:bottom w:val="single" w:color="2E75B6" w:sz="4" w:space="1"/>
        </w:pBdr>
        <w:spacing w:after="200" w:before="200"/>
      </w:pPr>
    </w:p>
    <w:p>
      <w:pPr>
        <w:spacing w:after="100" w:before="80"/>
      </w:pPr>
      <w:r>
        <w:rPr>
          <w:rFonts w:ascii="Arial" w:cs="Arial" w:eastAsia="Arial" w:hAnsi="Arial"/>
          <w:sz w:val="22"/>
          <w:szCs w:val="22"/>
        </w:rPr>
        <w:t xml:space="preserve">BSC is built on five interconnected modules, each handling a specific layer of wealth data:</w:t>
      </w:r>
    </w:p>
    <w:p>
      <w:pPr>
        <w:spacing w:after="120" w:before="120"/>
      </w:pPr>
    </w:p>
    <w:p>
      <w:pPr>
        <w:pStyle w:val="Heading2"/>
        <w:spacing w:after="160" w:before="300"/>
      </w:pPr>
      <w:r>
        <w:rPr>
          <w:rFonts w:ascii="Arial" w:cs="Arial" w:eastAsia="Arial" w:hAnsi="Arial"/>
          <w:b/>
          <w:bCs/>
          <w:color w:val="2E75B6"/>
          <w:sz w:val="26"/>
          <w:szCs w:val="26"/>
        </w:rPr>
        <w:t xml:space="preserve">Module 1 — Identity Layer</w:t>
      </w:r>
    </w:p>
    <w:p>
      <w:pPr>
        <w:spacing w:after="120" w:before="200"/>
      </w:pPr>
      <w:r>
        <w:rPr>
          <w:rFonts w:ascii="Arial" w:cs="Arial" w:eastAsia="Arial" w:hAnsi="Arial"/>
          <w:b/>
          <w:bCs/>
          <w:color w:val="1F4E79"/>
          <w:sz w:val="24"/>
          <w:szCs w:val="24"/>
        </w:rPr>
        <w:t xml:space="preserve">Purpose: Establish a unique, tamper-proof digital identity for every citizen</w:t>
      </w:r>
    </w:p>
    <w:p>
      <w:pPr>
        <w:spacing w:after="120" w:before="120"/>
      </w:pPr>
    </w:p>
    <w:p>
      <w:pPr>
        <w:pStyle w:val="ListParagraph"/>
        <w:numPr>
          <w:ilvl w:val="0"/>
          <w:numId w:val="2"/>
        </w:numPr>
        <w:spacing w:after="60" w:before="60"/>
      </w:pPr>
      <w:r>
        <w:rPr>
          <w:rFonts w:ascii="Arial" w:cs="Arial" w:eastAsia="Arial" w:hAnsi="Arial"/>
          <w:sz w:val="22"/>
          <w:szCs w:val="22"/>
        </w:rPr>
        <w:t xml:space="preserve">Every citizen receives a blockchain wallet address derived from their Aadhaar + PAN combination</w:t>
      </w:r>
    </w:p>
    <w:p>
      <w:pPr>
        <w:pStyle w:val="ListParagraph"/>
        <w:numPr>
          <w:ilvl w:val="0"/>
          <w:numId w:val="2"/>
        </w:numPr>
        <w:spacing w:after="60" w:before="60"/>
      </w:pPr>
      <w:r>
        <w:rPr>
          <w:rFonts w:ascii="Arial" w:cs="Arial" w:eastAsia="Arial" w:hAnsi="Arial"/>
          <w:sz w:val="22"/>
          <w:szCs w:val="22"/>
        </w:rPr>
        <w:t xml:space="preserve">Biometric authentication (fingerprint + iris) required for any transaction or data update</w:t>
      </w:r>
    </w:p>
    <w:p>
      <w:pPr>
        <w:pStyle w:val="ListParagraph"/>
        <w:numPr>
          <w:ilvl w:val="0"/>
          <w:numId w:val="2"/>
        </w:numPr>
        <w:spacing w:after="60" w:before="60"/>
      </w:pPr>
      <w:r>
        <w:rPr>
          <w:rFonts w:ascii="Arial" w:cs="Arial" w:eastAsia="Arial" w:hAnsi="Arial"/>
          <w:sz w:val="22"/>
          <w:szCs w:val="22"/>
        </w:rPr>
        <w:t xml:space="preserve">Zero-Knowledge Proof (ZKP) used to verify identity without exposing raw Aadhaar data</w:t>
      </w:r>
    </w:p>
    <w:p>
      <w:pPr>
        <w:pStyle w:val="ListParagraph"/>
        <w:numPr>
          <w:ilvl w:val="0"/>
          <w:numId w:val="2"/>
        </w:numPr>
        <w:spacing w:after="60" w:before="60"/>
      </w:pPr>
      <w:r>
        <w:rPr>
          <w:rFonts w:ascii="Arial" w:cs="Arial" w:eastAsia="Arial" w:hAnsi="Arial"/>
          <w:sz w:val="22"/>
          <w:szCs w:val="22"/>
        </w:rPr>
        <w:t xml:space="preserve">Private keys held by citizen; government holds no master decryption key</w:t>
      </w:r>
    </w:p>
    <w:p>
      <w:pPr>
        <w:pStyle w:val="ListParagraph"/>
        <w:numPr>
          <w:ilvl w:val="0"/>
          <w:numId w:val="2"/>
        </w:numPr>
        <w:spacing w:after="60" w:before="60"/>
      </w:pPr>
      <w:r>
        <w:rPr>
          <w:rFonts w:ascii="Arial" w:cs="Arial" w:eastAsia="Arial" w:hAnsi="Arial"/>
          <w:sz w:val="22"/>
          <w:szCs w:val="22"/>
        </w:rPr>
        <w:t xml:space="preserve">Lost key recovery through multi-factor biometric + OTP process</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IDENTITY NODE STRUCTURE:</w:t>
            </w:r>
          </w:p>
          <w:p>
            <w:pPr>
              <w:spacing w:after="20" w:before="20"/>
            </w:pPr>
            <w:r>
              <w:rPr>
                <w:rFonts w:ascii="Courier New" w:cs="Courier New" w:eastAsia="Courier New" w:hAnsi="Courier New"/>
                <w:color w:val="A8D8A8"/>
                <w:sz w:val="18"/>
                <w:szCs w:val="18"/>
              </w:rPr>
              <w:t xml:space="preserve">citizen_node {</w:t>
            </w:r>
          </w:p>
          <w:p>
            <w:pPr>
              <w:spacing w:after="20" w:before="20"/>
            </w:pPr>
            <w:r>
              <w:rPr>
                <w:rFonts w:ascii="Courier New" w:cs="Courier New" w:eastAsia="Courier New" w:hAnsi="Courier New"/>
                <w:color w:val="A8D8A8"/>
                <w:sz w:val="18"/>
                <w:szCs w:val="18"/>
              </w:rPr>
              <w:t xml:space="preserve">  wallet_address:  SHA256(Aadhaar_hash + PAN_hash)</w:t>
            </w:r>
          </w:p>
          <w:p>
            <w:pPr>
              <w:spacing w:after="20" w:before="20"/>
            </w:pPr>
            <w:r>
              <w:rPr>
                <w:rFonts w:ascii="Courier New" w:cs="Courier New" w:eastAsia="Courier New" w:hAnsi="Courier New"/>
                <w:color w:val="A8D8A8"/>
                <w:sz w:val="18"/>
                <w:szCs w:val="18"/>
              </w:rPr>
              <w:t xml:space="preserve">  identity_proof:  ZK_proof(biometric_verified = true)</w:t>
            </w:r>
          </w:p>
          <w:p>
            <w:pPr>
              <w:spacing w:after="20" w:before="20"/>
            </w:pPr>
            <w:r>
              <w:rPr>
                <w:rFonts w:ascii="Courier New" w:cs="Courier New" w:eastAsia="Courier New" w:hAnsi="Courier New"/>
                <w:color w:val="A8D8A8"/>
                <w:sz w:val="18"/>
                <w:szCs w:val="18"/>
              </w:rPr>
              <w:t xml:space="preserve">  kyc_level:       [1=basic | 2=financial | 3=full]</w:t>
            </w:r>
          </w:p>
          <w:p>
            <w:pPr>
              <w:spacing w:after="20" w:before="20"/>
            </w:pPr>
            <w:r>
              <w:rPr>
                <w:rFonts w:ascii="Courier New" w:cs="Courier New" w:eastAsia="Courier New" w:hAnsi="Courier New"/>
                <w:color w:val="A8D8A8"/>
                <w:sz w:val="18"/>
                <w:szCs w:val="18"/>
              </w:rPr>
              <w:t xml:space="preserve">  linked_assets:   [property_ids[], bank_ids[], investment_ids[]]</w:t>
            </w:r>
          </w:p>
          <w:p>
            <w:pPr>
              <w:spacing w:after="20" w:before="20"/>
            </w:pPr>
            <w:r>
              <w:rPr>
                <w:rFonts w:ascii="Courier New" w:cs="Courier New" w:eastAsia="Courier New" w:hAnsi="Courier New"/>
                <w:color w:val="A8D8A8"/>
                <w:sz w:val="18"/>
                <w:szCs w:val="18"/>
              </w:rPr>
              <w:t xml:space="preserve">  last_verified:   timestamp</w:t>
            </w:r>
          </w:p>
          <w:p>
            <w:pPr>
              <w:spacing w:after="20" w:before="20"/>
            </w:pPr>
            <w:r>
              <w:rPr>
                <w:rFonts w:ascii="Courier New" w:cs="Courier New" w:eastAsia="Courier New" w:hAnsi="Courier New"/>
                <w:color w:val="A8D8A8"/>
                <w:sz w:val="18"/>
                <w:szCs w:val="18"/>
              </w:rPr>
              <w:t xml:space="preserve">  node_type:       [citizen | public_official | politician]</w:t>
            </w:r>
          </w:p>
          <w:p>
            <w:pPr>
              <w:spacing w:after="20" w:before="20"/>
            </w:pPr>
            <w:r>
              <w:rPr>
                <w:rFonts w:ascii="Courier New" w:cs="Courier New" w:eastAsia="Courier New" w:hAnsi="Courier New"/>
                <w:color w:val="A8D8A8"/>
                <w:sz w:val="18"/>
                <w:szCs w:val="18"/>
              </w:rPr>
              <w:t xml:space="preserve">}</w:t>
            </w:r>
          </w:p>
        </w:tc>
      </w:tr>
    </w:tbl>
    <w:p>
      <w:pPr>
        <w:spacing w:after="120" w:before="120"/>
      </w:pPr>
    </w:p>
    <w:p>
      <w:pPr>
        <w:pStyle w:val="Heading2"/>
        <w:spacing w:after="160" w:before="300"/>
      </w:pPr>
      <w:r>
        <w:rPr>
          <w:rFonts w:ascii="Arial" w:cs="Arial" w:eastAsia="Arial" w:hAnsi="Arial"/>
          <w:b/>
          <w:bCs/>
          <w:color w:val="2E75B6"/>
          <w:sz w:val="26"/>
          <w:szCs w:val="26"/>
        </w:rPr>
        <w:t xml:space="preserve">Module 2 — Property &amp; Land Registry</w:t>
      </w:r>
    </w:p>
    <w:p>
      <w:pPr>
        <w:spacing w:after="120" w:before="200"/>
      </w:pPr>
      <w:r>
        <w:rPr>
          <w:rFonts w:ascii="Arial" w:cs="Arial" w:eastAsia="Arial" w:hAnsi="Arial"/>
          <w:b/>
          <w:bCs/>
          <w:color w:val="1F4E79"/>
          <w:sz w:val="24"/>
          <w:szCs w:val="24"/>
        </w:rPr>
        <w:t xml:space="preserve">Purpose: Create an unalterable record of all land and property ownership in India</w:t>
      </w:r>
    </w:p>
    <w:p>
      <w:pPr>
        <w:spacing w:after="120" w:before="120"/>
      </w:pPr>
    </w:p>
    <w:p>
      <w:pPr>
        <w:pStyle w:val="ListParagraph"/>
        <w:numPr>
          <w:ilvl w:val="0"/>
          <w:numId w:val="2"/>
        </w:numPr>
        <w:spacing w:after="60" w:before="60"/>
      </w:pPr>
      <w:r>
        <w:rPr>
          <w:rFonts w:ascii="Arial" w:cs="Arial" w:eastAsia="Arial" w:hAnsi="Arial"/>
          <w:sz w:val="22"/>
          <w:szCs w:val="22"/>
        </w:rPr>
        <w:t xml:space="preserve">Every property transaction (sale, purchase, inheritance, gift) recorded on blockchain at point of stamp duty payment</w:t>
      </w:r>
    </w:p>
    <w:p>
      <w:pPr>
        <w:pStyle w:val="ListParagraph"/>
        <w:numPr>
          <w:ilvl w:val="0"/>
          <w:numId w:val="2"/>
        </w:numPr>
        <w:spacing w:after="60" w:before="60"/>
      </w:pPr>
      <w:r>
        <w:rPr>
          <w:rFonts w:ascii="Arial" w:cs="Arial" w:eastAsia="Arial" w:hAnsi="Arial"/>
          <w:sz w:val="22"/>
          <w:szCs w:val="22"/>
        </w:rPr>
        <w:t xml:space="preserve">No manual intervention possible — transaction auto-records when payment confirmed</w:t>
      </w:r>
    </w:p>
    <w:p>
      <w:pPr>
        <w:pStyle w:val="ListParagraph"/>
        <w:numPr>
          <w:ilvl w:val="0"/>
          <w:numId w:val="2"/>
        </w:numPr>
        <w:spacing w:after="60" w:before="60"/>
      </w:pPr>
      <w:r>
        <w:rPr>
          <w:rFonts w:ascii="Arial" w:cs="Arial" w:eastAsia="Arial" w:hAnsi="Arial"/>
          <w:sz w:val="22"/>
          <w:szCs w:val="22"/>
        </w:rPr>
        <w:t xml:space="preserve">Eliminates bribery at registration offices by removing human discretion from the process</w:t>
      </w:r>
    </w:p>
    <w:p>
      <w:pPr>
        <w:pStyle w:val="ListParagraph"/>
        <w:numPr>
          <w:ilvl w:val="0"/>
          <w:numId w:val="2"/>
        </w:numPr>
        <w:spacing w:after="60" w:before="60"/>
      </w:pPr>
      <w:r>
        <w:rPr>
          <w:rFonts w:ascii="Arial" w:cs="Arial" w:eastAsia="Arial" w:hAnsi="Arial"/>
          <w:sz w:val="22"/>
          <w:szCs w:val="22"/>
        </w:rPr>
        <w:t xml:space="preserve">Links to state DILRMP land records, municipal property tax databases, and court encumbrance records</w:t>
      </w:r>
    </w:p>
    <w:p>
      <w:pPr>
        <w:pStyle w:val="ListParagraph"/>
        <w:numPr>
          <w:ilvl w:val="0"/>
          <w:numId w:val="2"/>
        </w:numPr>
        <w:spacing w:after="60" w:before="60"/>
      </w:pPr>
      <w:r>
        <w:rPr>
          <w:rFonts w:ascii="Arial" w:cs="Arial" w:eastAsia="Arial" w:hAnsi="Arial"/>
          <w:sz w:val="22"/>
          <w:szCs w:val="22"/>
        </w:rPr>
        <w:t xml:space="preserve">Historical chain of ownership fully traceable — impossible to insert fake prior owners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Data Field</w:t>
            </w:r>
          </w:p>
        </w:tc>
        <w:tc>
          <w:tcPr>
            <w:tcW w:type="dxa" w:w="3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Source</w:t>
            </w:r>
          </w:p>
        </w:tc>
        <w:tc>
          <w:tcPr>
            <w:tcW w:type="dxa" w:w="35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Update Trigger</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Property location &amp; survey number</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State land records (DILRMP)</w:t>
            </w:r>
          </w:p>
        </w:tc>
        <w:tc>
          <w:tcPr>
            <w:tcW w:type="dxa" w:w="35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Initial digitization + every transfer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Current owner 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Registration office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Every sale/gift/inheritance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Declared transaction value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Stamp duty payment</w:t>
            </w:r>
          </w:p>
        </w:tc>
        <w:tc>
          <w:tcPr>
            <w:tcW w:type="dxa" w:w="35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Every transfer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Market value estimate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Government circle rates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Annual update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Encumbrance / mortgage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CERSAI registry</w:t>
            </w:r>
          </w:p>
        </w:tc>
        <w:tc>
          <w:tcPr>
            <w:tcW w:type="dxa" w:w="35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Every loan/discharge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Court disputes / stay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e-Courts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Real-time</w:t>
            </w:r>
          </w:p>
        </w:tc>
      </w:tr>
    </w:tbl>
    <w:p>
      <w:pPr>
        <w:spacing w:after="120" w:before="120"/>
      </w:pPr>
    </w:p>
    <w:p>
      <w:pPr>
        <w:pStyle w:val="Heading2"/>
        <w:spacing w:after="160" w:before="300"/>
      </w:pPr>
      <w:r>
        <w:rPr>
          <w:rFonts w:ascii="Arial" w:cs="Arial" w:eastAsia="Arial" w:hAnsi="Arial"/>
          <w:b/>
          <w:bCs/>
          <w:color w:val="2E75B6"/>
          <w:sz w:val="26"/>
          <w:szCs w:val="26"/>
        </w:rPr>
        <w:t xml:space="preserve">Module 3 — Financial Assets Layer</w:t>
      </w:r>
    </w:p>
    <w:p>
      <w:pPr>
        <w:spacing w:after="120" w:before="200"/>
      </w:pPr>
      <w:r>
        <w:rPr>
          <w:rFonts w:ascii="Arial" w:cs="Arial" w:eastAsia="Arial" w:hAnsi="Arial"/>
          <w:b/>
          <w:bCs/>
          <w:color w:val="1F4E79"/>
          <w:sz w:val="24"/>
          <w:szCs w:val="24"/>
        </w:rPr>
        <w:t xml:space="preserve">Purpose: Link all financial holdings to the citizen's identity node</w:t>
      </w:r>
    </w:p>
    <w:p>
      <w:pPr>
        <w:spacing w:after="120" w:before="120"/>
      </w:pPr>
    </w:p>
    <w:p>
      <w:pPr>
        <w:pStyle w:val="ListParagraph"/>
        <w:numPr>
          <w:ilvl w:val="0"/>
          <w:numId w:val="2"/>
        </w:numPr>
        <w:spacing w:after="60" w:before="60"/>
      </w:pPr>
      <w:r>
        <w:rPr>
          <w:rFonts w:ascii="Arial" w:cs="Arial" w:eastAsia="Arial" w:hAnsi="Arial"/>
          <w:sz w:val="22"/>
          <w:szCs w:val="22"/>
        </w:rPr>
        <w:t xml:space="preserve">RBI mandates all scheduled banks to write account balance ranges (not exact amounts) to BSC quarterly</w:t>
      </w:r>
    </w:p>
    <w:p>
      <w:pPr>
        <w:pStyle w:val="ListParagraph"/>
        <w:numPr>
          <w:ilvl w:val="0"/>
          <w:numId w:val="2"/>
        </w:numPr>
        <w:spacing w:after="60" w:before="60"/>
      </w:pPr>
      <w:r>
        <w:rPr>
          <w:rFonts w:ascii="Arial" w:cs="Arial" w:eastAsia="Arial" w:hAnsi="Arial"/>
          <w:sz w:val="22"/>
          <w:szCs w:val="22"/>
        </w:rPr>
        <w:t xml:space="preserve">SEBI links mutual fund, stock portfolio, and demat account holdings</w:t>
      </w:r>
    </w:p>
    <w:p>
      <w:pPr>
        <w:pStyle w:val="ListParagraph"/>
        <w:numPr>
          <w:ilvl w:val="0"/>
          <w:numId w:val="2"/>
        </w:numPr>
        <w:spacing w:after="60" w:before="60"/>
      </w:pPr>
      <w:r>
        <w:rPr>
          <w:rFonts w:ascii="Arial" w:cs="Arial" w:eastAsia="Arial" w:hAnsi="Arial"/>
          <w:sz w:val="22"/>
          <w:szCs w:val="22"/>
        </w:rPr>
        <w:t xml:space="preserve">EPFO/NPS/PPF balances linked via PFRDA and EPFO APIs</w:t>
      </w:r>
    </w:p>
    <w:p>
      <w:pPr>
        <w:pStyle w:val="ListParagraph"/>
        <w:numPr>
          <w:ilvl w:val="0"/>
          <w:numId w:val="2"/>
        </w:numPr>
        <w:spacing w:after="60" w:before="60"/>
      </w:pPr>
      <w:r>
        <w:rPr>
          <w:rFonts w:ascii="Arial" w:cs="Arial" w:eastAsia="Arial" w:hAnsi="Arial"/>
          <w:sz w:val="22"/>
          <w:szCs w:val="22"/>
        </w:rPr>
        <w:t xml:space="preserve">Foreign assets declared under FEMA linked via RBI's enforcement directorate</w:t>
      </w:r>
    </w:p>
    <w:p>
      <w:pPr>
        <w:pStyle w:val="ListParagraph"/>
        <w:numPr>
          <w:ilvl w:val="0"/>
          <w:numId w:val="2"/>
        </w:numPr>
        <w:spacing w:after="60" w:before="60"/>
      </w:pPr>
      <w:r>
        <w:rPr>
          <w:rFonts w:ascii="Arial" w:cs="Arial" w:eastAsia="Arial" w:hAnsi="Arial"/>
          <w:sz w:val="22"/>
          <w:szCs w:val="22"/>
        </w:rPr>
        <w:t xml:space="preserve">Crypto holdings linked via SEBI-registered Virtual Digital Asset (VDA) exchanges</w:t>
      </w:r>
    </w:p>
    <w:p>
      <w:pPr>
        <w:pStyle w:val="ListParagraph"/>
        <w:numPr>
          <w:ilvl w:val="0"/>
          <w:numId w:val="2"/>
        </w:numPr>
        <w:spacing w:after="60" w:before="60"/>
      </w:pPr>
      <w:r>
        <w:rPr>
          <w:rFonts w:ascii="Arial" w:cs="Arial" w:eastAsia="Arial" w:hAnsi="Arial"/>
          <w:sz w:val="22"/>
          <w:szCs w:val="22"/>
        </w:rPr>
        <w:t xml:space="preserve">Insurance policies linked via IRDAI's insurance repository</w:t>
      </w:r>
    </w:p>
    <w:p>
      <w:pPr>
        <w:spacing w:after="120" w:before="120"/>
      </w:pPr>
    </w:p>
    <w:p>
      <w:pPr>
        <w:pStyle w:val="Heading2"/>
        <w:spacing w:after="160" w:before="300"/>
      </w:pPr>
      <w:r>
        <w:rPr>
          <w:rFonts w:ascii="Arial" w:cs="Arial" w:eastAsia="Arial" w:hAnsi="Arial"/>
          <w:b/>
          <w:bCs/>
          <w:color w:val="2E75B6"/>
          <w:sz w:val="26"/>
          <w:szCs w:val="26"/>
        </w:rPr>
        <w:t xml:space="preserve">Module 4 — Smart Contract Engine</w:t>
      </w:r>
    </w:p>
    <w:p>
      <w:pPr>
        <w:spacing w:after="120" w:before="200"/>
      </w:pPr>
      <w:r>
        <w:rPr>
          <w:rFonts w:ascii="Arial" w:cs="Arial" w:eastAsia="Arial" w:hAnsi="Arial"/>
          <w:b/>
          <w:bCs/>
          <w:color w:val="1F4E79"/>
          <w:sz w:val="24"/>
          <w:szCs w:val="24"/>
        </w:rPr>
        <w:t xml:space="preserve">Purpose: Automated, bias-free detection of wealth anomalies</w:t>
      </w:r>
    </w:p>
    <w:p>
      <w:pPr>
        <w:spacing w:after="120" w:before="120"/>
      </w:pPr>
    </w:p>
    <w:p>
      <w:pPr>
        <w:spacing w:after="100" w:before="80"/>
      </w:pPr>
      <w:r>
        <w:rPr>
          <w:rFonts w:ascii="Arial" w:cs="Arial" w:eastAsia="Arial" w:hAnsi="Arial"/>
          <w:sz w:val="22"/>
          <w:szCs w:val="22"/>
        </w:rPr>
        <w:t xml:space="preserve">Smart contracts are self-executing programs on the blockchain. They automatically compare declared income with observed asset accumulation and flag anomalies for investigation — with no human discretion involved, eliminating the possibility of selective targeting or bribery.</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SMART CONTRACT: WEALTH_ANOMALY_DETECTOR v1.0</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TRIGGER: Annual ITR filing + Asset snapshot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IF (total_assets_acquired_this_year &gt; declared_income * 1.5)</w:t>
            </w:r>
          </w:p>
          <w:p>
            <w:pPr>
              <w:spacing w:after="20" w:before="20"/>
            </w:pPr>
            <w:r>
              <w:rPr>
                <w:rFonts w:ascii="Courier New" w:cs="Courier New" w:eastAsia="Courier New" w:hAnsi="Courier New"/>
                <w:color w:val="A8D8A8"/>
                <w:sz w:val="18"/>
                <w:szCs w:val="18"/>
              </w:rPr>
              <w:t xml:space="preserve">   AND (no_inheritance_recorded == true)</w:t>
            </w:r>
          </w:p>
          <w:p>
            <w:pPr>
              <w:spacing w:after="20" w:before="20"/>
            </w:pPr>
            <w:r>
              <w:rPr>
                <w:rFonts w:ascii="Courier New" w:cs="Courier New" w:eastAsia="Courier New" w:hAnsi="Courier New"/>
                <w:color w:val="A8D8A8"/>
                <w:sz w:val="18"/>
                <w:szCs w:val="18"/>
              </w:rPr>
              <w:t xml:space="preserve">   AND (no_approved_loan == true)</w:t>
            </w:r>
          </w:p>
          <w:p>
            <w:pPr>
              <w:spacing w:after="20" w:before="20"/>
            </w:pPr>
            <w:r>
              <w:rPr>
                <w:rFonts w:ascii="Courier New" w:cs="Courier New" w:eastAsia="Courier New" w:hAnsi="Courier New"/>
                <w:color w:val="A8D8A8"/>
                <w:sz w:val="18"/>
                <w:szCs w:val="18"/>
              </w:rPr>
              <w:t xml:space="preserve">THEN:</w:t>
            </w:r>
          </w:p>
          <w:p>
            <w:pPr>
              <w:spacing w:after="20" w:before="20"/>
            </w:pPr>
            <w:r>
              <w:rPr>
                <w:rFonts w:ascii="Courier New" w:cs="Courier New" w:eastAsia="Courier New" w:hAnsi="Courier New"/>
                <w:color w:val="A8D8A8"/>
                <w:sz w:val="18"/>
                <w:szCs w:val="18"/>
              </w:rPr>
              <w:t xml:space="preserve">   flag_level = YELLOW   // Soft alert</w:t>
            </w:r>
          </w:p>
          <w:p>
            <w:pPr>
              <w:spacing w:after="20" w:before="20"/>
            </w:pPr>
            <w:r>
              <w:rPr>
                <w:rFonts w:ascii="Courier New" w:cs="Courier New" w:eastAsia="Courier New" w:hAnsi="Courier New"/>
                <w:color w:val="A8D8A8"/>
                <w:sz w:val="18"/>
                <w:szCs w:val="18"/>
              </w:rPr>
              <w:t xml:space="preserve">   notify: IT_Department</w:t>
            </w:r>
          </w:p>
          <w:p>
            <w:pPr>
              <w:spacing w:after="20" w:before="20"/>
            </w:pPr>
            <w:r>
              <w:rPr>
                <w:rFonts w:ascii="Courier New" w:cs="Courier New" w:eastAsia="Courier New" w:hAnsi="Courier New"/>
                <w:color w:val="A8D8A8"/>
                <w:sz w:val="18"/>
                <w:szCs w:val="18"/>
              </w:rPr>
              <w:t xml:space="preserve">   action: Request explanation within 30 days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IF (property_value &gt; declared_income_5yr_cumulative * 3)</w:t>
            </w:r>
          </w:p>
          <w:p>
            <w:pPr>
              <w:spacing w:after="20" w:before="20"/>
            </w:pPr>
            <w:r>
              <w:rPr>
                <w:rFonts w:ascii="Courier New" w:cs="Courier New" w:eastAsia="Courier New" w:hAnsi="Courier New"/>
                <w:color w:val="A8D8A8"/>
                <w:sz w:val="18"/>
                <w:szCs w:val="18"/>
              </w:rPr>
              <w:t xml:space="preserve">   AND (no_legitimate_source_found == true)</w:t>
            </w:r>
          </w:p>
          <w:p>
            <w:pPr>
              <w:spacing w:after="20" w:before="20"/>
            </w:pPr>
            <w:r>
              <w:rPr>
                <w:rFonts w:ascii="Courier New" w:cs="Courier New" w:eastAsia="Courier New" w:hAnsi="Courier New"/>
                <w:color w:val="A8D8A8"/>
                <w:sz w:val="18"/>
                <w:szCs w:val="18"/>
              </w:rPr>
              <w:t xml:space="preserve">THEN:</w:t>
            </w:r>
          </w:p>
          <w:p>
            <w:pPr>
              <w:spacing w:after="20" w:before="20"/>
            </w:pPr>
            <w:r>
              <w:rPr>
                <w:rFonts w:ascii="Courier New" w:cs="Courier New" w:eastAsia="Courier New" w:hAnsi="Courier New"/>
                <w:color w:val="A8D8A8"/>
                <w:sz w:val="18"/>
                <w:szCs w:val="18"/>
              </w:rPr>
              <w:t xml:space="preserve">   flag_level = RED      // Hard alert</w:t>
            </w:r>
          </w:p>
          <w:p>
            <w:pPr>
              <w:spacing w:after="20" w:before="20"/>
            </w:pPr>
            <w:r>
              <w:rPr>
                <w:rFonts w:ascii="Courier New" w:cs="Courier New" w:eastAsia="Courier New" w:hAnsi="Courier New"/>
                <w:color w:val="A8D8A8"/>
                <w:sz w:val="18"/>
                <w:szCs w:val="18"/>
              </w:rPr>
              <w:t xml:space="preserve">   notify: IT_Department + ED + CBI</w:t>
            </w:r>
          </w:p>
          <w:p>
            <w:pPr>
              <w:spacing w:after="20" w:before="20"/>
            </w:pPr>
            <w:r>
              <w:rPr>
                <w:rFonts w:ascii="Courier New" w:cs="Courier New" w:eastAsia="Courier New" w:hAnsi="Courier New"/>
                <w:color w:val="A8D8A8"/>
                <w:sz w:val="18"/>
                <w:szCs w:val="18"/>
              </w:rPr>
              <w:t xml:space="preserve">   action: Automatic freeze pending investigation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IF (public_official == true)</w:t>
            </w:r>
          </w:p>
          <w:p>
            <w:pPr>
              <w:spacing w:after="20" w:before="20"/>
            </w:pPr>
            <w:r>
              <w:rPr>
                <w:rFonts w:ascii="Courier New" w:cs="Courier New" w:eastAsia="Courier New" w:hAnsi="Courier New"/>
                <w:color w:val="A8D8A8"/>
                <w:sz w:val="18"/>
                <w:szCs w:val="18"/>
              </w:rPr>
              <w:t xml:space="preserve">   AND (wealth_growth_% &gt; 200% in 5 years)</w:t>
            </w:r>
          </w:p>
          <w:p>
            <w:pPr>
              <w:spacing w:after="20" w:before="20"/>
            </w:pPr>
            <w:r>
              <w:rPr>
                <w:rFonts w:ascii="Courier New" w:cs="Courier New" w:eastAsia="Courier New" w:hAnsi="Courier New"/>
                <w:color w:val="A8D8A8"/>
                <w:sz w:val="18"/>
                <w:szCs w:val="18"/>
              </w:rPr>
              <w:t xml:space="preserve">THEN:</w:t>
            </w:r>
          </w:p>
          <w:p>
            <w:pPr>
              <w:spacing w:after="20" w:before="20"/>
            </w:pPr>
            <w:r>
              <w:rPr>
                <w:rFonts w:ascii="Courier New" w:cs="Courier New" w:eastAsia="Courier New" w:hAnsi="Courier New"/>
                <w:color w:val="A8D8A8"/>
                <w:sz w:val="18"/>
                <w:szCs w:val="18"/>
              </w:rPr>
              <w:t xml:space="preserve">   flag_level = RED</w:t>
            </w:r>
          </w:p>
          <w:p>
            <w:pPr>
              <w:spacing w:after="20" w:before="20"/>
            </w:pPr>
            <w:r>
              <w:rPr>
                <w:rFonts w:ascii="Courier New" w:cs="Courier New" w:eastAsia="Courier New" w:hAnsi="Courier New"/>
                <w:color w:val="A8D8A8"/>
                <w:sz w:val="18"/>
                <w:szCs w:val="18"/>
              </w:rPr>
              <w:t xml:space="preserve">   notify: Lokpal + Public_Dashboard</w:t>
            </w:r>
          </w:p>
          <w:p>
            <w:pPr>
              <w:spacing w:after="20" w:before="20"/>
            </w:pPr>
            <w:r>
              <w:rPr>
                <w:rFonts w:ascii="Courier New" w:cs="Courier New" w:eastAsia="Courier New" w:hAnsi="Courier New"/>
                <w:color w:val="A8D8A8"/>
                <w:sz w:val="18"/>
                <w:szCs w:val="18"/>
              </w:rPr>
              <w:t xml:space="preserve">   action: Mandatory public disclosure</w:t>
            </w:r>
          </w:p>
        </w:tc>
      </w:tr>
    </w:tbl>
    <w:p>
      <w:pPr>
        <w:spacing w:after="120" w:before="120"/>
      </w:pPr>
    </w:p>
    <w:p>
      <w:pPr>
        <w:spacing w:after="100" w:before="80"/>
      </w:pPr>
      <w:r>
        <w:rPr>
          <w:rFonts w:ascii="Arial" w:cs="Arial" w:eastAsia="Arial" w:hAnsi="Arial"/>
          <w:sz w:val="22"/>
          <w:szCs w:val="22"/>
        </w:rPr>
        <w:t xml:space="preserve">Other automatic trigger conditions:</w:t>
      </w:r>
    </w:p>
    <w:p>
      <w:pPr>
        <w:pStyle w:val="ListParagraph"/>
        <w:numPr>
          <w:ilvl w:val="0"/>
          <w:numId w:val="2"/>
        </w:numPr>
        <w:spacing w:after="60" w:before="60"/>
      </w:pPr>
      <w:r>
        <w:rPr>
          <w:rFonts w:ascii="Arial" w:cs="Arial" w:eastAsia="Arial" w:hAnsi="Arial"/>
          <w:sz w:val="22"/>
          <w:szCs w:val="22"/>
        </w:rPr>
        <w:t xml:space="preserve">Sudden large cash deposits inconsistent with income history</w:t>
      </w:r>
    </w:p>
    <w:p>
      <w:pPr>
        <w:pStyle w:val="ListParagraph"/>
        <w:numPr>
          <w:ilvl w:val="0"/>
          <w:numId w:val="2"/>
        </w:numPr>
        <w:spacing w:after="60" w:before="60"/>
      </w:pPr>
      <w:r>
        <w:rPr>
          <w:rFonts w:ascii="Arial" w:cs="Arial" w:eastAsia="Arial" w:hAnsi="Arial"/>
          <w:sz w:val="22"/>
          <w:szCs w:val="22"/>
        </w:rPr>
        <w:t xml:space="preserve">Property purchased in spouse, children, or parents' name exceeding income capacity</w:t>
      </w:r>
    </w:p>
    <w:p>
      <w:pPr>
        <w:pStyle w:val="ListParagraph"/>
        <w:numPr>
          <w:ilvl w:val="0"/>
          <w:numId w:val="2"/>
        </w:numPr>
        <w:spacing w:after="60" w:before="60"/>
      </w:pPr>
      <w:r>
        <w:rPr>
          <w:rFonts w:ascii="Arial" w:cs="Arial" w:eastAsia="Arial" w:hAnsi="Arial"/>
          <w:sz w:val="22"/>
          <w:szCs w:val="22"/>
        </w:rPr>
        <w:t xml:space="preserve">Business ownership traced through shell companies back to individual (beneficial ownership)</w:t>
      </w:r>
    </w:p>
    <w:p>
      <w:pPr>
        <w:pStyle w:val="ListParagraph"/>
        <w:numPr>
          <w:ilvl w:val="0"/>
          <w:numId w:val="2"/>
        </w:numPr>
        <w:spacing w:after="60" w:before="60"/>
      </w:pPr>
      <w:r>
        <w:rPr>
          <w:rFonts w:ascii="Arial" w:cs="Arial" w:eastAsia="Arial" w:hAnsi="Arial"/>
          <w:sz w:val="22"/>
          <w:szCs w:val="22"/>
        </w:rPr>
        <w:t xml:space="preserve">Lifestyle expenditure (luxury vehicles, foreign travel, club memberships) vs declared income mismatch</w:t>
      </w:r>
    </w:p>
    <w:p>
      <w:pPr>
        <w:pStyle w:val="ListParagraph"/>
        <w:numPr>
          <w:ilvl w:val="0"/>
          <w:numId w:val="2"/>
        </w:numPr>
        <w:spacing w:after="60" w:before="60"/>
      </w:pPr>
      <w:r>
        <w:rPr>
          <w:rFonts w:ascii="Arial" w:cs="Arial" w:eastAsia="Arial" w:hAnsi="Arial"/>
          <w:sz w:val="22"/>
          <w:szCs w:val="22"/>
        </w:rPr>
        <w:t xml:space="preserve">Multiple family members simultaneously acquiring significant assets</w:t>
      </w:r>
    </w:p>
    <w:p>
      <w:pPr>
        <w:spacing w:after="120" w:before="120"/>
      </w:pPr>
    </w:p>
    <w:p>
      <w:pPr>
        <w:pStyle w:val="Heading2"/>
        <w:spacing w:after="160" w:before="300"/>
      </w:pPr>
      <w:r>
        <w:rPr>
          <w:rFonts w:ascii="Arial" w:cs="Arial" w:eastAsia="Arial" w:hAnsi="Arial"/>
          <w:b/>
          <w:bCs/>
          <w:color w:val="2E75B6"/>
          <w:sz w:val="26"/>
          <w:szCs w:val="26"/>
        </w:rPr>
        <w:t xml:space="preserve">Module 5 — Access Control Layer</w:t>
      </w:r>
    </w:p>
    <w:p>
      <w:pPr>
        <w:spacing w:after="120" w:before="200"/>
      </w:pPr>
      <w:r>
        <w:rPr>
          <w:rFonts w:ascii="Arial" w:cs="Arial" w:eastAsia="Arial" w:hAnsi="Arial"/>
          <w:b/>
          <w:bCs/>
          <w:color w:val="1F4E79"/>
          <w:sz w:val="24"/>
          <w:szCs w:val="24"/>
        </w:rPr>
        <w:t xml:space="preserve">Purpose: Ensure the right people see the right data — and no more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4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Data Visible</w:t>
            </w:r>
          </w:p>
        </w:tc>
        <w:tc>
          <w:tcPr>
            <w:tcW w:type="dxa" w:w="28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Access Method</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Citizen (self)</w:t>
            </w:r>
          </w:p>
        </w:tc>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Full own data — all assets, flags, history</w:t>
            </w:r>
          </w:p>
        </w:tc>
        <w:tc>
          <w:tcPr>
            <w:tcW w:type="dxa" w:w="2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Biometric + OTP login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Income Tax Dept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Income vs asset mismatch reports; flagged cases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Official credentials + audit log</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Enforcement Directorate</w:t>
            </w:r>
          </w:p>
        </w:tc>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Full data on court-ordered investigations</w:t>
            </w:r>
          </w:p>
        </w:tc>
        <w:tc>
          <w:tcPr>
            <w:tcW w:type="dxa" w:w="2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Court order + dual authorization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Banks / NBFCs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Credit worthiness score only; no raw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 with consent token</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Courts</w:t>
            </w:r>
          </w:p>
        </w:tc>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Complete data for specific individual on order</w:t>
            </w:r>
          </w:p>
        </w:tc>
        <w:tc>
          <w:tcPr>
            <w:tcW w:type="dxa" w:w="2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Digital court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 (politicians)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Asset categories and totals; no bank details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 dashboard</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Public (citizens)</w:t>
            </w:r>
          </w:p>
        </w:tc>
        <w:tc>
          <w:tcPr>
            <w:tcW w:type="dxa" w:w="4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No access to individual data</w:t>
            </w:r>
          </w:p>
        </w:tc>
        <w:tc>
          <w:tcPr>
            <w:tcW w:type="dxa" w:w="2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Aggregate statistics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Hackers / Unauthorized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Nothing — fully encrypted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 denied</w:t>
            </w:r>
          </w:p>
        </w:tc>
      </w:tr>
    </w:tbl>
    <w:p>
      <w:pPr>
        <w:spacing w:after="120" w:before="120"/>
      </w:pPr>
    </w:p>
    <w:p>
      <w:r>
        <w:br w:type="page"/>
      </w:r>
    </w:p>
    <w:p>
      <w:pPr>
        <w:pStyle w:val="Heading1"/>
        <w:spacing w:after="200" w:before="400"/>
      </w:pPr>
      <w:r>
        <w:rPr>
          <w:rFonts w:ascii="Arial" w:cs="Arial" w:eastAsia="Arial" w:hAnsi="Arial"/>
          <w:b/>
          <w:bCs/>
          <w:color w:val="1E5AA8"/>
          <w:sz w:val="32"/>
          <w:szCs w:val="32"/>
        </w:rPr>
        <w:t xml:space="preserve">4. Privacy Architecture — Zero-Knowledge Proofs</w:t>
      </w:r>
    </w:p>
    <w:p>
      <w:pPr>
        <w:pBdr>
          <w:bottom w:val="single" w:color="2E75B6" w:sz="4" w:space="1"/>
        </w:pBdr>
        <w:spacing w:after="200" w:before="200"/>
      </w:pPr>
    </w:p>
    <w:p>
      <w:pPr>
        <w:spacing w:after="100" w:before="80"/>
      </w:pPr>
      <w:r>
        <w:rPr>
          <w:rFonts w:ascii="Arial" w:cs="Arial" w:eastAsia="Arial" w:hAnsi="Arial"/>
          <w:sz w:val="22"/>
          <w:szCs w:val="22"/>
        </w:rPr>
        <w:t xml:space="preserve">The most important element for public acceptance of BSC is privacy protection. Citizens rightfully fear that a government database of their wealth could be misused. BSC uses Zero-Knowledge Proof (ZKP) cryptography — a mathematically proven method of verifying facts without revealing the underlying data.</w:t>
      </w:r>
    </w:p>
    <w:p>
      <w:pPr>
        <w:spacing w:after="120" w:before="120"/>
      </w:pPr>
    </w:p>
    <w:p>
      <w:pPr>
        <w:pStyle w:val="Heading2"/>
        <w:spacing w:after="160" w:before="300"/>
      </w:pPr>
      <w:r>
        <w:rPr>
          <w:rFonts w:ascii="Arial" w:cs="Arial" w:eastAsia="Arial" w:hAnsi="Arial"/>
          <w:b/>
          <w:bCs/>
          <w:color w:val="2E75B6"/>
          <w:sz w:val="26"/>
          <w:szCs w:val="26"/>
        </w:rPr>
        <w:t xml:space="preserve">4.1 How ZKP Works in BSC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TRADITIONAL SYSTEM (Privacy Violation):</w:t>
            </w:r>
          </w:p>
          <w:p>
            <w:pPr>
              <w:spacing w:after="20" w:before="20"/>
            </w:pPr>
            <w:r>
              <w:rPr>
                <w:rFonts w:ascii="Courier New" w:cs="Courier New" w:eastAsia="Courier New" w:hAnsi="Courier New"/>
                <w:color w:val="A8D8A8"/>
                <w:sz w:val="18"/>
                <w:szCs w:val="18"/>
              </w:rPr>
              <w:t xml:space="preserve">  Government asks  →  'Show me your bank balance'</w:t>
            </w:r>
          </w:p>
          <w:p>
            <w:pPr>
              <w:spacing w:after="20" w:before="20"/>
            </w:pPr>
            <w:r>
              <w:rPr>
                <w:rFonts w:ascii="Courier New" w:cs="Courier New" w:eastAsia="Courier New" w:hAnsi="Courier New"/>
                <w:color w:val="A8D8A8"/>
                <w:sz w:val="18"/>
                <w:szCs w:val="18"/>
              </w:rPr>
              <w:t xml:space="preserve">  Citizen reveals  →  Exact amount: ₹47,83,291</w:t>
            </w:r>
          </w:p>
          <w:p>
            <w:pPr>
              <w:spacing w:after="20" w:before="20"/>
            </w:pPr>
            <w:r>
              <w:rPr>
                <w:rFonts w:ascii="Courier New" w:cs="Courier New" w:eastAsia="Courier New" w:hAnsi="Courier New"/>
                <w:color w:val="A8D8A8"/>
                <w:sz w:val="18"/>
                <w:szCs w:val="18"/>
              </w:rPr>
              <w:t xml:space="preserve">  Risk: Data exposed, can be misused or leaked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BSC ZERO-KNOWLEDGE SYSTEM (Privacy Protected):</w:t>
            </w:r>
          </w:p>
          <w:p>
            <w:pPr>
              <w:spacing w:after="20" w:before="20"/>
            </w:pPr>
            <w:r>
              <w:rPr>
                <w:rFonts w:ascii="Courier New" w:cs="Courier New" w:eastAsia="Courier New" w:hAnsi="Courier New"/>
                <w:color w:val="A8D8A8"/>
                <w:sz w:val="18"/>
                <w:szCs w:val="18"/>
              </w:rPr>
              <w:t xml:space="preserve">  Smart contract asks  →  'Is total wealth &gt; ₹1 crore?'</w:t>
            </w:r>
          </w:p>
          <w:p>
            <w:pPr>
              <w:spacing w:after="20" w:before="20"/>
            </w:pPr>
            <w:r>
              <w:rPr>
                <w:rFonts w:ascii="Courier New" w:cs="Courier New" w:eastAsia="Courier New" w:hAnsi="Courier New"/>
                <w:color w:val="A8D8A8"/>
                <w:sz w:val="18"/>
                <w:szCs w:val="18"/>
              </w:rPr>
              <w:t xml:space="preserve">  ZKP responds         →  'YES' (mathematically proven)</w:t>
            </w:r>
          </w:p>
          <w:p>
            <w:pPr>
              <w:spacing w:after="20" w:before="20"/>
            </w:pPr>
            <w:r>
              <w:rPr>
                <w:rFonts w:ascii="Courier New" w:cs="Courier New" w:eastAsia="Courier New" w:hAnsi="Courier New"/>
                <w:color w:val="A8D8A8"/>
                <w:sz w:val="18"/>
                <w:szCs w:val="18"/>
              </w:rPr>
              <w:t xml:space="preserve">  What is revealed     →  Only YES/NO — no actual figures</w:t>
            </w:r>
          </w:p>
          <w:p>
            <w:pPr>
              <w:spacing w:after="20" w:before="20"/>
            </w:pPr>
            <w:r>
              <w:rPr>
                <w:rFonts w:ascii="Courier New" w:cs="Courier New" w:eastAsia="Courier New" w:hAnsi="Courier New"/>
                <w:color w:val="A8D8A8"/>
                <w:sz w:val="18"/>
                <w:szCs w:val="18"/>
              </w:rPr>
              <w:t xml:space="preserve">  Government can act   →  Flag for review if answer triggers threshold</w:t>
            </w:r>
          </w:p>
          <w:p>
            <w:pPr>
              <w:spacing w:after="20" w:before="20"/>
            </w:pPr>
            <w:r>
              <w:rPr>
                <w:rFonts w:ascii="Courier New" w:cs="Courier New" w:eastAsia="Courier New" w:hAnsi="Courier New"/>
                <w:color w:val="A8D8A8"/>
                <w:sz w:val="18"/>
                <w:szCs w:val="18"/>
              </w:rPr>
              <w:t xml:space="preserve">  Raw data never seen  →  Unless court order issued</w:t>
            </w:r>
          </w:p>
        </w:tc>
      </w:tr>
    </w:tbl>
    <w:p>
      <w:pPr>
        <w:spacing w:after="120" w:before="120"/>
      </w:pPr>
    </w:p>
    <w:p>
      <w:pPr>
        <w:spacing w:after="100" w:before="80"/>
      </w:pPr>
      <w:r>
        <w:rPr>
          <w:rFonts w:ascii="Arial" w:cs="Arial" w:eastAsia="Arial" w:hAnsi="Arial"/>
          <w:sz w:val="22"/>
          <w:szCs w:val="22"/>
        </w:rPr>
        <w:t xml:space="preserve">ZKP is already used in production systems globally — by Ethereum (zk-rollups), SWIFT banking network experiments, and several national digital identity systems. It is proven technology ready for deployment at scale.</w:t>
      </w:r>
    </w:p>
    <w:p>
      <w:pPr>
        <w:spacing w:after="120" w:before="120"/>
      </w:pPr>
    </w:p>
    <w:p>
      <w:pPr>
        <w:pStyle w:val="Heading2"/>
        <w:spacing w:after="160" w:before="300"/>
      </w:pPr>
      <w:r>
        <w:rPr>
          <w:rFonts w:ascii="Arial" w:cs="Arial" w:eastAsia="Arial" w:hAnsi="Arial"/>
          <w:b/>
          <w:bCs/>
          <w:color w:val="2E75B6"/>
          <w:sz w:val="26"/>
          <w:szCs w:val="26"/>
        </w:rPr>
        <w:t xml:space="preserve">4.2 Data Protection Safeguards</w:t>
      </w:r>
    </w:p>
    <w:p>
      <w:pPr>
        <w:pStyle w:val="ListParagraph"/>
        <w:numPr>
          <w:ilvl w:val="0"/>
          <w:numId w:val="2"/>
        </w:numPr>
        <w:spacing w:after="60" w:before="60"/>
      </w:pPr>
      <w:r>
        <w:rPr>
          <w:rFonts w:ascii="Arial" w:cs="Arial" w:eastAsia="Arial" w:hAnsi="Arial"/>
          <w:sz w:val="22"/>
          <w:szCs w:val="22"/>
        </w:rPr>
        <w:t xml:space="preserve">All raw financial data stored in encrypted form — even BSC node operators cannot read it</w:t>
      </w:r>
    </w:p>
    <w:p>
      <w:pPr>
        <w:pStyle w:val="ListParagraph"/>
        <w:numPr>
          <w:ilvl w:val="0"/>
          <w:numId w:val="2"/>
        </w:numPr>
        <w:spacing w:after="60" w:before="60"/>
      </w:pPr>
      <w:r>
        <w:rPr>
          <w:rFonts w:ascii="Arial" w:cs="Arial" w:eastAsia="Arial" w:hAnsi="Arial"/>
          <w:sz w:val="22"/>
          <w:szCs w:val="22"/>
        </w:rPr>
        <w:t xml:space="preserve">Every government access logged permanently on blockchain — creating accountability for the observers</w:t>
      </w:r>
    </w:p>
    <w:p>
      <w:pPr>
        <w:pStyle w:val="ListParagraph"/>
        <w:numPr>
          <w:ilvl w:val="0"/>
          <w:numId w:val="2"/>
        </w:numPr>
        <w:spacing w:after="60" w:before="60"/>
      </w:pPr>
      <w:r>
        <w:rPr>
          <w:rFonts w:ascii="Arial" w:cs="Arial" w:eastAsia="Arial" w:hAnsi="Arial"/>
          <w:sz w:val="22"/>
          <w:szCs w:val="22"/>
        </w:rPr>
        <w:t xml:space="preserve">Citizen receives notification whenever their data is accessed by any authority</w:t>
      </w:r>
    </w:p>
    <w:p>
      <w:pPr>
        <w:pStyle w:val="ListParagraph"/>
        <w:numPr>
          <w:ilvl w:val="0"/>
          <w:numId w:val="2"/>
        </w:numPr>
        <w:spacing w:after="60" w:before="60"/>
      </w:pPr>
      <w:r>
        <w:rPr>
          <w:rFonts w:ascii="Arial" w:cs="Arial" w:eastAsia="Arial" w:hAnsi="Arial"/>
          <w:sz w:val="22"/>
          <w:szCs w:val="22"/>
        </w:rPr>
        <w:t xml:space="preserve">Independent Data Protection Authority (outside government control) oversees the system</w:t>
      </w:r>
    </w:p>
    <w:p>
      <w:pPr>
        <w:pStyle w:val="ListParagraph"/>
        <w:numPr>
          <w:ilvl w:val="0"/>
          <w:numId w:val="2"/>
        </w:numPr>
        <w:spacing w:after="60" w:before="60"/>
      </w:pPr>
      <w:r>
        <w:rPr>
          <w:rFonts w:ascii="Arial" w:cs="Arial" w:eastAsia="Arial" w:hAnsi="Arial"/>
          <w:sz w:val="22"/>
          <w:szCs w:val="22"/>
        </w:rPr>
        <w:t xml:space="preserve">Annual public audit of access logs by Supreme Court-appointed technical committee</w:t>
      </w:r>
    </w:p>
    <w:p>
      <w:pPr>
        <w:pStyle w:val="ListParagraph"/>
        <w:numPr>
          <w:ilvl w:val="0"/>
          <w:numId w:val="2"/>
        </w:numPr>
        <w:spacing w:after="60" w:before="60"/>
      </w:pPr>
      <w:r>
        <w:rPr>
          <w:rFonts w:ascii="Arial" w:cs="Arial" w:eastAsia="Arial" w:hAnsi="Arial"/>
          <w:sz w:val="22"/>
          <w:szCs w:val="22"/>
        </w:rPr>
        <w:t xml:space="preserve">Any unauthorized access automatically triggers criminal prosecution under new BSC Act</w:t>
      </w:r>
    </w:p>
    <w:p>
      <w:pPr>
        <w:spacing w:after="120" w:before="120"/>
      </w:pPr>
    </w:p>
    <w:p>
      <w:r>
        <w:br w:type="page"/>
      </w:r>
    </w:p>
    <w:p>
      <w:pPr>
        <w:pStyle w:val="Heading1"/>
        <w:spacing w:after="200" w:before="400"/>
      </w:pPr>
      <w:r>
        <w:rPr>
          <w:rFonts w:ascii="Arial" w:cs="Arial" w:eastAsia="Arial" w:hAnsi="Arial"/>
          <w:b/>
          <w:bCs/>
          <w:color w:val="1E5AA8"/>
          <w:sz w:val="32"/>
          <w:szCs w:val="32"/>
        </w:rPr>
        <w:t xml:space="preserve">5. Technology Stack</w:t>
      </w:r>
    </w:p>
    <w:p>
      <w:pPr>
        <w:pBdr>
          <w:bottom w:val="single" w:color="2E75B6" w:sz="4" w:space="1"/>
        </w:pBdr>
        <w:spacing w:after="200" w:before="200"/>
      </w:pPr>
    </w:p>
    <w:p>
      <w:pPr>
        <w:pStyle w:val="Heading2"/>
        <w:spacing w:after="160" w:before="300"/>
      </w:pPr>
      <w:r>
        <w:rPr>
          <w:rFonts w:ascii="Arial" w:cs="Arial" w:eastAsia="Arial" w:hAnsi="Arial"/>
          <w:b/>
          <w:bCs/>
          <w:color w:val="2E75B6"/>
          <w:sz w:val="26"/>
          <w:szCs w:val="26"/>
        </w:rPr>
        <w:t xml:space="preserve">5.1 Recommended Blockchain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0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8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Core Government Layer</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Hyperledger Fabric</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Permissioned, enterprise-grade, proven in banking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 Transparency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Polygon (PoS)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 low cost, India-built, EVM compatible</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ZKP Cryptography</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StarkNet / zkSync</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Production-ready ZKP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Identity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Self-Sovereign Identity (SSI)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Citizen controls own data keys</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Smart Contracts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Solidity + Hyperledger Chaincode</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Mature, auditable, battle-tested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IPFS + encrypted on-chain hashes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Decentralized, tamper-proof</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APIs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RESTful + GraphQL</w:t>
            </w:r>
          </w:p>
        </w:tc>
        <w:tc>
          <w:tcPr>
            <w:tcW w:type="dxa" w:w="38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Easy integration with existing govt systems</w:t>
            </w:r>
          </w:p>
        </w:tc>
      </w:tr>
    </w:tbl>
    <w:p>
      <w:pPr>
        <w:spacing w:after="120" w:before="120"/>
      </w:pPr>
    </w:p>
    <w:p>
      <w:pPr>
        <w:pStyle w:val="Heading2"/>
        <w:spacing w:after="160" w:before="300"/>
      </w:pPr>
      <w:r>
        <w:rPr>
          <w:rFonts w:ascii="Arial" w:cs="Arial" w:eastAsia="Arial" w:hAnsi="Arial"/>
          <w:b/>
          <w:bCs/>
          <w:color w:val="2E75B6"/>
          <w:sz w:val="26"/>
          <w:szCs w:val="26"/>
        </w:rPr>
        <w:t xml:space="preserve">5.2 Integration with Existing Indian Government Systems</w:t>
      </w:r>
    </w:p>
    <w:p>
      <w:pPr>
        <w:pStyle w:val="ListParagraph"/>
        <w:numPr>
          <w:ilvl w:val="0"/>
          <w:numId w:val="2"/>
        </w:numPr>
        <w:spacing w:after="60" w:before="60"/>
      </w:pPr>
      <w:r>
        <w:rPr>
          <w:rFonts w:ascii="Arial" w:cs="Arial" w:eastAsia="Arial" w:hAnsi="Arial"/>
          <w:sz w:val="22"/>
          <w:szCs w:val="22"/>
        </w:rPr>
        <w:t xml:space="preserve">Aadhaar API (UIDAI) — Identity verification and biometric authentication</w:t>
      </w:r>
    </w:p>
    <w:p>
      <w:pPr>
        <w:pStyle w:val="ListParagraph"/>
        <w:numPr>
          <w:ilvl w:val="0"/>
          <w:numId w:val="2"/>
        </w:numPr>
        <w:spacing w:after="60" w:before="60"/>
      </w:pPr>
      <w:r>
        <w:rPr>
          <w:rFonts w:ascii="Arial" w:cs="Arial" w:eastAsia="Arial" w:hAnsi="Arial"/>
          <w:sz w:val="22"/>
          <w:szCs w:val="22"/>
        </w:rPr>
        <w:t xml:space="preserve">PAN database (Income Tax Dept) — Financial identity linkage</w:t>
      </w:r>
    </w:p>
    <w:p>
      <w:pPr>
        <w:pStyle w:val="ListParagraph"/>
        <w:numPr>
          <w:ilvl w:val="0"/>
          <w:numId w:val="2"/>
        </w:numPr>
        <w:spacing w:after="60" w:before="60"/>
      </w:pPr>
      <w:r>
        <w:rPr>
          <w:rFonts w:ascii="Arial" w:cs="Arial" w:eastAsia="Arial" w:hAnsi="Arial"/>
          <w:sz w:val="22"/>
          <w:szCs w:val="22"/>
        </w:rPr>
        <w:t xml:space="preserve">DILRMP — Digital land records from all states</w:t>
      </w:r>
    </w:p>
    <w:p>
      <w:pPr>
        <w:pStyle w:val="ListParagraph"/>
        <w:numPr>
          <w:ilvl w:val="0"/>
          <w:numId w:val="2"/>
        </w:numPr>
        <w:spacing w:after="60" w:before="60"/>
      </w:pPr>
      <w:r>
        <w:rPr>
          <w:rFonts w:ascii="Arial" w:cs="Arial" w:eastAsia="Arial" w:hAnsi="Arial"/>
          <w:sz w:val="22"/>
          <w:szCs w:val="22"/>
        </w:rPr>
        <w:t xml:space="preserve">CERSAI — Central Registry of Securitisation and Asset Reconstruction (mortgages)</w:t>
      </w:r>
    </w:p>
    <w:p>
      <w:pPr>
        <w:pStyle w:val="ListParagraph"/>
        <w:numPr>
          <w:ilvl w:val="0"/>
          <w:numId w:val="2"/>
        </w:numPr>
        <w:spacing w:after="60" w:before="60"/>
      </w:pPr>
      <w:r>
        <w:rPr>
          <w:rFonts w:ascii="Arial" w:cs="Arial" w:eastAsia="Arial" w:hAnsi="Arial"/>
          <w:sz w:val="22"/>
          <w:szCs w:val="22"/>
        </w:rPr>
        <w:t xml:space="preserve">MCA21 — Ministry of Corporate Affairs company ownership database</w:t>
      </w:r>
    </w:p>
    <w:p>
      <w:pPr>
        <w:pStyle w:val="ListParagraph"/>
        <w:numPr>
          <w:ilvl w:val="0"/>
          <w:numId w:val="2"/>
        </w:numPr>
        <w:spacing w:after="60" w:before="60"/>
      </w:pPr>
      <w:r>
        <w:rPr>
          <w:rFonts w:ascii="Arial" w:cs="Arial" w:eastAsia="Arial" w:hAnsi="Arial"/>
          <w:sz w:val="22"/>
          <w:szCs w:val="22"/>
        </w:rPr>
        <w:t xml:space="preserve">e-Courts — National court case management system for legal disputes</w:t>
      </w:r>
    </w:p>
    <w:p>
      <w:pPr>
        <w:pStyle w:val="ListParagraph"/>
        <w:numPr>
          <w:ilvl w:val="0"/>
          <w:numId w:val="2"/>
        </w:numPr>
        <w:spacing w:after="60" w:before="60"/>
      </w:pPr>
      <w:r>
        <w:rPr>
          <w:rFonts w:ascii="Arial" w:cs="Arial" w:eastAsia="Arial" w:hAnsi="Arial"/>
          <w:sz w:val="22"/>
          <w:szCs w:val="22"/>
        </w:rPr>
        <w:t xml:space="preserve">PFMS — Public Financial Management System for government payments</w:t>
      </w:r>
    </w:p>
    <w:p>
      <w:pPr>
        <w:pStyle w:val="ListParagraph"/>
        <w:numPr>
          <w:ilvl w:val="0"/>
          <w:numId w:val="2"/>
        </w:numPr>
        <w:spacing w:after="60" w:before="60"/>
      </w:pPr>
      <w:r>
        <w:rPr>
          <w:rFonts w:ascii="Arial" w:cs="Arial" w:eastAsia="Arial" w:hAnsi="Arial"/>
          <w:sz w:val="22"/>
          <w:szCs w:val="22"/>
        </w:rPr>
        <w:t xml:space="preserve">UPI/NPCI — Real-time payment data for transaction pattern analysis</w:t>
      </w:r>
    </w:p>
    <w:p>
      <w:pPr>
        <w:spacing w:after="120" w:before="120"/>
      </w:pPr>
    </w:p>
    <w:p>
      <w:r>
        <w:br w:type="page"/>
      </w:r>
    </w:p>
    <w:p>
      <w:pPr>
        <w:pStyle w:val="Heading1"/>
        <w:spacing w:after="200" w:before="400"/>
      </w:pPr>
      <w:r>
        <w:rPr>
          <w:rFonts w:ascii="Arial" w:cs="Arial" w:eastAsia="Arial" w:hAnsi="Arial"/>
          <w:b/>
          <w:bCs/>
          <w:color w:val="1E5AA8"/>
          <w:sz w:val="32"/>
          <w:szCs w:val="32"/>
        </w:rPr>
        <w:t xml:space="preserve">6. Implementation Roadmap</w:t>
      </w:r>
    </w:p>
    <w:p>
      <w:pPr>
        <w:pBdr>
          <w:bottom w:val="single" w:color="2E75B6" w:sz="4" w:space="1"/>
        </w:pBdr>
        <w:spacing w:after="200" w:before="200"/>
      </w:pPr>
    </w:p>
    <w:p>
      <w:pPr>
        <w:pStyle w:val="Heading2"/>
        <w:spacing w:after="160" w:before="300"/>
      </w:pPr>
      <w:r>
        <w:rPr>
          <w:rFonts w:ascii="Arial" w:cs="Arial" w:eastAsia="Arial" w:hAnsi="Arial"/>
          <w:b/>
          <w:bCs/>
          <w:color w:val="2E75B6"/>
          <w:sz w:val="26"/>
          <w:szCs w:val="26"/>
        </w:rPr>
        <w:t xml:space="preserve">Phase 1 — Foundation (Year 1–2)</w:t>
      </w:r>
    </w:p>
    <w:p>
      <w:pPr>
        <w:pStyle w:val="ListParagraph"/>
        <w:numPr>
          <w:ilvl w:val="0"/>
          <w:numId w:val="2"/>
        </w:numPr>
        <w:spacing w:after="60" w:before="60"/>
      </w:pPr>
      <w:r>
        <w:rPr>
          <w:rFonts w:ascii="Arial" w:cs="Arial" w:eastAsia="Arial" w:hAnsi="Arial"/>
          <w:sz w:val="22"/>
          <w:szCs w:val="22"/>
        </w:rPr>
        <w:t xml:space="preserve">Build and open-source the core BSC blockchain protocol</w:t>
      </w:r>
    </w:p>
    <w:p>
      <w:pPr>
        <w:pStyle w:val="ListParagraph"/>
        <w:numPr>
          <w:ilvl w:val="0"/>
          <w:numId w:val="2"/>
        </w:numPr>
        <w:spacing w:after="60" w:before="60"/>
      </w:pPr>
      <w:r>
        <w:rPr>
          <w:rFonts w:ascii="Arial" w:cs="Arial" w:eastAsia="Arial" w:hAnsi="Arial"/>
          <w:sz w:val="22"/>
          <w:szCs w:val="22"/>
        </w:rPr>
        <w:t xml:space="preserve">Pilot identity layer linking Aadhaar + PAN + blockchain wallet in 3 states (Gujarat, Karnataka, Telangana — already digitally advanced)</w:t>
      </w:r>
    </w:p>
    <w:p>
      <w:pPr>
        <w:pStyle w:val="ListParagraph"/>
        <w:numPr>
          <w:ilvl w:val="0"/>
          <w:numId w:val="2"/>
        </w:numPr>
        <w:spacing w:after="60" w:before="60"/>
      </w:pPr>
      <w:r>
        <w:rPr>
          <w:rFonts w:ascii="Arial" w:cs="Arial" w:eastAsia="Arial" w:hAnsi="Arial"/>
          <w:sz w:val="22"/>
          <w:szCs w:val="22"/>
        </w:rPr>
        <w:t xml:space="preserve">Digitize all pending land records onto BSC in pilot states</w:t>
      </w:r>
    </w:p>
    <w:p>
      <w:pPr>
        <w:pStyle w:val="ListParagraph"/>
        <w:numPr>
          <w:ilvl w:val="0"/>
          <w:numId w:val="2"/>
        </w:numPr>
        <w:spacing w:after="60" w:before="60"/>
      </w:pPr>
      <w:r>
        <w:rPr>
          <w:rFonts w:ascii="Arial" w:cs="Arial" w:eastAsia="Arial" w:hAnsi="Arial"/>
          <w:sz w:val="22"/>
          <w:szCs w:val="22"/>
        </w:rPr>
        <w:t xml:space="preserve">Launch public awareness campaign and civil society coalition</w:t>
      </w:r>
    </w:p>
    <w:p>
      <w:pPr>
        <w:pStyle w:val="ListParagraph"/>
        <w:numPr>
          <w:ilvl w:val="0"/>
          <w:numId w:val="2"/>
        </w:numPr>
        <w:spacing w:after="60" w:before="60"/>
      </w:pPr>
      <w:r>
        <w:rPr>
          <w:rFonts w:ascii="Arial" w:cs="Arial" w:eastAsia="Arial" w:hAnsi="Arial"/>
          <w:sz w:val="22"/>
          <w:szCs w:val="22"/>
        </w:rPr>
        <w:t xml:space="preserve">File PIL in Supreme Court for mandatory politician wealth on BSC</w:t>
      </w:r>
    </w:p>
    <w:p>
      <w:pPr>
        <w:spacing w:after="120" w:before="120"/>
      </w:pPr>
    </w:p>
    <w:p>
      <w:pPr>
        <w:pStyle w:val="Heading2"/>
        <w:spacing w:after="160" w:before="300"/>
      </w:pPr>
      <w:r>
        <w:rPr>
          <w:rFonts w:ascii="Arial" w:cs="Arial" w:eastAsia="Arial" w:hAnsi="Arial"/>
          <w:b/>
          <w:bCs/>
          <w:color w:val="2E75B6"/>
          <w:sz w:val="26"/>
          <w:szCs w:val="26"/>
        </w:rPr>
        <w:t xml:space="preserve">Phase 2 — Financial Integration (Year 2–3)</w:t>
      </w:r>
    </w:p>
    <w:p>
      <w:pPr>
        <w:pStyle w:val="ListParagraph"/>
        <w:numPr>
          <w:ilvl w:val="0"/>
          <w:numId w:val="2"/>
        </w:numPr>
        <w:spacing w:after="60" w:before="60"/>
      </w:pPr>
      <w:r>
        <w:rPr>
          <w:rFonts w:ascii="Arial" w:cs="Arial" w:eastAsia="Arial" w:hAnsi="Arial"/>
          <w:sz w:val="22"/>
          <w:szCs w:val="22"/>
        </w:rPr>
        <w:t xml:space="preserve">RBI issues circular mandating scheduled banks to integrate with BSC</w:t>
      </w:r>
    </w:p>
    <w:p>
      <w:pPr>
        <w:pStyle w:val="ListParagraph"/>
        <w:numPr>
          <w:ilvl w:val="0"/>
          <w:numId w:val="2"/>
        </w:numPr>
        <w:spacing w:after="60" w:before="60"/>
      </w:pPr>
      <w:r>
        <w:rPr>
          <w:rFonts w:ascii="Arial" w:cs="Arial" w:eastAsia="Arial" w:hAnsi="Arial"/>
          <w:sz w:val="22"/>
          <w:szCs w:val="22"/>
        </w:rPr>
        <w:t xml:space="preserve">SEBI links stock, mutual fund, and demat holdings</w:t>
      </w:r>
    </w:p>
    <w:p>
      <w:pPr>
        <w:pStyle w:val="ListParagraph"/>
        <w:numPr>
          <w:ilvl w:val="0"/>
          <w:numId w:val="2"/>
        </w:numPr>
        <w:spacing w:after="60" w:before="60"/>
      </w:pPr>
      <w:r>
        <w:rPr>
          <w:rFonts w:ascii="Arial" w:cs="Arial" w:eastAsia="Arial" w:hAnsi="Arial"/>
          <w:sz w:val="22"/>
          <w:szCs w:val="22"/>
        </w:rPr>
        <w:t xml:space="preserve">EPFO and NPS link provident fund and pension data</w:t>
      </w:r>
    </w:p>
    <w:p>
      <w:pPr>
        <w:pStyle w:val="ListParagraph"/>
        <w:numPr>
          <w:ilvl w:val="0"/>
          <w:numId w:val="2"/>
        </w:numPr>
        <w:spacing w:after="60" w:before="60"/>
      </w:pPr>
      <w:r>
        <w:rPr>
          <w:rFonts w:ascii="Arial" w:cs="Arial" w:eastAsia="Arial" w:hAnsi="Arial"/>
          <w:sz w:val="22"/>
          <w:szCs w:val="22"/>
        </w:rPr>
        <w:t xml:space="preserve">All new property registrations in India go directly on BSC</w:t>
      </w:r>
    </w:p>
    <w:p>
      <w:pPr>
        <w:pStyle w:val="ListParagraph"/>
        <w:numPr>
          <w:ilvl w:val="0"/>
          <w:numId w:val="2"/>
        </w:numPr>
        <w:spacing w:after="60" w:before="60"/>
      </w:pPr>
      <w:r>
        <w:rPr>
          <w:rFonts w:ascii="Arial" w:cs="Arial" w:eastAsia="Arial" w:hAnsi="Arial"/>
          <w:sz w:val="22"/>
          <w:szCs w:val="22"/>
        </w:rPr>
        <w:t xml:space="preserve">Smart contract anomaly detection goes live for public officials</w:t>
      </w:r>
    </w:p>
    <w:p>
      <w:pPr>
        <w:spacing w:after="120" w:before="120"/>
      </w:pPr>
    </w:p>
    <w:p>
      <w:pPr>
        <w:pStyle w:val="Heading2"/>
        <w:spacing w:after="160" w:before="300"/>
      </w:pPr>
      <w:r>
        <w:rPr>
          <w:rFonts w:ascii="Arial" w:cs="Arial" w:eastAsia="Arial" w:hAnsi="Arial"/>
          <w:b/>
          <w:bCs/>
          <w:color w:val="2E75B6"/>
          <w:sz w:val="26"/>
          <w:szCs w:val="26"/>
        </w:rPr>
        <w:t xml:space="preserve">Phase 3 — National Rollout (Year 3–4)</w:t>
      </w:r>
    </w:p>
    <w:p>
      <w:pPr>
        <w:pStyle w:val="ListParagraph"/>
        <w:numPr>
          <w:ilvl w:val="0"/>
          <w:numId w:val="2"/>
        </w:numPr>
        <w:spacing w:after="60" w:before="60"/>
      </w:pPr>
      <w:r>
        <w:rPr>
          <w:rFonts w:ascii="Arial" w:cs="Arial" w:eastAsia="Arial" w:hAnsi="Arial"/>
          <w:sz w:val="22"/>
          <w:szCs w:val="22"/>
        </w:rPr>
        <w:t xml:space="preserve">All 28 states and 8 UTs fully integrated</w:t>
      </w:r>
    </w:p>
    <w:p>
      <w:pPr>
        <w:pStyle w:val="ListParagraph"/>
        <w:numPr>
          <w:ilvl w:val="0"/>
          <w:numId w:val="2"/>
        </w:numPr>
        <w:spacing w:after="60" w:before="60"/>
      </w:pPr>
      <w:r>
        <w:rPr>
          <w:rFonts w:ascii="Arial" w:cs="Arial" w:eastAsia="Arial" w:hAnsi="Arial"/>
          <w:sz w:val="22"/>
          <w:szCs w:val="22"/>
        </w:rPr>
        <w:t xml:space="preserve">Retrospective digitization of historical property records</w:t>
      </w:r>
    </w:p>
    <w:p>
      <w:pPr>
        <w:pStyle w:val="ListParagraph"/>
        <w:numPr>
          <w:ilvl w:val="0"/>
          <w:numId w:val="2"/>
        </w:numPr>
        <w:spacing w:after="60" w:before="60"/>
      </w:pPr>
      <w:r>
        <w:rPr>
          <w:rFonts w:ascii="Arial" w:cs="Arial" w:eastAsia="Arial" w:hAnsi="Arial"/>
          <w:sz w:val="22"/>
          <w:szCs w:val="22"/>
        </w:rPr>
        <w:t xml:space="preserve">Foreign asset linking through FEMA and bilateral tax information exchange treaties</w:t>
      </w:r>
    </w:p>
    <w:p>
      <w:pPr>
        <w:pStyle w:val="ListParagraph"/>
        <w:numPr>
          <w:ilvl w:val="0"/>
          <w:numId w:val="2"/>
        </w:numPr>
        <w:spacing w:after="60" w:before="60"/>
      </w:pPr>
      <w:r>
        <w:rPr>
          <w:rFonts w:ascii="Arial" w:cs="Arial" w:eastAsia="Arial" w:hAnsi="Arial"/>
          <w:sz w:val="22"/>
          <w:szCs w:val="22"/>
        </w:rPr>
        <w:t xml:space="preserve">Public dashboard for politician and government employee wealth goes live</w:t>
      </w:r>
    </w:p>
    <w:p>
      <w:pPr>
        <w:pStyle w:val="ListParagraph"/>
        <w:numPr>
          <w:ilvl w:val="0"/>
          <w:numId w:val="2"/>
        </w:numPr>
        <w:spacing w:after="60" w:before="60"/>
      </w:pPr>
      <w:r>
        <w:rPr>
          <w:rFonts w:ascii="Arial" w:cs="Arial" w:eastAsia="Arial" w:hAnsi="Arial"/>
          <w:sz w:val="22"/>
          <w:szCs w:val="22"/>
        </w:rPr>
        <w:t xml:space="preserve">BSC becomes mandatory for all government contracts, tenders, and licenses</w:t>
      </w:r>
    </w:p>
    <w:p>
      <w:pPr>
        <w:spacing w:after="120" w:before="120"/>
      </w:pPr>
    </w:p>
    <w:p>
      <w:pPr>
        <w:pStyle w:val="Heading2"/>
        <w:spacing w:after="160" w:before="300"/>
      </w:pPr>
      <w:r>
        <w:rPr>
          <w:rFonts w:ascii="Arial" w:cs="Arial" w:eastAsia="Arial" w:hAnsi="Arial"/>
          <w:b/>
          <w:bCs/>
          <w:color w:val="2E75B6"/>
          <w:sz w:val="26"/>
          <w:szCs w:val="26"/>
        </w:rPr>
        <w:t xml:space="preserve">Phase 4 — AI Integration (Year 4–5)</w:t>
      </w:r>
    </w:p>
    <w:p>
      <w:pPr>
        <w:pStyle w:val="ListParagraph"/>
        <w:numPr>
          <w:ilvl w:val="0"/>
          <w:numId w:val="2"/>
        </w:numPr>
        <w:spacing w:after="60" w:before="60"/>
      </w:pPr>
      <w:r>
        <w:rPr>
          <w:rFonts w:ascii="Arial" w:cs="Arial" w:eastAsia="Arial" w:hAnsi="Arial"/>
          <w:sz w:val="22"/>
          <w:szCs w:val="22"/>
        </w:rPr>
        <w:t xml:space="preserve">AI layer deployed on top of BSC for pattern recognition across generations of wealth</w:t>
      </w:r>
    </w:p>
    <w:p>
      <w:pPr>
        <w:pStyle w:val="ListParagraph"/>
        <w:numPr>
          <w:ilvl w:val="0"/>
          <w:numId w:val="2"/>
        </w:numPr>
        <w:spacing w:after="60" w:before="60"/>
      </w:pPr>
      <w:r>
        <w:rPr>
          <w:rFonts w:ascii="Arial" w:cs="Arial" w:eastAsia="Arial" w:hAnsi="Arial"/>
          <w:sz w:val="22"/>
          <w:szCs w:val="22"/>
        </w:rPr>
        <w:t xml:space="preserve">Predictive fraud detection — flags suspicious patterns before formal transactions complete</w:t>
      </w:r>
    </w:p>
    <w:p>
      <w:pPr>
        <w:pStyle w:val="ListParagraph"/>
        <w:numPr>
          <w:ilvl w:val="0"/>
          <w:numId w:val="2"/>
        </w:numPr>
        <w:spacing w:after="60" w:before="60"/>
      </w:pPr>
      <w:r>
        <w:rPr>
          <w:rFonts w:ascii="Arial" w:cs="Arial" w:eastAsia="Arial" w:hAnsi="Arial"/>
          <w:sz w:val="22"/>
          <w:szCs w:val="22"/>
        </w:rPr>
        <w:t xml:space="preserve">Cross-border money laundering detection in partnership with FATF</w:t>
      </w:r>
    </w:p>
    <w:p>
      <w:pPr>
        <w:pStyle w:val="ListParagraph"/>
        <w:numPr>
          <w:ilvl w:val="0"/>
          <w:numId w:val="2"/>
        </w:numPr>
        <w:spacing w:after="60" w:before="60"/>
      </w:pPr>
      <w:r>
        <w:rPr>
          <w:rFonts w:ascii="Arial" w:cs="Arial" w:eastAsia="Arial" w:hAnsi="Arial"/>
          <w:sz w:val="22"/>
          <w:szCs w:val="22"/>
        </w:rPr>
        <w:t xml:space="preserve">Real estate circle rate auto-calibration based on BSC transaction data</w:t>
      </w:r>
    </w:p>
    <w:p>
      <w:pPr>
        <w:pStyle w:val="ListParagraph"/>
        <w:numPr>
          <w:ilvl w:val="0"/>
          <w:numId w:val="2"/>
        </w:numPr>
        <w:spacing w:after="60" w:before="60"/>
      </w:pPr>
      <w:r>
        <w:rPr>
          <w:rFonts w:ascii="Arial" w:cs="Arial" w:eastAsia="Arial" w:hAnsi="Arial"/>
          <w:sz w:val="22"/>
          <w:szCs w:val="22"/>
        </w:rPr>
        <w:t xml:space="preserve">Full integration with GST network for business income cross-verification</w:t>
      </w:r>
    </w:p>
    <w:p>
      <w:pPr>
        <w:spacing w:after="120" w:before="120"/>
      </w:pPr>
    </w:p>
    <w:p>
      <w:r>
        <w:br w:type="page"/>
      </w:r>
    </w:p>
    <w:p>
      <w:pPr>
        <w:pStyle w:val="Heading1"/>
        <w:spacing w:after="200" w:before="400"/>
      </w:pPr>
      <w:r>
        <w:rPr>
          <w:rFonts w:ascii="Arial" w:cs="Arial" w:eastAsia="Arial" w:hAnsi="Arial"/>
          <w:b/>
          <w:bCs/>
          <w:color w:val="1E5AA8"/>
          <w:sz w:val="32"/>
          <w:szCs w:val="32"/>
        </w:rPr>
        <w:t xml:space="preserve">7. Legal &amp; Governance Framework</w:t>
      </w:r>
    </w:p>
    <w:p>
      <w:pPr>
        <w:pBdr>
          <w:bottom w:val="single" w:color="2E75B6" w:sz="4" w:space="1"/>
        </w:pBdr>
        <w:spacing w:after="200" w:before="200"/>
      </w:pPr>
    </w:p>
    <w:p>
      <w:pPr>
        <w:pStyle w:val="Heading2"/>
        <w:spacing w:after="160" w:before="300"/>
      </w:pPr>
      <w:r>
        <w:rPr>
          <w:rFonts w:ascii="Arial" w:cs="Arial" w:eastAsia="Arial" w:hAnsi="Arial"/>
          <w:b/>
          <w:bCs/>
          <w:color w:val="2E75B6"/>
          <w:sz w:val="26"/>
          <w:szCs w:val="26"/>
        </w:rPr>
        <w:t xml:space="preserve">7.1 New Legislation Required</w:t>
      </w:r>
    </w:p>
    <w:p>
      <w:pPr>
        <w:pStyle w:val="ListParagraph"/>
        <w:numPr>
          <w:ilvl w:val="0"/>
          <w:numId w:val="3"/>
        </w:numPr>
        <w:spacing w:after="60" w:before="60"/>
      </w:pPr>
      <w:r>
        <w:rPr>
          <w:rFonts w:ascii="Arial" w:cs="Arial" w:eastAsia="Arial" w:hAnsi="Arial"/>
          <w:sz w:val="22"/>
          <w:szCs w:val="22"/>
        </w:rPr>
        <w:t xml:space="preserve">Bharat Sampada Chain Act — Establishing BSC as statutory authority independent of executive government</w:t>
      </w:r>
    </w:p>
    <w:p>
      <w:pPr>
        <w:pStyle w:val="ListParagraph"/>
        <w:numPr>
          <w:ilvl w:val="0"/>
          <w:numId w:val="3"/>
        </w:numPr>
        <w:spacing w:after="60" w:before="60"/>
      </w:pPr>
      <w:r>
        <w:rPr>
          <w:rFonts w:ascii="Arial" w:cs="Arial" w:eastAsia="Arial" w:hAnsi="Arial"/>
          <w:sz w:val="22"/>
          <w:szCs w:val="22"/>
        </w:rPr>
        <w:t xml:space="preserve">Digital Assets Declaration Act — Making asset disclosure on BSC mandatory for all citizens above threshold, and for all public officials without threshold</w:t>
      </w:r>
    </w:p>
    <w:p>
      <w:pPr>
        <w:pStyle w:val="ListParagraph"/>
        <w:numPr>
          <w:ilvl w:val="0"/>
          <w:numId w:val="3"/>
        </w:numPr>
        <w:spacing w:after="60" w:before="60"/>
      </w:pPr>
      <w:r>
        <w:rPr>
          <w:rFonts w:ascii="Arial" w:cs="Arial" w:eastAsia="Arial" w:hAnsi="Arial"/>
          <w:sz w:val="22"/>
          <w:szCs w:val="22"/>
        </w:rPr>
        <w:t xml:space="preserve">Amendment to Prevention of Corruption Act — Making BSC data admissible as primary evidence in corruption cases</w:t>
      </w:r>
    </w:p>
    <w:p>
      <w:pPr>
        <w:pStyle w:val="ListParagraph"/>
        <w:numPr>
          <w:ilvl w:val="0"/>
          <w:numId w:val="3"/>
        </w:numPr>
        <w:spacing w:after="60" w:before="60"/>
      </w:pPr>
      <w:r>
        <w:rPr>
          <w:rFonts w:ascii="Arial" w:cs="Arial" w:eastAsia="Arial" w:hAnsi="Arial"/>
          <w:sz w:val="22"/>
          <w:szCs w:val="22"/>
        </w:rPr>
        <w:t xml:space="preserve">Amendment to Income Tax Act — Linking ITR filing directly to BSC asset snapshot</w:t>
      </w:r>
    </w:p>
    <w:p>
      <w:pPr>
        <w:pStyle w:val="ListParagraph"/>
        <w:numPr>
          <w:ilvl w:val="0"/>
          <w:numId w:val="3"/>
        </w:numPr>
        <w:spacing w:after="60" w:before="60"/>
      </w:pPr>
      <w:r>
        <w:rPr>
          <w:rFonts w:ascii="Arial" w:cs="Arial" w:eastAsia="Arial" w:hAnsi="Arial"/>
          <w:sz w:val="22"/>
          <w:szCs w:val="22"/>
        </w:rPr>
        <w:t xml:space="preserve">Blockchain Evidence Act — Giving BSC records the same legal standing as registered documents</w:t>
      </w:r>
    </w:p>
    <w:p>
      <w:pPr>
        <w:spacing w:after="120" w:before="120"/>
      </w:pPr>
    </w:p>
    <w:p>
      <w:pPr>
        <w:pStyle w:val="Heading2"/>
        <w:spacing w:after="160" w:before="300"/>
      </w:pPr>
      <w:r>
        <w:rPr>
          <w:rFonts w:ascii="Arial" w:cs="Arial" w:eastAsia="Arial" w:hAnsi="Arial"/>
          <w:b/>
          <w:bCs/>
          <w:color w:val="2E75B6"/>
          <w:sz w:val="26"/>
          <w:szCs w:val="26"/>
        </w:rPr>
        <w:t xml:space="preserve">7.2 Governance Structure</w:t>
      </w:r>
    </w:p>
    <w:p>
      <w:pPr>
        <w:spacing w:after="100" w:before="80"/>
      </w:pPr>
      <w:r>
        <w:rPr>
          <w:rFonts w:ascii="Arial" w:cs="Arial" w:eastAsia="Arial" w:hAnsi="Arial"/>
          <w:sz w:val="22"/>
          <w:szCs w:val="22"/>
        </w:rPr>
        <w:t xml:space="preserve">BSC must be governed by an institution independent of the executive government to prevent political manipulation: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Body</w:t>
            </w:r>
          </w:p>
        </w:tc>
        <w:tc>
          <w:tcPr>
            <w:tcW w:type="dxa" w:w="32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33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Appointed By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BSC Authority Board</w:t>
            </w:r>
          </w:p>
        </w:tc>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Overall governance and policy</w:t>
            </w:r>
          </w:p>
        </w:tc>
        <w:tc>
          <w:tcPr>
            <w:tcW w:type="dxa" w:w="3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Supreme Court collegium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Technical Standards Committee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Blockchain protocol standards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IITs + TRAI + Industry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Data Protection Ombudsman</w:t>
            </w:r>
          </w:p>
        </w:tc>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Privacy oversight and complaints</w:t>
            </w:r>
          </w:p>
        </w:tc>
        <w:tc>
          <w:tcPr>
            <w:tcW w:type="dxa" w:w="3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Parliament (cross-party)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 Audit Committee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Annual transparency audit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CAG + Civil Society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Security Council</w:t>
            </w:r>
          </w:p>
        </w:tc>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Cybersecurity and breach response</w:t>
            </w:r>
          </w:p>
        </w:tc>
        <w:tc>
          <w:tcPr>
            <w:tcW w:type="dxa" w:w="3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CERT-In + Defence Ministry</w:t>
            </w:r>
          </w:p>
        </w:tc>
      </w:tr>
    </w:tbl>
    <w:p>
      <w:pPr>
        <w:spacing w:after="120" w:before="120"/>
      </w:pPr>
    </w:p>
    <w:p>
      <w:pPr>
        <w:pStyle w:val="Heading2"/>
        <w:spacing w:after="160" w:before="300"/>
      </w:pPr>
      <w:r>
        <w:rPr>
          <w:rFonts w:ascii="Arial" w:cs="Arial" w:eastAsia="Arial" w:hAnsi="Arial"/>
          <w:b/>
          <w:bCs/>
          <w:color w:val="2E75B6"/>
          <w:sz w:val="26"/>
          <w:szCs w:val="26"/>
        </w:rPr>
        <w:t xml:space="preserve">7.3 Path Without Government Approval</w:t>
      </w:r>
    </w:p>
    <w:p>
      <w:pPr>
        <w:spacing w:after="100" w:before="80"/>
      </w:pPr>
      <w:r>
        <w:rPr>
          <w:rFonts w:ascii="Arial" w:cs="Arial" w:eastAsia="Arial" w:hAnsi="Arial"/>
          <w:sz w:val="22"/>
          <w:szCs w:val="22"/>
        </w:rPr>
        <w:t xml:space="preserve">Given that corrupt politicians are unlikely to voluntarily approve BSC, the following strategy builds pressure from outside the system:</w:t>
      </w:r>
    </w:p>
    <w:p>
      <w:pPr>
        <w:spacing w:after="120" w:before="120"/>
      </w:pPr>
    </w:p>
    <w:p>
      <w:pPr>
        <w:pStyle w:val="ListParagraph"/>
        <w:numPr>
          <w:ilvl w:val="0"/>
          <w:numId w:val="3"/>
        </w:numPr>
        <w:spacing w:after="60" w:before="60"/>
      </w:pPr>
      <w:r>
        <w:rPr>
          <w:rFonts w:ascii="Arial" w:cs="Arial" w:eastAsia="Arial" w:hAnsi="Arial"/>
          <w:sz w:val="22"/>
          <w:szCs w:val="22"/>
        </w:rPr>
        <w:t xml:space="preserve">Build the open-source prototype — no government permission required for this step</w:t>
      </w:r>
    </w:p>
    <w:p>
      <w:pPr>
        <w:pStyle w:val="ListParagraph"/>
        <w:numPr>
          <w:ilvl w:val="0"/>
          <w:numId w:val="3"/>
        </w:numPr>
        <w:spacing w:after="60" w:before="60"/>
      </w:pPr>
      <w:r>
        <w:rPr>
          <w:rFonts w:ascii="Arial" w:cs="Arial" w:eastAsia="Arial" w:hAnsi="Arial"/>
          <w:sz w:val="22"/>
          <w:szCs w:val="22"/>
        </w:rPr>
        <w:t xml:space="preserve">Map and publish all publicly available property data on a demonstration BSC network</w:t>
      </w:r>
    </w:p>
    <w:p>
      <w:pPr>
        <w:pStyle w:val="ListParagraph"/>
        <w:numPr>
          <w:ilvl w:val="0"/>
          <w:numId w:val="3"/>
        </w:numPr>
        <w:spacing w:after="60" w:before="60"/>
      </w:pPr>
      <w:r>
        <w:rPr>
          <w:rFonts w:ascii="Arial" w:cs="Arial" w:eastAsia="Arial" w:hAnsi="Arial"/>
          <w:sz w:val="22"/>
          <w:szCs w:val="22"/>
        </w:rPr>
        <w:t xml:space="preserve">Engage civil society, media, and academic institutions to validate the concept</w:t>
      </w:r>
    </w:p>
    <w:p>
      <w:pPr>
        <w:pStyle w:val="ListParagraph"/>
        <w:numPr>
          <w:ilvl w:val="0"/>
          <w:numId w:val="3"/>
        </w:numPr>
        <w:spacing w:after="60" w:before="60"/>
      </w:pPr>
      <w:r>
        <w:rPr>
          <w:rFonts w:ascii="Arial" w:cs="Arial" w:eastAsia="Arial" w:hAnsi="Arial"/>
          <w:sz w:val="22"/>
          <w:szCs w:val="22"/>
        </w:rPr>
        <w:t xml:space="preserve">File a PIL in the Supreme Court of India seeking mandatory wealth disclosure on blockchain for all public officials</w:t>
      </w:r>
    </w:p>
    <w:p>
      <w:pPr>
        <w:pStyle w:val="ListParagraph"/>
        <w:numPr>
          <w:ilvl w:val="0"/>
          <w:numId w:val="3"/>
        </w:numPr>
        <w:spacing w:after="60" w:before="60"/>
      </w:pPr>
      <w:r>
        <w:rPr>
          <w:rFonts w:ascii="Arial" w:cs="Arial" w:eastAsia="Arial" w:hAnsi="Arial"/>
          <w:sz w:val="22"/>
          <w:szCs w:val="22"/>
        </w:rPr>
        <w:t xml:space="preserve">Leverage FATF and international anti-money laundering pressure on India to adopt transparent asset registries</w:t>
      </w:r>
    </w:p>
    <w:p>
      <w:pPr>
        <w:pStyle w:val="ListParagraph"/>
        <w:numPr>
          <w:ilvl w:val="0"/>
          <w:numId w:val="3"/>
        </w:numPr>
        <w:spacing w:after="60" w:before="60"/>
      </w:pPr>
      <w:r>
        <w:rPr>
          <w:rFonts w:ascii="Arial" w:cs="Arial" w:eastAsia="Arial" w:hAnsi="Arial"/>
          <w:sz w:val="22"/>
          <w:szCs w:val="22"/>
        </w:rPr>
        <w:t xml:space="preserve">Build public demand through voter awareness campaigns — make opacity an electoral issue</w:t>
      </w:r>
    </w:p>
    <w:p>
      <w:pPr>
        <w:spacing w:after="120" w:before="120"/>
      </w:pPr>
    </w:p>
    <w:p>
      <w:r>
        <w:br w:type="page"/>
      </w:r>
    </w:p>
    <w:p>
      <w:pPr>
        <w:pStyle w:val="Heading1"/>
        <w:spacing w:after="200" w:before="400"/>
      </w:pPr>
      <w:r>
        <w:rPr>
          <w:rFonts w:ascii="Arial" w:cs="Arial" w:eastAsia="Arial" w:hAnsi="Arial"/>
          <w:b/>
          <w:bCs/>
          <w:color w:val="1E5AA8"/>
          <w:sz w:val="32"/>
          <w:szCs w:val="32"/>
        </w:rPr>
        <w:t xml:space="preserve">8. International Precedents</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Country</w:t>
            </w:r>
          </w:p>
        </w:tc>
        <w:tc>
          <w:tcPr>
            <w:tcW w:type="dxa" w:w="32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System</w:t>
            </w:r>
          </w:p>
        </w:tc>
        <w:tc>
          <w:tcPr>
            <w:tcW w:type="dxa" w:w="43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Key Lesson for India</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Estonia</w:t>
            </w:r>
          </w:p>
        </w:tc>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Full digital governance including blockchain land registry</w:t>
            </w:r>
          </w:p>
        </w:tc>
        <w:tc>
          <w:tcPr>
            <w:tcW w:type="dxa" w:w="4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Built by citizens and tech community; government adopted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Norway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citizens' tax data publicly searchable online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Transparency reduces inequality and corruption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Ukraine</w:t>
            </w:r>
          </w:p>
        </w:tc>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Mandatory electronic asset declaration for all officials</w:t>
            </w:r>
          </w:p>
        </w:tc>
        <w:tc>
          <w:tcPr>
            <w:tcW w:type="dxa" w:w="4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Civil society pressure post-Maidan forced reluctant politicians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Georgia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Blockchain land registry post-corruption crisis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Crisis creates the window for reform</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Ghana</w:t>
            </w:r>
          </w:p>
        </w:tc>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Civil society property mapping adopted by government</w:t>
            </w:r>
          </w:p>
        </w:tc>
        <w:tc>
          <w:tcPr>
            <w:tcW w:type="dxa" w:w="43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Bottom-up approach works when top-down fails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Sweden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Semi-public tax records since 1766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Long history proves transparency and privacy can coexist</w:t>
            </w:r>
          </w:p>
        </w:tc>
      </w:tr>
    </w:tbl>
    <w:p>
      <w:pPr>
        <w:spacing w:after="120" w:before="120"/>
      </w:pPr>
    </w:p>
    <w:p>
      <w:r>
        <w:br w:type="page"/>
      </w:r>
    </w:p>
    <w:p>
      <w:pPr>
        <w:pStyle w:val="Heading1"/>
        <w:spacing w:after="200" w:before="400"/>
      </w:pPr>
      <w:r>
        <w:rPr>
          <w:rFonts w:ascii="Arial" w:cs="Arial" w:eastAsia="Arial" w:hAnsi="Arial"/>
          <w:b/>
          <w:bCs/>
          <w:color w:val="1E5AA8"/>
          <w:sz w:val="32"/>
          <w:szCs w:val="32"/>
        </w:rPr>
        <w:t xml:space="preserve">9. Prototype Development Plan</w:t>
      </w:r>
    </w:p>
    <w:p>
      <w:pPr>
        <w:pBdr>
          <w:bottom w:val="single" w:color="2E75B6" w:sz="4" w:space="1"/>
        </w:pBdr>
        <w:spacing w:after="200" w:before="200"/>
      </w:pPr>
    </w:p>
    <w:p>
      <w:pPr>
        <w:spacing w:after="100" w:before="80"/>
      </w:pPr>
      <w:r>
        <w:rPr>
          <w:rFonts w:ascii="Arial" w:cs="Arial" w:eastAsia="Arial" w:hAnsi="Arial"/>
          <w:sz w:val="22"/>
          <w:szCs w:val="22"/>
        </w:rPr>
        <w:t xml:space="preserve">The following prototype can be built without any government permission, using publicly available data and open-source blockchain technology:</w:t>
      </w:r>
    </w:p>
    <w:p>
      <w:pPr>
        <w:spacing w:after="120" w:before="120"/>
      </w:pPr>
    </w:p>
    <w:p>
      <w:pPr>
        <w:pStyle w:val="Heading2"/>
        <w:spacing w:after="160" w:before="300"/>
      </w:pPr>
      <w:r>
        <w:rPr>
          <w:rFonts w:ascii="Arial" w:cs="Arial" w:eastAsia="Arial" w:hAnsi="Arial"/>
          <w:b/>
          <w:bCs/>
          <w:color w:val="2E75B6"/>
          <w:sz w:val="26"/>
          <w:szCs w:val="26"/>
        </w:rPr>
        <w:t xml:space="preserve">9.1 Phase 0 Prototype — What We Can Build Right Now</w:t>
      </w:r>
    </w:p>
    <w:p>
      <w:pPr>
        <w:pStyle w:val="ListParagraph"/>
        <w:numPr>
          <w:ilvl w:val="0"/>
          <w:numId w:val="2"/>
        </w:numPr>
        <w:spacing w:after="60" w:before="60"/>
      </w:pPr>
      <w:r>
        <w:rPr>
          <w:rFonts w:ascii="Arial" w:cs="Arial" w:eastAsia="Arial" w:hAnsi="Arial"/>
          <w:sz w:val="22"/>
          <w:szCs w:val="22"/>
        </w:rPr>
        <w:t xml:space="preserve">Open-source BSC blockchain node using Hyperledger Fabric on GitHub</w:t>
      </w:r>
    </w:p>
    <w:p>
      <w:pPr>
        <w:pStyle w:val="ListParagraph"/>
        <w:numPr>
          <w:ilvl w:val="0"/>
          <w:numId w:val="2"/>
        </w:numPr>
        <w:spacing w:after="60" w:before="60"/>
      </w:pPr>
      <w:r>
        <w:rPr>
          <w:rFonts w:ascii="Arial" w:cs="Arial" w:eastAsia="Arial" w:hAnsi="Arial"/>
          <w:sz w:val="22"/>
          <w:szCs w:val="22"/>
        </w:rPr>
        <w:t xml:space="preserve">Property data ingestion from publicly available state registration data (Maharashtra, Karnataka, Delhi publish this)</w:t>
      </w:r>
    </w:p>
    <w:p>
      <w:pPr>
        <w:pStyle w:val="ListParagraph"/>
        <w:numPr>
          <w:ilvl w:val="0"/>
          <w:numId w:val="2"/>
        </w:numPr>
        <w:spacing w:after="60" w:before="60"/>
      </w:pPr>
      <w:r>
        <w:rPr>
          <w:rFonts w:ascii="Arial" w:cs="Arial" w:eastAsia="Arial" w:hAnsi="Arial"/>
          <w:sz w:val="22"/>
          <w:szCs w:val="22"/>
        </w:rPr>
        <w:t xml:space="preserve">Demonstration ZKP identity module using synthetic Aadhaar-like test data</w:t>
      </w:r>
    </w:p>
    <w:p>
      <w:pPr>
        <w:pStyle w:val="ListParagraph"/>
        <w:numPr>
          <w:ilvl w:val="0"/>
          <w:numId w:val="2"/>
        </w:numPr>
        <w:spacing w:after="60" w:before="60"/>
      </w:pPr>
      <w:r>
        <w:rPr>
          <w:rFonts w:ascii="Arial" w:cs="Arial" w:eastAsia="Arial" w:hAnsi="Arial"/>
          <w:sz w:val="22"/>
          <w:szCs w:val="22"/>
        </w:rPr>
        <w:t xml:space="preserve">Smart contract anomaly detector running on test data</w:t>
      </w:r>
    </w:p>
    <w:p>
      <w:pPr>
        <w:pStyle w:val="ListParagraph"/>
        <w:numPr>
          <w:ilvl w:val="0"/>
          <w:numId w:val="2"/>
        </w:numPr>
        <w:spacing w:after="60" w:before="60"/>
      </w:pPr>
      <w:r>
        <w:rPr>
          <w:rFonts w:ascii="Arial" w:cs="Arial" w:eastAsia="Arial" w:hAnsi="Arial"/>
          <w:sz w:val="22"/>
          <w:szCs w:val="22"/>
        </w:rPr>
        <w:t xml:space="preserve">Public dashboard showing how politician wealth tracking would work</w:t>
      </w:r>
    </w:p>
    <w:p>
      <w:pPr>
        <w:pStyle w:val="ListParagraph"/>
        <w:numPr>
          <w:ilvl w:val="0"/>
          <w:numId w:val="2"/>
        </w:numPr>
        <w:spacing w:after="60" w:before="60"/>
      </w:pPr>
      <w:r>
        <w:rPr>
          <w:rFonts w:ascii="Arial" w:cs="Arial" w:eastAsia="Arial" w:hAnsi="Arial"/>
          <w:sz w:val="22"/>
          <w:szCs w:val="22"/>
        </w:rPr>
        <w:t xml:space="preserve">Mobile app prototype showing citizen's own wealth dashboard</w:t>
      </w:r>
    </w:p>
    <w:p>
      <w:pPr>
        <w:spacing w:after="120" w:before="120"/>
      </w:pPr>
    </w:p>
    <w:p>
      <w:pPr>
        <w:pStyle w:val="Heading2"/>
        <w:spacing w:after="160" w:before="300"/>
      </w:pPr>
      <w:r>
        <w:rPr>
          <w:rFonts w:ascii="Arial" w:cs="Arial" w:eastAsia="Arial" w:hAnsi="Arial"/>
          <w:b/>
          <w:bCs/>
          <w:color w:val="2E75B6"/>
          <w:sz w:val="26"/>
          <w:szCs w:val="26"/>
        </w:rPr>
        <w:t xml:space="preserve">9.2 Technology Stack for Prototype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PROTOTYPE TECH STACK:</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Blockchain:     Hyperledger Fabric 2.5 (local testnet)</w:t>
            </w:r>
          </w:p>
          <w:p>
            <w:pPr>
              <w:spacing w:after="20" w:before="20"/>
            </w:pPr>
            <w:r>
              <w:rPr>
                <w:rFonts w:ascii="Courier New" w:cs="Courier New" w:eastAsia="Courier New" w:hAnsi="Courier New"/>
                <w:color w:val="A8D8A8"/>
                <w:sz w:val="18"/>
                <w:szCs w:val="18"/>
              </w:rPr>
              <w:t xml:space="preserve">Smart Contracts: Chaincode in Go + Solidity on Polygon Mumbai testnet</w:t>
            </w:r>
          </w:p>
          <w:p>
            <w:pPr>
              <w:spacing w:after="20" w:before="20"/>
            </w:pPr>
            <w:r>
              <w:rPr>
                <w:rFonts w:ascii="Courier New" w:cs="Courier New" w:eastAsia="Courier New" w:hAnsi="Courier New"/>
                <w:color w:val="A8D8A8"/>
                <w:sz w:val="18"/>
                <w:szCs w:val="18"/>
              </w:rPr>
              <w:t xml:space="preserve">ZKP Library:    snarkjs + circom (open source)</w:t>
            </w:r>
          </w:p>
          <w:p>
            <w:pPr>
              <w:spacing w:after="20" w:before="20"/>
            </w:pPr>
            <w:r>
              <w:rPr>
                <w:rFonts w:ascii="Courier New" w:cs="Courier New" w:eastAsia="Courier New" w:hAnsi="Courier New"/>
                <w:color w:val="A8D8A8"/>
                <w:sz w:val="18"/>
                <w:szCs w:val="18"/>
              </w:rPr>
              <w:t xml:space="preserve">Backend API:    Node.js + Express</w:t>
            </w:r>
          </w:p>
          <w:p>
            <w:pPr>
              <w:spacing w:after="20" w:before="20"/>
            </w:pPr>
            <w:r>
              <w:rPr>
                <w:rFonts w:ascii="Courier New" w:cs="Courier New" w:eastAsia="Courier New" w:hAnsi="Courier New"/>
                <w:color w:val="A8D8A8"/>
                <w:sz w:val="18"/>
                <w:szCs w:val="18"/>
              </w:rPr>
              <w:t xml:space="preserve">Database:       IPFS for document storage + PostgreSQL for indexing</w:t>
            </w:r>
          </w:p>
          <w:p>
            <w:pPr>
              <w:spacing w:after="20" w:before="20"/>
            </w:pPr>
            <w:r>
              <w:rPr>
                <w:rFonts w:ascii="Courier New" w:cs="Courier New" w:eastAsia="Courier New" w:hAnsi="Courier New"/>
                <w:color w:val="A8D8A8"/>
                <w:sz w:val="18"/>
                <w:szCs w:val="18"/>
              </w:rPr>
              <w:t xml:space="preserve">Frontend:       React.js + TailwindCSS</w:t>
            </w:r>
          </w:p>
          <w:p>
            <w:pPr>
              <w:spacing w:after="20" w:before="20"/>
            </w:pPr>
            <w:r>
              <w:rPr>
                <w:rFonts w:ascii="Courier New" w:cs="Courier New" w:eastAsia="Courier New" w:hAnsi="Courier New"/>
                <w:color w:val="A8D8A8"/>
                <w:sz w:val="18"/>
                <w:szCs w:val="18"/>
              </w:rPr>
              <w:t xml:space="preserve">Mobile:         React Native</w:t>
            </w:r>
          </w:p>
          <w:p>
            <w:pPr>
              <w:spacing w:after="20" w:before="20"/>
            </w:pPr>
            <w:r>
              <w:rPr>
                <w:rFonts w:ascii="Courier New" w:cs="Courier New" w:eastAsia="Courier New" w:hAnsi="Courier New"/>
                <w:color w:val="A8D8A8"/>
                <w:sz w:val="18"/>
                <w:szCs w:val="18"/>
              </w:rPr>
              <w:t xml:space="preserve">DevOps:         Docker + Kubernetes</w:t>
            </w:r>
          </w:p>
          <w:p>
            <w:pPr>
              <w:spacing w:after="20" w:before="20"/>
            </w:pPr>
            <w:r>
              <w:rPr>
                <w:rFonts w:ascii="Courier New" w:cs="Courier New" w:eastAsia="Courier New" w:hAnsi="Courier New"/>
                <w:color w:val="A8D8A8"/>
                <w:sz w:val="18"/>
                <w:szCs w:val="18"/>
              </w:rPr>
              <w:t xml:space="preserve">CI/CD:          GitHub Actions</w:t>
            </w:r>
          </w:p>
          <w:p>
            <w:pPr>
              <w:spacing w:after="20" w:before="20"/>
            </w:pPr>
            <w:r>
              <w:rPr>
                <w:rFonts w:ascii="Courier New" w:cs="Courier New" w:eastAsia="Courier New" w:hAnsi="Courier New"/>
                <w:color w:val="A8D8A8"/>
                <w:sz w:val="18"/>
                <w:szCs w:val="18"/>
              </w:rPr>
              <w:t xml:space="preserve">Open Source:    MIT License on GitHub</w:t>
            </w:r>
          </w:p>
        </w:tc>
      </w:tr>
    </w:tbl>
    <w:p>
      <w:pPr>
        <w:spacing w:after="120" w:before="120"/>
      </w:pPr>
    </w:p>
    <w:p>
      <w:pPr>
        <w:pStyle w:val="Heading2"/>
        <w:spacing w:after="160" w:before="300"/>
      </w:pPr>
      <w:r>
        <w:rPr>
          <w:rFonts w:ascii="Arial" w:cs="Arial" w:eastAsia="Arial" w:hAnsi="Arial"/>
          <w:b/>
          <w:bCs/>
          <w:color w:val="2E75B6"/>
          <w:sz w:val="26"/>
          <w:szCs w:val="26"/>
        </w:rPr>
        <w:t xml:space="preserve">9.3 Estimated Prototype Timeline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60"/>
      </w:tblGrid>
      <w:tr>
        <w:trPr>
          <w:tblHeader/>
        </w:trPr>
        <w:tc>
          <w:tcPr>
            <w:tcW w:type="dxa" w:w="32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20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4060"/>
            <w:tcBorders>
              <w:top w:val="single" w:color="1E5AA8" w:sz="1"/>
              <w:left w:val="single" w:color="1E5AA8" w:sz="1"/>
              <w:bottom w:val="single" w:color="1E5AA8" w:sz="1"/>
              <w:right w:val="single" w:color="1E5AA8" w:sz="1"/>
            </w:tcBorders>
            <w:shd w:fill="1E5AA8" w:val="clear"/>
            <w:tcMar>
              <w:top w:type="dxa" w:w="100"/>
              <w:left w:type="dxa" w:w="150"/>
              <w:bottom w:type="dxa" w:w="100"/>
              <w:right w:type="dxa" w:w="150"/>
            </w:tcMar>
          </w:tcPr>
          <w:p>
            <w:r>
              <w:rPr>
                <w:rFonts w:ascii="Arial" w:cs="Arial" w:eastAsia="Arial" w:hAnsi="Arial"/>
                <w:b/>
                <w:bCs/>
                <w:color w:val="FFFFFF"/>
                <w:sz w:val="20"/>
                <w:szCs w:val="20"/>
              </w:rPr>
              <w:t xml:space="preserve">Resources Needed</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Core blockchain node + identity module</w:t>
            </w:r>
          </w:p>
        </w:tc>
        <w:tc>
          <w:tcPr>
            <w:tcW w:type="dxa" w:w="2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Month 1–2</w:t>
            </w:r>
          </w:p>
        </w:tc>
        <w:tc>
          <w:tcPr>
            <w:tcW w:type="dxa" w:w="40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3 blockchain developers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Property data ingestion +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Month 2–3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backend developers + data engineer</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Smart contract anomaly detector</w:t>
            </w:r>
          </w:p>
        </w:tc>
        <w:tc>
          <w:tcPr>
            <w:tcW w:type="dxa" w:w="2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Month 3–4</w:t>
            </w:r>
          </w:p>
        </w:tc>
        <w:tc>
          <w:tcPr>
            <w:tcW w:type="dxa" w:w="40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2 smart contract developers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Public dashboard + politician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Month 4–5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frontend developers</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Mobile app (citizen wallet)</w:t>
            </w:r>
          </w:p>
        </w:tc>
        <w:tc>
          <w:tcPr>
            <w:tcW w:type="dxa" w:w="2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Month 5–6</w:t>
            </w:r>
          </w:p>
        </w:tc>
        <w:tc>
          <w:tcPr>
            <w:tcW w:type="dxa" w:w="40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2 mobile developers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 audit + documentation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Month 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Security firm + technical writer</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Public launch + PIL filing</w:t>
            </w:r>
          </w:p>
        </w:tc>
        <w:tc>
          <w:tcPr>
            <w:tcW w:type="dxa" w:w="220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Month 7</w:t>
            </w:r>
          </w:p>
        </w:tc>
        <w:tc>
          <w:tcPr>
            <w:tcW w:type="dxa" w:w="406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Legal team + PR</w:t>
            </w:r>
          </w:p>
        </w:tc>
      </w:tr>
    </w:tbl>
    <w:p>
      <w:pPr>
        <w:spacing w:after="120" w:before="120"/>
      </w:pPr>
    </w:p>
    <w:p>
      <w:r>
        <w:br w:type="page"/>
      </w:r>
    </w:p>
    <w:p>
      <w:pPr>
        <w:pStyle w:val="Heading1"/>
        <w:spacing w:after="200" w:before="400"/>
      </w:pPr>
      <w:r>
        <w:rPr>
          <w:rFonts w:ascii="Arial" w:cs="Arial" w:eastAsia="Arial" w:hAnsi="Arial"/>
          <w:b/>
          <w:bCs/>
          <w:color w:val="1E5AA8"/>
          <w:sz w:val="32"/>
          <w:szCs w:val="32"/>
        </w:rPr>
        <w:t xml:space="preserve">10. Call to Action</w:t>
      </w:r>
    </w:p>
    <w:p>
      <w:pPr>
        <w:pBdr>
          <w:bottom w:val="single" w:color="2E75B6" w:sz="4" w:space="1"/>
        </w:pBdr>
        <w:spacing w:after="200" w:before="200"/>
      </w:pPr>
    </w:p>
    <w:p>
      <w:pPr>
        <w:spacing w:after="100" w:before="80"/>
      </w:pPr>
      <w:r>
        <w:rPr>
          <w:rFonts w:ascii="Arial" w:cs="Arial" w:eastAsia="Arial" w:hAnsi="Arial"/>
          <w:sz w:val="22"/>
          <w:szCs w:val="22"/>
        </w:rPr>
        <w:t xml:space="preserve">Bharat Sampada Chain is not just a technology project. It is a democratic accountability movement. We are calling on the following stakeholders to join:</w:t>
      </w:r>
    </w:p>
    <w:p>
      <w:pPr>
        <w:spacing w:after="120" w:before="120"/>
      </w:pPr>
    </w:p>
    <w:p>
      <w:pPr>
        <w:pStyle w:val="Heading2"/>
        <w:spacing w:after="160" w:before="300"/>
      </w:pPr>
      <w:r>
        <w:rPr>
          <w:rFonts w:ascii="Arial" w:cs="Arial" w:eastAsia="Arial" w:hAnsi="Arial"/>
          <w:b/>
          <w:bCs/>
          <w:color w:val="2E75B6"/>
          <w:sz w:val="26"/>
          <w:szCs w:val="26"/>
        </w:rPr>
        <w:t xml:space="preserve">For Technology Professionals</w:t>
      </w:r>
    </w:p>
    <w:p>
      <w:pPr>
        <w:pStyle w:val="ListParagraph"/>
        <w:numPr>
          <w:ilvl w:val="0"/>
          <w:numId w:val="2"/>
        </w:numPr>
        <w:spacing w:after="60" w:before="60"/>
      </w:pPr>
      <w:r>
        <w:rPr>
          <w:rFonts w:ascii="Arial" w:cs="Arial" w:eastAsia="Arial" w:hAnsi="Arial"/>
          <w:sz w:val="22"/>
          <w:szCs w:val="22"/>
        </w:rPr>
        <w:t xml:space="preserve">Join the open-source development community on GitHub</w:t>
      </w:r>
    </w:p>
    <w:p>
      <w:pPr>
        <w:pStyle w:val="ListParagraph"/>
        <w:numPr>
          <w:ilvl w:val="0"/>
          <w:numId w:val="2"/>
        </w:numPr>
        <w:spacing w:after="60" w:before="60"/>
      </w:pPr>
      <w:r>
        <w:rPr>
          <w:rFonts w:ascii="Arial" w:cs="Arial" w:eastAsia="Arial" w:hAnsi="Arial"/>
          <w:sz w:val="22"/>
          <w:szCs w:val="22"/>
        </w:rPr>
        <w:t xml:space="preserve">Contribute to blockchain node development, smart contracts, or frontend</w:t>
      </w:r>
    </w:p>
    <w:p>
      <w:pPr>
        <w:pStyle w:val="ListParagraph"/>
        <w:numPr>
          <w:ilvl w:val="0"/>
          <w:numId w:val="2"/>
        </w:numPr>
        <w:spacing w:after="60" w:before="60"/>
      </w:pPr>
      <w:r>
        <w:rPr>
          <w:rFonts w:ascii="Arial" w:cs="Arial" w:eastAsia="Arial" w:hAnsi="Arial"/>
          <w:sz w:val="22"/>
          <w:szCs w:val="22"/>
        </w:rPr>
        <w:t xml:space="preserve">Volunteer for security audits and protocol design</w:t>
      </w:r>
    </w:p>
    <w:p>
      <w:pPr>
        <w:spacing w:after="120" w:before="120"/>
      </w:pPr>
    </w:p>
    <w:p>
      <w:pPr>
        <w:pStyle w:val="Heading2"/>
        <w:spacing w:after="160" w:before="300"/>
      </w:pPr>
      <w:r>
        <w:rPr>
          <w:rFonts w:ascii="Arial" w:cs="Arial" w:eastAsia="Arial" w:hAnsi="Arial"/>
          <w:b/>
          <w:bCs/>
          <w:color w:val="2E75B6"/>
          <w:sz w:val="26"/>
          <w:szCs w:val="26"/>
        </w:rPr>
        <w:t xml:space="preserve">For Civil Society &amp; NGOs</w:t>
      </w:r>
    </w:p>
    <w:p>
      <w:pPr>
        <w:pStyle w:val="ListParagraph"/>
        <w:numPr>
          <w:ilvl w:val="0"/>
          <w:numId w:val="2"/>
        </w:numPr>
        <w:spacing w:after="60" w:before="60"/>
      </w:pPr>
      <w:r>
        <w:rPr>
          <w:rFonts w:ascii="Arial" w:cs="Arial" w:eastAsia="Arial" w:hAnsi="Arial"/>
          <w:sz w:val="22"/>
          <w:szCs w:val="22"/>
        </w:rPr>
        <w:t xml:space="preserve">Endorse the BSC concept and build public awareness</w:t>
      </w:r>
    </w:p>
    <w:p>
      <w:pPr>
        <w:pStyle w:val="ListParagraph"/>
        <w:numPr>
          <w:ilvl w:val="0"/>
          <w:numId w:val="2"/>
        </w:numPr>
        <w:spacing w:after="60" w:before="60"/>
      </w:pPr>
      <w:r>
        <w:rPr>
          <w:rFonts w:ascii="Arial" w:cs="Arial" w:eastAsia="Arial" w:hAnsi="Arial"/>
          <w:sz w:val="22"/>
          <w:szCs w:val="22"/>
        </w:rPr>
        <w:t xml:space="preserve">Support the Supreme Court PIL filing</w:t>
      </w:r>
    </w:p>
    <w:p>
      <w:pPr>
        <w:pStyle w:val="ListParagraph"/>
        <w:numPr>
          <w:ilvl w:val="0"/>
          <w:numId w:val="2"/>
        </w:numPr>
        <w:spacing w:after="60" w:before="60"/>
      </w:pPr>
      <w:r>
        <w:rPr>
          <w:rFonts w:ascii="Arial" w:cs="Arial" w:eastAsia="Arial" w:hAnsi="Arial"/>
          <w:sz w:val="22"/>
          <w:szCs w:val="22"/>
        </w:rPr>
        <w:t xml:space="preserve">Conduct voter awareness campaigns on wealth transparency</w:t>
      </w:r>
    </w:p>
    <w:p>
      <w:pPr>
        <w:spacing w:after="120" w:before="120"/>
      </w:pPr>
    </w:p>
    <w:p>
      <w:pPr>
        <w:pStyle w:val="Heading2"/>
        <w:spacing w:after="160" w:before="300"/>
      </w:pPr>
      <w:r>
        <w:rPr>
          <w:rFonts w:ascii="Arial" w:cs="Arial" w:eastAsia="Arial" w:hAnsi="Arial"/>
          <w:b/>
          <w:bCs/>
          <w:color w:val="2E75B6"/>
          <w:sz w:val="26"/>
          <w:szCs w:val="26"/>
        </w:rPr>
        <w:t xml:space="preserve">For Legal Professionals</w:t>
      </w:r>
    </w:p>
    <w:p>
      <w:pPr>
        <w:pStyle w:val="ListParagraph"/>
        <w:numPr>
          <w:ilvl w:val="0"/>
          <w:numId w:val="2"/>
        </w:numPr>
        <w:spacing w:after="60" w:before="60"/>
      </w:pPr>
      <w:r>
        <w:rPr>
          <w:rFonts w:ascii="Arial" w:cs="Arial" w:eastAsia="Arial" w:hAnsi="Arial"/>
          <w:sz w:val="22"/>
          <w:szCs w:val="22"/>
        </w:rPr>
        <w:t xml:space="preserve">Draft and file the PIL in Supreme Court</w:t>
      </w:r>
    </w:p>
    <w:p>
      <w:pPr>
        <w:pStyle w:val="ListParagraph"/>
        <w:numPr>
          <w:ilvl w:val="0"/>
          <w:numId w:val="2"/>
        </w:numPr>
        <w:spacing w:after="60" w:before="60"/>
      </w:pPr>
      <w:r>
        <w:rPr>
          <w:rFonts w:ascii="Arial" w:cs="Arial" w:eastAsia="Arial" w:hAnsi="Arial"/>
          <w:sz w:val="22"/>
          <w:szCs w:val="22"/>
        </w:rPr>
        <w:t xml:space="preserve">Draft the model BSC Act and Digital Assets Declaration Bill</w:t>
      </w:r>
    </w:p>
    <w:p>
      <w:pPr>
        <w:pStyle w:val="ListParagraph"/>
        <w:numPr>
          <w:ilvl w:val="0"/>
          <w:numId w:val="2"/>
        </w:numPr>
        <w:spacing w:after="60" w:before="60"/>
      </w:pPr>
      <w:r>
        <w:rPr>
          <w:rFonts w:ascii="Arial" w:cs="Arial" w:eastAsia="Arial" w:hAnsi="Arial"/>
          <w:sz w:val="22"/>
          <w:szCs w:val="22"/>
        </w:rPr>
        <w:t xml:space="preserve">Build legal precedent for blockchain evidence admissibility</w:t>
      </w:r>
    </w:p>
    <w:p>
      <w:pPr>
        <w:spacing w:after="120" w:before="120"/>
      </w:pPr>
    </w:p>
    <w:p>
      <w:pPr>
        <w:pStyle w:val="Heading2"/>
        <w:spacing w:after="160" w:before="300"/>
      </w:pPr>
      <w:r>
        <w:rPr>
          <w:rFonts w:ascii="Arial" w:cs="Arial" w:eastAsia="Arial" w:hAnsi="Arial"/>
          <w:b/>
          <w:bCs/>
          <w:color w:val="2E75B6"/>
          <w:sz w:val="26"/>
          <w:szCs w:val="26"/>
        </w:rPr>
        <w:t xml:space="preserve">For Academics &amp; Researchers</w:t>
      </w:r>
    </w:p>
    <w:p>
      <w:pPr>
        <w:pStyle w:val="ListParagraph"/>
        <w:numPr>
          <w:ilvl w:val="0"/>
          <w:numId w:val="2"/>
        </w:numPr>
        <w:spacing w:after="60" w:before="60"/>
      </w:pPr>
      <w:r>
        <w:rPr>
          <w:rFonts w:ascii="Arial" w:cs="Arial" w:eastAsia="Arial" w:hAnsi="Arial"/>
          <w:sz w:val="22"/>
          <w:szCs w:val="22"/>
        </w:rPr>
        <w:t xml:space="preserve">Publish research papers on BSC's design and impact potential</w:t>
      </w:r>
    </w:p>
    <w:p>
      <w:pPr>
        <w:pStyle w:val="ListParagraph"/>
        <w:numPr>
          <w:ilvl w:val="0"/>
          <w:numId w:val="2"/>
        </w:numPr>
        <w:spacing w:after="60" w:before="60"/>
      </w:pPr>
      <w:r>
        <w:rPr>
          <w:rFonts w:ascii="Arial" w:cs="Arial" w:eastAsia="Arial" w:hAnsi="Arial"/>
          <w:sz w:val="22"/>
          <w:szCs w:val="22"/>
        </w:rPr>
        <w:t xml:space="preserve">Conduct economic analysis of tax recovery potential</w:t>
      </w:r>
    </w:p>
    <w:p>
      <w:pPr>
        <w:pStyle w:val="ListParagraph"/>
        <w:numPr>
          <w:ilvl w:val="0"/>
          <w:numId w:val="2"/>
        </w:numPr>
        <w:spacing w:after="60" w:before="60"/>
      </w:pPr>
      <w:r>
        <w:rPr>
          <w:rFonts w:ascii="Arial" w:cs="Arial" w:eastAsia="Arial" w:hAnsi="Arial"/>
          <w:sz w:val="22"/>
          <w:szCs w:val="22"/>
        </w:rPr>
        <w:t xml:space="preserve">Study comparative international transparency systems</w:t>
      </w:r>
    </w:p>
    <w:p>
      <w:pPr>
        <w:spacing w:after="120" w:before="120"/>
      </w:pPr>
    </w:p>
    <w:p>
      <w:pPr>
        <w:pStyle w:val="Heading2"/>
        <w:spacing w:after="160" w:before="300"/>
      </w:pPr>
      <w:r>
        <w:rPr>
          <w:rFonts w:ascii="Arial" w:cs="Arial" w:eastAsia="Arial" w:hAnsi="Arial"/>
          <w:b/>
          <w:bCs/>
          <w:color w:val="2E75B6"/>
          <w:sz w:val="26"/>
          <w:szCs w:val="26"/>
        </w:rPr>
        <w:t xml:space="preserve">For Journalists &amp; Media</w:t>
      </w:r>
    </w:p>
    <w:p>
      <w:pPr>
        <w:pStyle w:val="ListParagraph"/>
        <w:numPr>
          <w:ilvl w:val="0"/>
          <w:numId w:val="2"/>
        </w:numPr>
        <w:spacing w:after="60" w:before="60"/>
      </w:pPr>
      <w:r>
        <w:rPr>
          <w:rFonts w:ascii="Arial" w:cs="Arial" w:eastAsia="Arial" w:hAnsi="Arial"/>
          <w:sz w:val="22"/>
          <w:szCs w:val="22"/>
        </w:rPr>
        <w:t xml:space="preserve">Investigate and publish stories on the wealth opacity crisis</w:t>
      </w:r>
    </w:p>
    <w:p>
      <w:pPr>
        <w:pStyle w:val="ListParagraph"/>
        <w:numPr>
          <w:ilvl w:val="0"/>
          <w:numId w:val="2"/>
        </w:numPr>
        <w:spacing w:after="60" w:before="60"/>
      </w:pPr>
      <w:r>
        <w:rPr>
          <w:rFonts w:ascii="Arial" w:cs="Arial" w:eastAsia="Arial" w:hAnsi="Arial"/>
          <w:sz w:val="22"/>
          <w:szCs w:val="22"/>
        </w:rPr>
        <w:t xml:space="preserve">Track politician wealth using existing public data as demonstration</w:t>
      </w:r>
    </w:p>
    <w:p>
      <w:pPr>
        <w:pStyle w:val="ListParagraph"/>
        <w:numPr>
          <w:ilvl w:val="0"/>
          <w:numId w:val="2"/>
        </w:numPr>
        <w:spacing w:after="60" w:before="60"/>
      </w:pPr>
      <w:r>
        <w:rPr>
          <w:rFonts w:ascii="Arial" w:cs="Arial" w:eastAsia="Arial" w:hAnsi="Arial"/>
          <w:sz w:val="22"/>
          <w:szCs w:val="22"/>
        </w:rPr>
        <w:t xml:space="preserve">Build public demand for transparency</w:t>
      </w:r>
    </w:p>
    <w:p>
      <w:pPr>
        <w:spacing w:after="120" w:before="120"/>
      </w:pPr>
    </w:p>
    <w:p>
      <w:pPr>
        <w:pBdr>
          <w:bottom w:val="single" w:color="2E75B6" w:sz="4" w:space="1"/>
        </w:pBdr>
        <w:spacing w:after="200" w:before="200"/>
      </w:pPr>
    </w:p>
    <w:p>
      <w:pPr>
        <w:spacing w:after="120" w:before="120"/>
      </w:pPr>
    </w:p>
    <w:p>
      <w:pPr>
        <w:spacing w:after="100" w:before="200"/>
        <w:jc w:val="center"/>
      </w:pPr>
      <w:r>
        <w:rPr>
          <w:rFonts w:ascii="Arial" w:cs="Arial" w:eastAsia="Arial" w:hAnsi="Arial"/>
          <w:b/>
          <w:bCs/>
          <w:i/>
          <w:iCs/>
          <w:color w:val="1E5AA8"/>
          <w:sz w:val="26"/>
          <w:szCs w:val="26"/>
        </w:rPr>
        <w:t xml:space="preserve">"You don't need permission to build the truth.</w:t>
      </w:r>
    </w:p>
    <w:p>
      <w:pPr>
        <w:spacing w:after="200" w:before="60"/>
        <w:jc w:val="center"/>
      </w:pPr>
      <w:r>
        <w:rPr>
          <w:rFonts w:ascii="Arial" w:cs="Arial" w:eastAsia="Arial" w:hAnsi="Arial"/>
          <w:b/>
          <w:bCs/>
          <w:i/>
          <w:iCs/>
          <w:color w:val="1E5AA8"/>
          <w:sz w:val="26"/>
          <w:szCs w:val="26"/>
        </w:rPr>
        <w:t xml:space="preserve">You only need permission to make it official."</w:t>
      </w:r>
    </w:p>
    <w:p>
      <w:pPr>
        <w:spacing w:after="120" w:before="120"/>
      </w:pPr>
    </w:p>
    <w:p>
      <w:pPr>
        <w:spacing w:after="60" w:before="100"/>
        <w:jc w:val="center"/>
      </w:pPr>
      <w:r>
        <w:rPr>
          <w:rFonts w:ascii="Arial" w:cs="Arial" w:eastAsia="Arial" w:hAnsi="Arial"/>
          <w:color w:val="333333"/>
          <w:sz w:val="22"/>
          <w:szCs w:val="22"/>
        </w:rPr>
        <w:t xml:space="preserve">Bharat Sampada Chain — Built by Citizens, For Citizens</w:t>
      </w:r>
    </w:p>
    <w:p>
      <w:pPr>
        <w:spacing w:after="40" w:before="40"/>
        <w:jc w:val="center"/>
      </w:pPr>
      <w:r>
        <w:rPr>
          <w:rFonts w:ascii="Arial" w:cs="Arial" w:eastAsia="Arial" w:hAnsi="Arial"/>
          <w:b/>
          <w:bCs/>
          <w:color w:val="FF9933"/>
          <w:sz w:val="24"/>
          <w:szCs w:val="24"/>
        </w:rPr>
        <w:t xml:space="preserve">Jai Hind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5AA8"/>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2026-04-13T13:44:49.828Z</dcterms:created>
  <dcterms:modified xsi:type="dcterms:W3CDTF">2026-04-13T13:44:49.829Z</dcterms:modified>
</cp:coreProperties>
</file>

<file path=docProps/custom.xml><?xml version="1.0" encoding="utf-8"?>
<Properties xmlns="http://schemas.openxmlformats.org/officeDocument/2006/custom-properties" xmlns:vt="http://schemas.openxmlformats.org/officeDocument/2006/docPropsVTypes"/>
</file>