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4"/>
          <w:szCs w:val="34"/>
        </w:rPr>
        <w:t xml:space="preserve">BMIT3273 Cloud Computing (202605)</w:t>
      </w:r>
    </w:p>
    <w:p>
      <w:pPr>
        <w:spacing w:after="60"/>
        <w:jc w:val="center"/>
      </w:pPr>
      <w:r>
        <w:rPr>
          <w:color w:val="2E5496"/>
          <w:sz w:val="28"/>
          <w:szCs w:val="28"/>
        </w:rPr>
        <w:t xml:space="preserve">Building a Highly Available, Scalable Web Application</w:t>
      </w:r>
    </w:p>
    <w:p>
      <w:pPr>
        <w:spacing w:after="400"/>
        <w:jc w:val="center"/>
      </w:pPr>
      <w:r>
        <w:rPr>
          <w:i/>
          <w:iCs/>
          <w:color w:val="595959"/>
          <w:sz w:val="22"/>
          <w:szCs w:val="22"/>
        </w:rPr>
        <w:t xml:space="preserve">Report content draft: sections 3 to 10</w:t>
      </w:r>
    </w:p>
    <w:p>
      <w:pPr>
        <w:pStyle w:val="Heading1"/>
        <w:spacing w:after="160" w:before="360"/>
      </w:pPr>
      <w:r>
        <w:rPr>
          <w:b/>
          <w:bCs/>
        </w:rPr>
        <w:t xml:space="preserve">How to use this draft</w:t>
      </w:r>
    </w:p>
    <w:p>
      <w:pPr>
        <w:spacing w:after="160" w:line="276"/>
      </w:pPr>
      <w:r>
        <w:t xml:space="preserve">This document contains drafting material for the report sections. It is written to match the numbering already in your document skeleton, so each section here maps onto the corresponding heading in the report.</w:t>
      </w:r>
    </w:p>
    <w:p>
      <w:pPr>
        <w:spacing w:after="160" w:line="276"/>
      </w:pPr>
      <w:r>
        <w:rPr>
          <w:b/>
          <w:bCs/>
        </w:rPr>
        <w:t xml:space="preserve">Everything highlighted in yellow must be replaced with a real value from your own AWS Academy lab account.</w:t>
      </w:r>
      <w:r>
        <w:t xml:space="preserve"> Every figure reference (F-1, LB-1, SC-2 and so on) must point at a screenshot you actually captured. Text describing a setting you did not configure should be deleted rather than reworded. An unsupported claim costs more marks than an omission, and it is the thing most likely to be exposed during the demonstration session.</w:t>
      </w:r>
    </w:p>
    <w:p>
      <w:pPr>
        <w:spacing w:after="160" w:line="276"/>
      </w:pPr>
      <w:r>
        <w:t xml:space="preserve">The shaded, italic notes throughout are guidance for you. </w:t>
      </w:r>
      <w:r>
        <w:rPr>
          <w:b/>
          <w:bCs/>
        </w:rPr>
        <w:t xml:space="preserve">Delete every one of them before submitting.</w:t>
      </w:r>
    </w:p>
    <w:p>
      <w:pPr>
        <w:pStyle w:val="Heading2"/>
        <w:spacing w:after="160" w:before="260"/>
      </w:pPr>
      <w:r>
        <w:rPr>
          <w:b/>
          <w:bCs/>
        </w:rPr>
        <w:t xml:space="preserve">Assumed architecture</w:t>
      </w:r>
    </w:p>
    <w:p>
      <w:pPr>
        <w:spacing w:after="160" w:line="276"/>
      </w:pPr>
      <w:r>
        <w:t xml:space="preserve">The draft assumes the design below. If your build differs, change these values first and the surrounding prose will still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shd w:fill="E8E8E2" w:color="auto" w:val="clear"/>
            <w:tcMar>
              <w:top w:type="dxa" w:w="60"/>
              <w:left w:type="dxa" w:w="100"/>
              <w:bottom w:type="dxa" w:w="60"/>
              <w:right w:type="dxa" w:w="100"/>
            </w:tcMar>
          </w:tcPr>
          <w:p>
            <w:pPr>
              <w:spacing w:after="0" w:line="240"/>
            </w:pPr>
            <w:r>
              <w:rPr>
                <w:b/>
                <w:bCs/>
                <w:sz w:val="20"/>
                <w:szCs w:val="20"/>
              </w:rPr>
              <w:t xml:space="preserve">Component</w:t>
            </w:r>
          </w:p>
        </w:tc>
        <w:tc>
          <w:tcPr>
            <w:tcW w:type="dxa" w:w="6626"/>
            <w:shd w:fill="E8E8E2" w:color="auto" w:val="clear"/>
            <w:tcMar>
              <w:top w:type="dxa" w:w="60"/>
              <w:left w:type="dxa" w:w="100"/>
              <w:bottom w:type="dxa" w:w="60"/>
              <w:right w:type="dxa" w:w="100"/>
            </w:tcMar>
          </w:tcPr>
          <w:p>
            <w:pPr>
              <w:spacing w:after="0" w:line="240"/>
            </w:pPr>
            <w:r>
              <w:rPr>
                <w:b/>
                <w:bCs/>
                <w:sz w:val="20"/>
                <w:szCs w:val="20"/>
              </w:rPr>
              <w:t xml:space="preserve">Assumed value</w:t>
            </w:r>
          </w:p>
        </w:tc>
      </w:tr>
      <w:tr>
        <w:tc>
          <w:tcPr>
            <w:tcW w:type="dxa" w:w="2400"/>
            <w:tcMar>
              <w:top w:type="dxa" w:w="60"/>
              <w:left w:type="dxa" w:w="100"/>
              <w:bottom w:type="dxa" w:w="60"/>
              <w:right w:type="dxa" w:w="100"/>
            </w:tcMar>
          </w:tcPr>
          <w:p>
            <w:pPr>
              <w:spacing w:after="0" w:line="240"/>
            </w:pPr>
            <w:r>
              <w:rPr>
                <w:sz w:val="20"/>
                <w:szCs w:val="20"/>
              </w:rPr>
              <w:t xml:space="preserve">Region</w:t>
            </w:r>
          </w:p>
        </w:tc>
        <w:tc>
          <w:tcPr>
            <w:tcW w:type="dxa" w:w="6626"/>
            <w:tcMar>
              <w:top w:type="dxa" w:w="60"/>
              <w:left w:type="dxa" w:w="100"/>
              <w:bottom w:type="dxa" w:w="60"/>
              <w:right w:type="dxa" w:w="100"/>
            </w:tcMar>
          </w:tcPr>
          <w:p>
            <w:pPr>
              <w:spacing w:after="0" w:line="240"/>
            </w:pPr>
            <w:r>
              <w:rPr>
                <w:sz w:val="20"/>
                <w:szCs w:val="20"/>
              </w:rPr>
              <w:t xml:space="preserve">us-east-1</w:t>
            </w:r>
          </w:p>
        </w:tc>
      </w:tr>
      <w:tr>
        <w:tc>
          <w:tcPr>
            <w:tcW w:type="dxa" w:w="2400"/>
            <w:tcMar>
              <w:top w:type="dxa" w:w="60"/>
              <w:left w:type="dxa" w:w="100"/>
              <w:bottom w:type="dxa" w:w="60"/>
              <w:right w:type="dxa" w:w="100"/>
            </w:tcMar>
          </w:tcPr>
          <w:p>
            <w:pPr>
              <w:spacing w:after="0" w:line="240"/>
            </w:pPr>
            <w:r>
              <w:rPr>
                <w:sz w:val="20"/>
                <w:szCs w:val="20"/>
              </w:rPr>
              <w:t xml:space="preserve">VPC CIDR</w:t>
            </w:r>
          </w:p>
        </w:tc>
        <w:tc>
          <w:tcPr>
            <w:tcW w:type="dxa" w:w="6626"/>
            <w:tcMar>
              <w:top w:type="dxa" w:w="60"/>
              <w:left w:type="dxa" w:w="100"/>
              <w:bottom w:type="dxa" w:w="60"/>
              <w:right w:type="dxa" w:w="100"/>
            </w:tcMar>
          </w:tcPr>
          <w:p>
            <w:pPr>
              <w:spacing w:after="0" w:line="240"/>
            </w:pPr>
            <w:r>
              <w:rPr>
                <w:sz w:val="20"/>
                <w:szCs w:val="20"/>
              </w:rPr>
              <w:t xml:space="preserve">10.0.0.0/16</w:t>
            </w:r>
          </w:p>
        </w:tc>
      </w:tr>
      <w:tr>
        <w:tc>
          <w:tcPr>
            <w:tcW w:type="dxa" w:w="2400"/>
            <w:tcMar>
              <w:top w:type="dxa" w:w="60"/>
              <w:left w:type="dxa" w:w="100"/>
              <w:bottom w:type="dxa" w:w="60"/>
              <w:right w:type="dxa" w:w="100"/>
            </w:tcMar>
          </w:tcPr>
          <w:p>
            <w:pPr>
              <w:spacing w:after="0" w:line="240"/>
            </w:pPr>
            <w:r>
              <w:rPr>
                <w:sz w:val="20"/>
                <w:szCs w:val="20"/>
              </w:rPr>
              <w:t xml:space="preserve">Public subnets (ALB)</w:t>
            </w:r>
          </w:p>
        </w:tc>
        <w:tc>
          <w:tcPr>
            <w:tcW w:type="dxa" w:w="6626"/>
            <w:tcMar>
              <w:top w:type="dxa" w:w="60"/>
              <w:left w:type="dxa" w:w="100"/>
              <w:bottom w:type="dxa" w:w="60"/>
              <w:right w:type="dxa" w:w="100"/>
            </w:tcMar>
          </w:tcPr>
          <w:p>
            <w:pPr>
              <w:spacing w:after="0" w:line="240"/>
            </w:pPr>
            <w:r>
              <w:rPr>
                <w:sz w:val="20"/>
                <w:szCs w:val="20"/>
              </w:rPr>
              <w:t xml:space="preserve">10.0.0.0/24 (us-east-1a), 10.0.1.0/24 (us-east-1b)</w:t>
            </w:r>
          </w:p>
        </w:tc>
      </w:tr>
      <w:tr>
        <w:tc>
          <w:tcPr>
            <w:tcW w:type="dxa" w:w="2400"/>
            <w:tcMar>
              <w:top w:type="dxa" w:w="60"/>
              <w:left w:type="dxa" w:w="100"/>
              <w:bottom w:type="dxa" w:w="60"/>
              <w:right w:type="dxa" w:w="100"/>
            </w:tcMar>
          </w:tcPr>
          <w:p>
            <w:pPr>
              <w:spacing w:after="0" w:line="240"/>
            </w:pPr>
            <w:r>
              <w:rPr>
                <w:sz w:val="20"/>
                <w:szCs w:val="20"/>
              </w:rPr>
              <w:t xml:space="preserve">Private app subnets</w:t>
            </w:r>
          </w:p>
        </w:tc>
        <w:tc>
          <w:tcPr>
            <w:tcW w:type="dxa" w:w="6626"/>
            <w:tcMar>
              <w:top w:type="dxa" w:w="60"/>
              <w:left w:type="dxa" w:w="100"/>
              <w:bottom w:type="dxa" w:w="60"/>
              <w:right w:type="dxa" w:w="100"/>
            </w:tcMar>
          </w:tcPr>
          <w:p>
            <w:pPr>
              <w:spacing w:after="0" w:line="240"/>
            </w:pPr>
            <w:r>
              <w:rPr>
                <w:sz w:val="20"/>
                <w:szCs w:val="20"/>
              </w:rPr>
              <w:t xml:space="preserve">10.0.2.0/24 (us-east-1a), 10.0.3.0/24 (us-east-1b)</w:t>
            </w:r>
          </w:p>
        </w:tc>
      </w:tr>
      <w:tr>
        <w:tc>
          <w:tcPr>
            <w:tcW w:type="dxa" w:w="2400"/>
            <w:tcMar>
              <w:top w:type="dxa" w:w="60"/>
              <w:left w:type="dxa" w:w="100"/>
              <w:bottom w:type="dxa" w:w="60"/>
              <w:right w:type="dxa" w:w="100"/>
            </w:tcMar>
          </w:tcPr>
          <w:p>
            <w:pPr>
              <w:spacing w:after="0" w:line="240"/>
            </w:pPr>
            <w:r>
              <w:rPr>
                <w:sz w:val="20"/>
                <w:szCs w:val="20"/>
              </w:rPr>
              <w:t xml:space="preserve">Private DB subnets</w:t>
            </w:r>
          </w:p>
        </w:tc>
        <w:tc>
          <w:tcPr>
            <w:tcW w:type="dxa" w:w="6626"/>
            <w:tcMar>
              <w:top w:type="dxa" w:w="60"/>
              <w:left w:type="dxa" w:w="100"/>
              <w:bottom w:type="dxa" w:w="60"/>
              <w:right w:type="dxa" w:w="100"/>
            </w:tcMar>
          </w:tcPr>
          <w:p>
            <w:pPr>
              <w:spacing w:after="0" w:line="240"/>
            </w:pPr>
            <w:r>
              <w:rPr>
                <w:sz w:val="20"/>
                <w:szCs w:val="20"/>
              </w:rPr>
              <w:t xml:space="preserve">10.0.4.0/24 (us-east-1a), 10.0.5.0/24 (us-east-1b)</w:t>
            </w:r>
          </w:p>
        </w:tc>
      </w:tr>
      <w:tr>
        <w:tc>
          <w:tcPr>
            <w:tcW w:type="dxa" w:w="2400"/>
            <w:tcMar>
              <w:top w:type="dxa" w:w="60"/>
              <w:left w:type="dxa" w:w="100"/>
              <w:bottom w:type="dxa" w:w="60"/>
              <w:right w:type="dxa" w:w="100"/>
            </w:tcMar>
          </w:tcPr>
          <w:p>
            <w:pPr>
              <w:spacing w:after="0" w:line="240"/>
            </w:pPr>
            <w:r>
              <w:rPr>
                <w:sz w:val="20"/>
                <w:szCs w:val="20"/>
              </w:rPr>
              <w:t xml:space="preserve">Web tier</w:t>
            </w:r>
          </w:p>
        </w:tc>
        <w:tc>
          <w:tcPr>
            <w:tcW w:type="dxa" w:w="6626"/>
            <w:tcMar>
              <w:top w:type="dxa" w:w="60"/>
              <w:left w:type="dxa" w:w="100"/>
              <w:bottom w:type="dxa" w:w="60"/>
              <w:right w:type="dxa" w:w="100"/>
            </w:tcMar>
          </w:tcPr>
          <w:p>
            <w:pPr>
              <w:spacing w:after="0" w:line="240"/>
            </w:pPr>
            <w:r>
              <w:rPr>
                <w:sz w:val="20"/>
                <w:szCs w:val="20"/>
              </w:rPr>
              <w:t xml:space="preserve">EC2 t3.micro, Ubuntu, in an Auto Scaling group (min 2 / desired 2 / max 4)</w:t>
            </w:r>
          </w:p>
        </w:tc>
      </w:tr>
      <w:tr>
        <w:tc>
          <w:tcPr>
            <w:tcW w:type="dxa" w:w="2400"/>
            <w:tcMar>
              <w:top w:type="dxa" w:w="60"/>
              <w:left w:type="dxa" w:w="100"/>
              <w:bottom w:type="dxa" w:w="60"/>
              <w:right w:type="dxa" w:w="100"/>
            </w:tcMar>
          </w:tcPr>
          <w:p>
            <w:pPr>
              <w:spacing w:after="0" w:line="240"/>
            </w:pPr>
            <w:r>
              <w:rPr>
                <w:sz w:val="20"/>
                <w:szCs w:val="20"/>
              </w:rPr>
              <w:t xml:space="preserve">Load balancer</w:t>
            </w:r>
          </w:p>
        </w:tc>
        <w:tc>
          <w:tcPr>
            <w:tcW w:type="dxa" w:w="6626"/>
            <w:tcMar>
              <w:top w:type="dxa" w:w="60"/>
              <w:left w:type="dxa" w:w="100"/>
              <w:bottom w:type="dxa" w:w="60"/>
              <w:right w:type="dxa" w:w="100"/>
            </w:tcMar>
          </w:tcPr>
          <w:p>
            <w:pPr>
              <w:spacing w:after="0" w:line="240"/>
            </w:pPr>
            <w:r>
              <w:rPr>
                <w:sz w:val="20"/>
                <w:szCs w:val="20"/>
              </w:rPr>
              <w:t xml:space="preserve">Internet-facing Application Load Balancer, HTTP:80</w:t>
            </w:r>
          </w:p>
        </w:tc>
      </w:tr>
      <w:tr>
        <w:tc>
          <w:tcPr>
            <w:tcW w:type="dxa" w:w="2400"/>
            <w:tcMar>
              <w:top w:type="dxa" w:w="60"/>
              <w:left w:type="dxa" w:w="100"/>
              <w:bottom w:type="dxa" w:w="60"/>
              <w:right w:type="dxa" w:w="100"/>
            </w:tcMar>
          </w:tcPr>
          <w:p>
            <w:pPr>
              <w:spacing w:after="0" w:line="240"/>
            </w:pPr>
            <w:r>
              <w:rPr>
                <w:sz w:val="20"/>
                <w:szCs w:val="20"/>
              </w:rPr>
              <w:t xml:space="preserve">Database</w:t>
            </w:r>
          </w:p>
        </w:tc>
        <w:tc>
          <w:tcPr>
            <w:tcW w:type="dxa" w:w="6626"/>
            <w:tcMar>
              <w:top w:type="dxa" w:w="60"/>
              <w:left w:type="dxa" w:w="100"/>
              <w:bottom w:type="dxa" w:w="60"/>
              <w:right w:type="dxa" w:w="100"/>
            </w:tcMar>
          </w:tcPr>
          <w:p>
            <w:pPr>
              <w:spacing w:after="0" w:line="240"/>
            </w:pPr>
            <w:r>
              <w:rPr>
                <w:sz w:val="20"/>
                <w:szCs w:val="20"/>
              </w:rPr>
              <w:t xml:space="preserve">Amazon RDS for MySQL, db.t3.micro, single AZ, private subnet group</w:t>
            </w:r>
          </w:p>
        </w:tc>
      </w:tr>
      <w:tr>
        <w:tc>
          <w:tcPr>
            <w:tcW w:type="dxa" w:w="2400"/>
            <w:tcMar>
              <w:top w:type="dxa" w:w="60"/>
              <w:left w:type="dxa" w:w="100"/>
              <w:bottom w:type="dxa" w:w="60"/>
              <w:right w:type="dxa" w:w="100"/>
            </w:tcMar>
          </w:tcPr>
          <w:p>
            <w:pPr>
              <w:spacing w:after="0" w:line="240"/>
            </w:pPr>
            <w:r>
              <w:rPr>
                <w:sz w:val="20"/>
                <w:szCs w:val="20"/>
              </w:rPr>
              <w:t xml:space="preserve">Credentials</w:t>
            </w:r>
          </w:p>
        </w:tc>
        <w:tc>
          <w:tcPr>
            <w:tcW w:type="dxa" w:w="6626"/>
            <w:tcMar>
              <w:top w:type="dxa" w:w="60"/>
              <w:left w:type="dxa" w:w="100"/>
              <w:bottom w:type="dxa" w:w="60"/>
              <w:right w:type="dxa" w:w="100"/>
            </w:tcMar>
          </w:tcPr>
          <w:p>
            <w:pPr>
              <w:spacing w:after="0" w:line="240"/>
            </w:pPr>
            <w:r>
              <w:rPr>
                <w:sz w:val="20"/>
                <w:szCs w:val="20"/>
              </w:rPr>
              <w:t xml:space="preserve">AWS Secrets Manager, read at runtime via LabInstanceProfile / LabRole</w:t>
            </w:r>
          </w:p>
        </w:tc>
      </w:tr>
      <w:tr>
        <w:tc>
          <w:tcPr>
            <w:tcW w:type="dxa" w:w="2400"/>
            <w:tcMar>
              <w:top w:type="dxa" w:w="60"/>
              <w:left w:type="dxa" w:w="100"/>
              <w:bottom w:type="dxa" w:w="60"/>
              <w:right w:type="dxa" w:w="100"/>
            </w:tcMar>
          </w:tcPr>
          <w:p>
            <w:pPr>
              <w:spacing w:after="0" w:line="240"/>
            </w:pPr>
            <w:r>
              <w:rPr>
                <w:sz w:val="20"/>
                <w:szCs w:val="20"/>
              </w:rPr>
              <w:t xml:space="preserve">Admin tooling</w:t>
            </w:r>
          </w:p>
        </w:tc>
        <w:tc>
          <w:tcPr>
            <w:tcW w:type="dxa" w:w="6626"/>
            <w:tcMar>
              <w:top w:type="dxa" w:w="60"/>
              <w:left w:type="dxa" w:w="100"/>
              <w:bottom w:type="dxa" w:w="60"/>
              <w:right w:type="dxa" w:w="100"/>
            </w:tcMar>
          </w:tcPr>
          <w:p>
            <w:pPr>
              <w:spacing w:after="0" w:line="240"/>
            </w:pPr>
            <w:r>
              <w:rPr>
                <w:sz w:val="20"/>
                <w:szCs w:val="20"/>
              </w:rPr>
              <w:t xml:space="preserve">AWS Cloud9 (t3.micro) for AWS CLI work and load testing</w:t>
            </w:r>
          </w:p>
        </w:tc>
      </w:tr>
    </w:tbl>
    <w:p>
      <w:pPr>
        <w:spacing w:after="120"/>
      </w:pPr>
    </w:p>
    <w:p>
      <w:pPr>
        <w:pStyle w:val="Heading1"/>
        <w:spacing w:after="160" w:before="360"/>
      </w:pPr>
      <w:r>
        <w:rPr>
          <w:b/>
          <w:bCs/>
        </w:rPr>
        <w:t xml:space="preserve">3.  Introduction and system overview</w:t>
      </w:r>
    </w:p>
    <w:p>
      <w:pPr>
        <w:spacing w:after="160" w:line="276"/>
      </w:pPr>
      <w:r>
        <w:t xml:space="preserve">Example University’s admissions department maintains a web application that its staff use to look up and maintain student records. The application performs adequately for most of the academic year, but during the admissions intake the volume of enquiries rises sharply and users report that pages load slowly or fail to load at all. The underlying cause is structural rather than functional: the application and its database run on a single virtual machine, so there is one server absorbing all traffic, one copy of the data, and no mechanism for adding capacity when demand rises. A single fault, or a single busy afternoon, is enough to make the service unavailable.</w:t>
      </w:r>
    </w:p>
    <w:p>
      <w:pPr>
        <w:spacing w:after="160" w:line="276"/>
      </w:pPr>
      <w:r>
        <w:t xml:space="preserve">This report documents a proof of concept that our group built in the AWS Academy Lab Project - Cloud Web Application Builder environment to address that problem. The deliverable is a working student-records application that supports the four record operations the admissions staff depend on: viewing, adding, modifying and deleting student records. It is deployed on an architecture that distributes traffic across multiple servers, adds and removes servers automatically as load changes, keeps the database off the public internet, and stores its database credentials outside the application code.</w:t>
      </w:r>
    </w:p>
    <w:p>
      <w:pPr>
        <w:spacing w:after="160" w:line="276"/>
      </w:pPr>
      <w:r>
        <w:t xml:space="preserve">The finished system is organised into three tiers inside a single Amazon Virtual Private Cloud (VPC) spanning two Availability Zones. An internet-facing Application Load Balancer in the public subnets is the only component that accepts traffic from the internet. It forwards requests to a pool of Amazon EC2 instances managed by an EC2 Auto Scaling group in the private application subnets; these instances run the application code and render the user interface. Those instances in turn connect to an Amazon RDS for MySQL instance in a separate set of private subnets, which holds the student-records data. Database credentials are held in AWS Secrets Manager and retrieved at runtime through an IAM role attached to the instance profile, so no password appears in the application source. Amazon CloudWatch provides the metrics that drive scaling decisions and the evidence used in performance testing.</w:t>
      </w:r>
    </w:p>
    <w:p>
      <w:pPr>
        <w:spacing w:after="160" w:line="276"/>
      </w:pPr>
      <w:r>
        <w:t xml:space="preserve">The application is reachable at </w:t>
      </w:r>
      <w:r>
        <w:rPr>
          <w:rFonts w:ascii="Consolas" w:cs="Consolas" w:eastAsia="Consolas" w:hAnsi="Consolas"/>
          <w:sz w:val="20"/>
          <w:szCs w:val="20"/>
          <w:highlight w:val="yellow"/>
          <w:highlightCs w:val="yellow"/>
        </w:rPr>
        <w:t xml:space="preserve">[ALB DNS NAME]</w:t>
      </w:r>
      <w:r>
        <w:t xml:space="preserve"> (see F-1). In line with the scope set out in the assignment brief, the proof of concept is deployed in one Region, uses HTTP rather than HTTPS with no custom domain, and is publicly accessible without user authentication. Section 8 revisits these limitations and identifies what a production deployment would need to add.</w:t>
      </w:r>
    </w:p>
    <w:p>
      <w:pPr>
        <w:pStyle w:val="Heading1"/>
        <w:spacing w:after="160" w:before="360"/>
      </w:pPr>
      <w:r>
        <w:rPr>
          <w:b/>
          <w:bCs/>
        </w:rPr>
        <w:t xml:space="preserve">4.  Architecture diagram and design rationale</w:t>
      </w:r>
    </w:p>
    <w:p>
      <w:pPr>
        <w:spacing w:after="200" w:before="120"/>
      </w:pPr>
      <w:r>
        <w:rPr>
          <w:i/>
          <w:iCs/>
          <w:color w:val="595959"/>
          <w:sz w:val="20"/>
          <w:szCs w:val="20"/>
        </w:rPr>
        <w:t xml:space="preserve">Insert the architecture diagram here and label it HA-1. It must show: the VPC boundary; both Availability Zones; public and private subnets; the ALB; the Auto Scaling group and its instances; the RDS instance; the internet gateway; the NAT gateway if you used one; and Secrets Manager. Draw it using the official AWS architecture icons.</w:t>
      </w:r>
    </w:p>
    <w:p>
      <w:pPr>
        <w:pStyle w:val="Heading2"/>
        <w:spacing w:after="160" w:before="260"/>
      </w:pPr>
      <w:r>
        <w:rPr>
          <w:b/>
          <w:bCs/>
        </w:rPr>
        <w:t xml:space="preserve">4.1  Network design</w:t>
      </w:r>
    </w:p>
    <w:p>
      <w:pPr>
        <w:spacing w:after="160" w:line="276"/>
      </w:pPr>
      <w:r>
        <w:t xml:space="preserve">The whole solution sits inside one VPC using the CIDR block </w:t>
      </w:r>
      <w:r>
        <w:rPr>
          <w:rFonts w:ascii="Consolas" w:cs="Consolas" w:eastAsia="Consolas" w:hAnsi="Consolas"/>
          <w:sz w:val="20"/>
          <w:szCs w:val="20"/>
          <w:highlight w:val="yellow"/>
          <w:highlightCs w:val="yellow"/>
        </w:rPr>
        <w:t xml:space="preserve">[10.0.0.0/16]</w:t>
      </w:r>
      <w:r>
        <w:t xml:space="preserve">, which gives ample address space for the subnets required now and leaves room for growth. The VPC is divided into three subnet groups, each repeated in </w:t>
      </w:r>
      <w:r>
        <w:rPr>
          <w:rFonts w:ascii="Consolas" w:cs="Consolas" w:eastAsia="Consolas" w:hAnsi="Consolas"/>
          <w:sz w:val="20"/>
          <w:szCs w:val="20"/>
          <w:highlight w:val="yellow"/>
          <w:highlightCs w:val="yellow"/>
        </w:rPr>
        <w:t xml:space="preserve">[us-east-1a]</w:t>
      </w:r>
      <w:r>
        <w:t xml:space="preserve"> and </w:t>
      </w:r>
      <w:r>
        <w:rPr>
          <w:rFonts w:ascii="Consolas" w:cs="Consolas" w:eastAsia="Consolas" w:hAnsi="Consolas"/>
          <w:sz w:val="20"/>
          <w:szCs w:val="20"/>
          <w:highlight w:val="yellow"/>
          <w:highlightCs w:val="yellow"/>
        </w:rPr>
        <w:t xml:space="preserve">[us-east-1b]</w:t>
      </w:r>
      <w:r>
        <w:t xml:space="preserve">.</w:t>
      </w:r>
    </w:p>
    <w:p>
      <w:pPr>
        <w:spacing w:after="160" w:line="276"/>
      </w:pPr>
      <w:r>
        <w:t xml:space="preserve">The </w:t>
      </w:r>
      <w:r>
        <w:rPr>
          <w:b/>
          <w:bCs/>
        </w:rPr>
        <w:t xml:space="preserve">public subnets</w:t>
      </w:r>
      <w:r>
        <w:t xml:space="preserve"> hold only the load balancer </w:t>
      </w:r>
      <w:r>
        <w:rPr>
          <w:rFonts w:ascii="Consolas" w:cs="Consolas" w:eastAsia="Consolas" w:hAnsi="Consolas"/>
          <w:sz w:val="20"/>
          <w:szCs w:val="20"/>
          <w:highlight w:val="yellow"/>
          <w:highlightCs w:val="yellow"/>
        </w:rPr>
        <w:t xml:space="preserve">[and the NAT gateway]</w:t>
      </w:r>
      <w:r>
        <w:t xml:space="preserve">. They route to the internet gateway, which is what makes the application reachable from outside AWS. Placing nothing else in these subnets keeps the internet-facing surface of the system as small as possible.</w:t>
      </w:r>
    </w:p>
    <w:p>
      <w:pPr>
        <w:spacing w:after="160" w:line="276"/>
      </w:pPr>
      <w:r>
        <w:t xml:space="preserve">The </w:t>
      </w:r>
      <w:r>
        <w:rPr>
          <w:b/>
          <w:bCs/>
        </w:rPr>
        <w:t xml:space="preserve">private application subnets</w:t>
      </w:r>
      <w:r>
        <w:t xml:space="preserve"> hold the EC2 instances that run the application. These subnets have no route to the internet gateway, so the instances cannot be reached directly from the internet no matter what their security group allows; the only path to them is through the load balancer. </w:t>
      </w:r>
      <w:r>
        <w:rPr>
          <w:rFonts w:ascii="Consolas" w:cs="Consolas" w:eastAsia="Consolas" w:hAnsi="Consolas"/>
          <w:sz w:val="20"/>
          <w:szCs w:val="20"/>
          <w:highlight w:val="yellow"/>
          <w:highlightCs w:val="yellow"/>
        </w:rPr>
        <w:t xml:space="preserve">[Outbound access for package installation and Secrets Manager calls is provided by a NAT gateway in the public subnet.]</w:t>
      </w:r>
    </w:p>
    <w:p>
      <w:pPr>
        <w:spacing w:after="160" w:line="276"/>
      </w:pPr>
      <w:r>
        <w:t xml:space="preserve">The </w:t>
      </w:r>
      <w:r>
        <w:rPr>
          <w:b/>
          <w:bCs/>
        </w:rPr>
        <w:t xml:space="preserve">private database subnets</w:t>
      </w:r>
      <w:r>
        <w:t xml:space="preserve"> hold the RDS instance through its DB subnet group. Separating these from the application subnets gives the database its own route table and its own security boundary, and it makes the security group rules easy to reason about: the database accepts traffic from the application security group and from nothing else.</w:t>
      </w:r>
    </w:p>
    <w:p>
      <w:pPr>
        <w:pBdr>
          <w:left w:val="single" w:color="9A9A8C" w:sz="12" w:space="10"/>
        </w:pBdr>
        <w:shd w:fill="F4F4F0" w:color="auto" w:val="clear"/>
        <w:spacing w:after="200" w:before="140" w:line="260"/>
        <w:ind w:left="220"/>
      </w:pPr>
      <w:r>
        <w:rPr>
          <w:i/>
          <w:iCs/>
          <w:sz w:val="20"/>
          <w:szCs w:val="20"/>
        </w:rPr>
        <w:t xml:space="preserve">Adjust the paragraphs above to what you actually built. If the lab budget or service restrictions prevented you from running a NAT gateway, you most likely placed the application instances in the public subnets instead. That is a legitimate choice in a cost-constrained proof of concept, and it is far better to explain it honestly than to claim a private tier you did not build. Replacement rationale: "NAT gateway charges accrue hourly regardless of traffic and would have consumed a disproportionate share of the lab budget, so the application instances were placed in the public subnets with their security group restricted to accept traffic only from the load balancer’s security group. This preserves the practical effect of the private tier (no direct inbound access from the internet) at no additional cost, while the database remains in genuinely private subnets." Then make sure your diagram matches.</w:t>
      </w:r>
    </w:p>
    <w:p>
      <w:pPr>
        <w:spacing w:after="160" w:line="276"/>
      </w:pPr>
      <w:r>
        <w:t xml:space="preserve">Spreading each tier across two Availability Zones is the single most important decision in the design. An Availability Zone is a physically separate set of facilities with independent power and networking (Amazon Web Services, n.d.-i), so a fault confined to one zone leaves the resources in the other zone running. Because the load balancer only sends requests to targets that pass its health check, the loss of a zone removes those targets from rotation and traffic continues through the survivors without manual intervention.</w:t>
      </w:r>
    </w:p>
    <w:p>
      <w:pPr>
        <w:pStyle w:val="Heading2"/>
        <w:spacing w:after="160" w:before="260"/>
      </w:pPr>
      <w:r>
        <w:rPr>
          <w:b/>
          <w:bCs/>
        </w:rPr>
        <w:t xml:space="preserve">4.2  Compute tier</w:t>
      </w:r>
    </w:p>
    <w:p>
      <w:pPr>
        <w:spacing w:after="160" w:line="276"/>
      </w:pPr>
      <w:r>
        <w:t xml:space="preserve">The application runs on </w:t>
      </w:r>
      <w:r>
        <w:rPr>
          <w:rFonts w:ascii="Consolas" w:cs="Consolas" w:eastAsia="Consolas" w:hAnsi="Consolas"/>
          <w:sz w:val="20"/>
          <w:szCs w:val="20"/>
          <w:highlight w:val="yellow"/>
          <w:highlightCs w:val="yellow"/>
        </w:rPr>
        <w:t xml:space="preserve">[t3.micro]</w:t>
      </w:r>
      <w:r>
        <w:t xml:space="preserve"> EC2 instances launched from a launch template, under the control of an Auto Scaling group. Two decisions are worth explaining.</w:t>
      </w:r>
    </w:p>
    <w:p>
      <w:pPr>
        <w:spacing w:after="160" w:line="276"/>
      </w:pPr>
      <w:r>
        <w:t xml:space="preserve">First, the instances are </w:t>
      </w:r>
      <w:r>
        <w:rPr>
          <w:b/>
          <w:bCs/>
        </w:rPr>
        <w:t xml:space="preserve">stateless and interchangeable</w:t>
      </w:r>
      <w:r>
        <w:t xml:space="preserve">. All persistent data lives in RDS, and the instances hold no session state that would be lost when one is terminated. This is what makes automatic scaling safe: the Auto Scaling group can add or remove an instance at any moment without the user noticing, because any instance can serve any request. Building the AMI with the application code and its dependencies already installed means a replacement instance reaches a healthy state quickly rather than spending several minutes installing packages at boot.</w:t>
      </w:r>
    </w:p>
    <w:p>
      <w:pPr>
        <w:spacing w:after="160" w:line="276"/>
      </w:pPr>
      <w:r>
        <w:t xml:space="preserve">Second, the </w:t>
      </w:r>
      <w:r>
        <w:rPr>
          <w:b/>
          <w:bCs/>
        </w:rPr>
        <w:t xml:space="preserve">launch template is the single definition of what a server is</w:t>
      </w:r>
      <w:r>
        <w:t xml:space="preserve">. Rather than configuring instances individually, the launch template fixes the AMI, instance type, security group and instance profile, so every instance the group launches is identical to the one we tested. This removes configuration drift as a source of failure.</w:t>
      </w:r>
    </w:p>
    <w:p>
      <w:pPr>
        <w:pStyle w:val="Heading2"/>
        <w:spacing w:after="160" w:before="260"/>
      </w:pPr>
      <w:r>
        <w:rPr>
          <w:b/>
          <w:bCs/>
        </w:rPr>
        <w:t xml:space="preserve">4.3  Database tier</w:t>
      </w:r>
    </w:p>
    <w:p>
      <w:pPr>
        <w:spacing w:after="160" w:line="276"/>
      </w:pPr>
      <w:r>
        <w:t xml:space="preserve">We chose Amazon RDS for MySQL over continuing to run MySQL on an EC2 instance. The managed service handles patching, backups and recovery, and it separates the database’s lifecycle from the application servers’. That separation is precisely what allows the application tier to be replaced freely by Auto Scaling. Keeping the database on one of the application instances would have made every scaling event a risk to the data.</w:t>
      </w:r>
    </w:p>
    <w:p>
      <w:pPr>
        <w:spacing w:after="160" w:line="276"/>
      </w:pPr>
      <w:r>
        <w:t xml:space="preserve">The instance is </w:t>
      </w:r>
      <w:r>
        <w:rPr>
          <w:rFonts w:ascii="Consolas" w:cs="Consolas" w:eastAsia="Consolas" w:hAnsi="Consolas"/>
          <w:sz w:val="20"/>
          <w:szCs w:val="20"/>
          <w:highlight w:val="yellow"/>
          <w:highlightCs w:val="yellow"/>
        </w:rPr>
        <w:t xml:space="preserve">[db.t3.micro]</w:t>
      </w:r>
      <w:r>
        <w:t xml:space="preserve"> in a single Availability Zone, as the assignment scope permits. This is the one deliberate availability compromise in the design, and Section 6.4 discusses it directly. Automated backups are retained for </w:t>
      </w:r>
      <w:r>
        <w:rPr>
          <w:rFonts w:ascii="Consolas" w:cs="Consolas" w:eastAsia="Consolas" w:hAnsi="Consolas"/>
          <w:sz w:val="20"/>
          <w:szCs w:val="20"/>
          <w:highlight w:val="yellow"/>
          <w:highlightCs w:val="yellow"/>
        </w:rPr>
        <w:t xml:space="preserve">[7]</w:t>
      </w:r>
      <w:r>
        <w:t xml:space="preserve"> days, which provides point-in-time recovery within that window.</w:t>
      </w:r>
    </w:p>
    <w:p>
      <w:pPr>
        <w:pStyle w:val="Heading2"/>
        <w:spacing w:after="160" w:before="260"/>
      </w:pPr>
      <w:r>
        <w:rPr>
          <w:b/>
          <w:bCs/>
        </w:rPr>
        <w:t xml:space="preserve">4.4  Credential handling</w:t>
      </w:r>
    </w:p>
    <w:p>
      <w:pPr>
        <w:spacing w:after="160" w:line="276"/>
      </w:pPr>
      <w:r>
        <w:t xml:space="preserve">The application does not contain a database password. At startup it retrieves the credentials from AWS Secrets Manager using the permissions granted by </w:t>
      </w:r>
      <w:r>
        <w:rPr>
          <w:rFonts w:ascii="Consolas" w:cs="Consolas" w:eastAsia="Consolas" w:hAnsi="Consolas"/>
          <w:sz w:val="20"/>
          <w:szCs w:val="20"/>
          <w:highlight w:val="yellow"/>
          <w:highlightCs w:val="yellow"/>
        </w:rPr>
        <w:t xml:space="preserve">[LabRole]</w:t>
      </w:r>
      <w:r>
        <w:t xml:space="preserve">, which is attached to the instances through </w:t>
      </w:r>
      <w:r>
        <w:rPr>
          <w:rFonts w:ascii="Consolas" w:cs="Consolas" w:eastAsia="Consolas" w:hAnsi="Consolas"/>
          <w:sz w:val="20"/>
          <w:szCs w:val="20"/>
          <w:highlight w:val="yellow"/>
          <w:highlightCs w:val="yellow"/>
        </w:rPr>
        <w:t xml:space="preserve">[LabInstanceProfile]</w:t>
      </w:r>
      <w:r>
        <w:t xml:space="preserve">. This matters for two reasons beyond the obvious one. Because the credential is never written into the AMI, an AMI that leaks does not leak the database. And because the permission is granted to a role rather than to a stored key, there is no long-lived access key on the instance to be stolen (Amazon Web Services, n.d.-g).</w:t>
      </w:r>
    </w:p>
    <w:p>
      <w:pPr>
        <w:pStyle w:val="Heading2"/>
        <w:spacing w:after="160" w:before="260"/>
      </w:pPr>
      <w:r>
        <w:rPr>
          <w:b/>
          <w:bCs/>
        </w:rPr>
        <w:t xml:space="preserve">4.5  How the design meets each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shd w:fill="E8E8E2" w:color="auto" w:val="clear"/>
            <w:tcMar>
              <w:top w:type="dxa" w:w="60"/>
              <w:left w:type="dxa" w:w="100"/>
              <w:bottom w:type="dxa" w:w="60"/>
              <w:right w:type="dxa" w:w="100"/>
            </w:tcMar>
          </w:tcPr>
          <w:p>
            <w:pPr>
              <w:spacing w:after="0" w:line="240"/>
            </w:pPr>
            <w:r>
              <w:rPr>
                <w:b/>
                <w:bCs/>
                <w:sz w:val="20"/>
                <w:szCs w:val="20"/>
              </w:rPr>
              <w:t xml:space="preserve">Requirement</w:t>
            </w:r>
          </w:p>
        </w:tc>
        <w:tc>
          <w:tcPr>
            <w:tcW w:type="dxa" w:w="6826"/>
            <w:shd w:fill="E8E8E2" w:color="auto" w:val="clear"/>
            <w:tcMar>
              <w:top w:type="dxa" w:w="60"/>
              <w:left w:type="dxa" w:w="100"/>
              <w:bottom w:type="dxa" w:w="60"/>
              <w:right w:type="dxa" w:w="100"/>
            </w:tcMar>
          </w:tcPr>
          <w:p>
            <w:pPr>
              <w:spacing w:after="0" w:line="240"/>
            </w:pPr>
            <w:r>
              <w:rPr>
                <w:b/>
                <w:bCs/>
                <w:sz w:val="20"/>
                <w:szCs w:val="20"/>
              </w:rPr>
              <w:t xml:space="preserve">Mechanism</w:t>
            </w:r>
          </w:p>
        </w:tc>
      </w:tr>
      <w:tr>
        <w:tc>
          <w:tcPr>
            <w:tcW w:type="dxa" w:w="2200"/>
            <w:tcMar>
              <w:top w:type="dxa" w:w="60"/>
              <w:left w:type="dxa" w:w="100"/>
              <w:bottom w:type="dxa" w:w="60"/>
              <w:right w:type="dxa" w:w="100"/>
            </w:tcMar>
          </w:tcPr>
          <w:p>
            <w:pPr>
              <w:spacing w:after="0" w:line="240"/>
            </w:pPr>
            <w:r>
              <w:rPr>
                <w:sz w:val="20"/>
                <w:szCs w:val="20"/>
              </w:rPr>
              <w:t xml:space="preserve">Functional</w:t>
            </w:r>
          </w:p>
        </w:tc>
        <w:tc>
          <w:tcPr>
            <w:tcW w:type="dxa" w:w="6826"/>
            <w:tcMar>
              <w:top w:type="dxa" w:w="60"/>
              <w:left w:type="dxa" w:w="100"/>
              <w:bottom w:type="dxa" w:w="60"/>
              <w:right w:type="dxa" w:w="100"/>
            </w:tcMar>
          </w:tcPr>
          <w:p>
            <w:pPr>
              <w:spacing w:after="0" w:line="240"/>
            </w:pPr>
            <w:r>
              <w:rPr>
                <w:sz w:val="20"/>
                <w:szCs w:val="20"/>
              </w:rPr>
              <w:t xml:space="preserve">Application tier serving CRUD operations against RDS MySQL</w:t>
            </w:r>
          </w:p>
        </w:tc>
      </w:tr>
      <w:tr>
        <w:tc>
          <w:tcPr>
            <w:tcW w:type="dxa" w:w="2200"/>
            <w:tcMar>
              <w:top w:type="dxa" w:w="60"/>
              <w:left w:type="dxa" w:w="100"/>
              <w:bottom w:type="dxa" w:w="60"/>
              <w:right w:type="dxa" w:w="100"/>
            </w:tcMar>
          </w:tcPr>
          <w:p>
            <w:pPr>
              <w:spacing w:after="0" w:line="240"/>
            </w:pPr>
            <w:r>
              <w:rPr>
                <w:sz w:val="20"/>
                <w:szCs w:val="20"/>
              </w:rPr>
              <w:t xml:space="preserve">Load balanced</w:t>
            </w:r>
          </w:p>
        </w:tc>
        <w:tc>
          <w:tcPr>
            <w:tcW w:type="dxa" w:w="6826"/>
            <w:tcMar>
              <w:top w:type="dxa" w:w="60"/>
              <w:left w:type="dxa" w:w="100"/>
              <w:bottom w:type="dxa" w:w="60"/>
              <w:right w:type="dxa" w:w="100"/>
            </w:tcMar>
          </w:tcPr>
          <w:p>
            <w:pPr>
              <w:spacing w:after="0" w:line="240"/>
            </w:pPr>
            <w:r>
              <w:rPr>
                <w:sz w:val="20"/>
                <w:szCs w:val="20"/>
              </w:rPr>
              <w:t xml:space="preserve">Internet-facing ALB distributing across targets in two AZs</w:t>
            </w:r>
          </w:p>
        </w:tc>
      </w:tr>
      <w:tr>
        <w:tc>
          <w:tcPr>
            <w:tcW w:type="dxa" w:w="2200"/>
            <w:tcMar>
              <w:top w:type="dxa" w:w="60"/>
              <w:left w:type="dxa" w:w="100"/>
              <w:bottom w:type="dxa" w:w="60"/>
              <w:right w:type="dxa" w:w="100"/>
            </w:tcMar>
          </w:tcPr>
          <w:p>
            <w:pPr>
              <w:spacing w:after="0" w:line="240"/>
            </w:pPr>
            <w:r>
              <w:rPr>
                <w:sz w:val="20"/>
                <w:szCs w:val="20"/>
              </w:rPr>
              <w:t xml:space="preserve">Scalable</w:t>
            </w:r>
          </w:p>
        </w:tc>
        <w:tc>
          <w:tcPr>
            <w:tcW w:type="dxa" w:w="6826"/>
            <w:tcMar>
              <w:top w:type="dxa" w:w="60"/>
              <w:left w:type="dxa" w:w="100"/>
              <w:bottom w:type="dxa" w:w="60"/>
              <w:right w:type="dxa" w:w="100"/>
            </w:tcMar>
          </w:tcPr>
          <w:p>
            <w:pPr>
              <w:spacing w:after="0" w:line="240"/>
            </w:pPr>
            <w:r>
              <w:rPr>
                <w:sz w:val="20"/>
                <w:szCs w:val="20"/>
              </w:rPr>
              <w:t xml:space="preserve">EC2 Auto Scaling group with a target tracking policy</w:t>
            </w:r>
          </w:p>
        </w:tc>
      </w:tr>
      <w:tr>
        <w:tc>
          <w:tcPr>
            <w:tcW w:type="dxa" w:w="2200"/>
            <w:tcMar>
              <w:top w:type="dxa" w:w="60"/>
              <w:left w:type="dxa" w:w="100"/>
              <w:bottom w:type="dxa" w:w="60"/>
              <w:right w:type="dxa" w:w="100"/>
            </w:tcMar>
          </w:tcPr>
          <w:p>
            <w:pPr>
              <w:spacing w:after="0" w:line="240"/>
            </w:pPr>
            <w:r>
              <w:rPr>
                <w:sz w:val="20"/>
                <w:szCs w:val="20"/>
              </w:rPr>
              <w:t xml:space="preserve">Highly available</w:t>
            </w:r>
          </w:p>
        </w:tc>
        <w:tc>
          <w:tcPr>
            <w:tcW w:type="dxa" w:w="6826"/>
            <w:tcMar>
              <w:top w:type="dxa" w:w="60"/>
              <w:left w:type="dxa" w:w="100"/>
              <w:bottom w:type="dxa" w:w="60"/>
              <w:right w:type="dxa" w:w="100"/>
            </w:tcMar>
          </w:tcPr>
          <w:p>
            <w:pPr>
              <w:spacing w:after="0" w:line="240"/>
            </w:pPr>
            <w:r>
              <w:rPr>
                <w:sz w:val="20"/>
                <w:szCs w:val="20"/>
              </w:rPr>
              <w:t xml:space="preserve">Web tier in two AZs; ALB health checks; managed database with backups</w:t>
            </w:r>
          </w:p>
        </w:tc>
      </w:tr>
      <w:tr>
        <w:tc>
          <w:tcPr>
            <w:tcW w:type="dxa" w:w="2200"/>
            <w:tcMar>
              <w:top w:type="dxa" w:w="60"/>
              <w:left w:type="dxa" w:w="100"/>
              <w:bottom w:type="dxa" w:w="60"/>
              <w:right w:type="dxa" w:w="100"/>
            </w:tcMar>
          </w:tcPr>
          <w:p>
            <w:pPr>
              <w:spacing w:after="0" w:line="240"/>
            </w:pPr>
            <w:r>
              <w:rPr>
                <w:sz w:val="20"/>
                <w:szCs w:val="20"/>
              </w:rPr>
              <w:t xml:space="preserve">Secure</w:t>
            </w:r>
          </w:p>
        </w:tc>
        <w:tc>
          <w:tcPr>
            <w:tcW w:type="dxa" w:w="6826"/>
            <w:tcMar>
              <w:top w:type="dxa" w:w="60"/>
              <w:left w:type="dxa" w:w="100"/>
              <w:bottom w:type="dxa" w:w="60"/>
              <w:right w:type="dxa" w:w="100"/>
            </w:tcMar>
          </w:tcPr>
          <w:p>
            <w:pPr>
              <w:spacing w:after="0" w:line="240"/>
            </w:pPr>
            <w:r>
              <w:rPr>
                <w:sz w:val="20"/>
                <w:szCs w:val="20"/>
              </w:rPr>
              <w:t xml:space="preserve">Database in private subnets; tiered security groups; credentials in Secrets Manager</w:t>
            </w:r>
          </w:p>
        </w:tc>
      </w:tr>
      <w:tr>
        <w:tc>
          <w:tcPr>
            <w:tcW w:type="dxa" w:w="2200"/>
            <w:tcMar>
              <w:top w:type="dxa" w:w="60"/>
              <w:left w:type="dxa" w:w="100"/>
              <w:bottom w:type="dxa" w:w="60"/>
              <w:right w:type="dxa" w:w="100"/>
            </w:tcMar>
          </w:tcPr>
          <w:p>
            <w:pPr>
              <w:spacing w:after="0" w:line="240"/>
            </w:pPr>
            <w:r>
              <w:rPr>
                <w:sz w:val="20"/>
                <w:szCs w:val="20"/>
              </w:rPr>
              <w:t xml:space="preserve">Cost optimised</w:t>
            </w:r>
          </w:p>
        </w:tc>
        <w:tc>
          <w:tcPr>
            <w:tcW w:type="dxa" w:w="6826"/>
            <w:tcMar>
              <w:top w:type="dxa" w:w="60"/>
              <w:left w:type="dxa" w:w="100"/>
              <w:bottom w:type="dxa" w:w="60"/>
              <w:right w:type="dxa" w:w="100"/>
            </w:tcMar>
          </w:tcPr>
          <w:p>
            <w:pPr>
              <w:spacing w:after="0" w:line="240"/>
            </w:pPr>
            <w:r>
              <w:rPr>
                <w:sz w:val="20"/>
                <w:szCs w:val="20"/>
              </w:rPr>
              <w:t xml:space="preserve">Burstable instance types; Auto Scaling minimum held at the smallest resilient size</w:t>
            </w:r>
          </w:p>
        </w:tc>
      </w:tr>
      <w:tr>
        <w:tc>
          <w:tcPr>
            <w:tcW w:type="dxa" w:w="2200"/>
            <w:tcMar>
              <w:top w:type="dxa" w:w="60"/>
              <w:left w:type="dxa" w:w="100"/>
              <w:bottom w:type="dxa" w:w="60"/>
              <w:right w:type="dxa" w:w="100"/>
            </w:tcMar>
          </w:tcPr>
          <w:p>
            <w:pPr>
              <w:spacing w:after="0" w:line="240"/>
            </w:pPr>
            <w:r>
              <w:rPr>
                <w:sz w:val="20"/>
                <w:szCs w:val="20"/>
              </w:rPr>
              <w:t xml:space="preserve">High performing</w:t>
            </w:r>
          </w:p>
        </w:tc>
        <w:tc>
          <w:tcPr>
            <w:tcW w:type="dxa" w:w="6826"/>
            <w:tcMar>
              <w:top w:type="dxa" w:w="60"/>
              <w:left w:type="dxa" w:w="100"/>
              <w:bottom w:type="dxa" w:w="60"/>
              <w:right w:type="dxa" w:w="100"/>
            </w:tcMar>
          </w:tcPr>
          <w:p>
            <w:pPr>
              <w:spacing w:after="0" w:line="240"/>
            </w:pPr>
            <w:r>
              <w:rPr>
                <w:sz w:val="20"/>
                <w:szCs w:val="20"/>
              </w:rPr>
              <w:t xml:space="preserve">Horizontal scale-out under load, validated by load testing</w:t>
            </w:r>
          </w:p>
        </w:tc>
      </w:tr>
    </w:tbl>
    <w:p>
      <w:pPr>
        <w:spacing w:after="120"/>
      </w:pPr>
    </w:p>
    <w:p>
      <w:pPr>
        <w:pStyle w:val="Heading1"/>
        <w:spacing w:after="160" w:before="360"/>
      </w:pPr>
      <w:r>
        <w:rPr>
          <w:b/>
          <w:bCs/>
        </w:rPr>
        <w:t xml:space="preserve">5.  AWS Pricing Calculator estimate and cost discussion</w:t>
      </w:r>
    </w:p>
    <w:p>
      <w:pPr>
        <w:spacing w:after="200" w:before="120"/>
      </w:pPr>
      <w:r>
        <w:rPr>
          <w:i/>
          <w:iCs/>
          <w:color w:val="595959"/>
          <w:sz w:val="20"/>
          <w:szCs w:val="20"/>
        </w:rPr>
        <w:t xml:space="preserve">Insert the AWS Pricing Calculator summary here and label it CO-1. It must be a 12-month estimate for us-east-1. Export the estimate and place the full breakdown in the appendix.</w:t>
      </w:r>
    </w:p>
    <w:p>
      <w:pPr>
        <w:pStyle w:val="Heading2"/>
        <w:spacing w:after="160" w:before="260"/>
      </w:pPr>
      <w:r>
        <w:rPr>
          <w:b/>
          <w:bCs/>
        </w:rPr>
        <w:t xml:space="preserve">5.1  Estimate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26"/>
        <w:gridCol w:w="1700"/>
        <w:gridCol w:w="1700"/>
      </w:tblGrid>
      <w:tr>
        <w:trPr>
          <w:tblHeader/>
        </w:trPr>
        <w:tc>
          <w:tcPr>
            <w:tcW w:type="dxa" w:w="2400"/>
            <w:shd w:fill="E8E8E2" w:color="auto" w:val="clear"/>
            <w:tcMar>
              <w:top w:type="dxa" w:w="60"/>
              <w:left w:type="dxa" w:w="100"/>
              <w:bottom w:type="dxa" w:w="60"/>
              <w:right w:type="dxa" w:w="100"/>
            </w:tcMar>
          </w:tcPr>
          <w:p>
            <w:pPr>
              <w:spacing w:after="0" w:line="240"/>
            </w:pPr>
            <w:r>
              <w:rPr>
                <w:b/>
                <w:bCs/>
                <w:sz w:val="20"/>
                <w:szCs w:val="20"/>
              </w:rPr>
              <w:t xml:space="preserve">Service</w:t>
            </w:r>
          </w:p>
        </w:tc>
        <w:tc>
          <w:tcPr>
            <w:tcW w:type="dxa" w:w="3226"/>
            <w:shd w:fill="E8E8E2" w:color="auto" w:val="clear"/>
            <w:tcMar>
              <w:top w:type="dxa" w:w="60"/>
              <w:left w:type="dxa" w:w="100"/>
              <w:bottom w:type="dxa" w:w="60"/>
              <w:right w:type="dxa" w:w="100"/>
            </w:tcMar>
          </w:tcPr>
          <w:p>
            <w:pPr>
              <w:spacing w:after="0" w:line="240"/>
            </w:pPr>
            <w:r>
              <w:rPr>
                <w:b/>
                <w:bCs/>
                <w:sz w:val="20"/>
                <w:szCs w:val="20"/>
              </w:rPr>
              <w:t xml:space="preserve">Configuration</w:t>
            </w:r>
          </w:p>
        </w:tc>
        <w:tc>
          <w:tcPr>
            <w:tcW w:type="dxa" w:w="1700"/>
            <w:shd w:fill="E8E8E2" w:color="auto" w:val="clear"/>
            <w:tcMar>
              <w:top w:type="dxa" w:w="60"/>
              <w:left w:type="dxa" w:w="100"/>
              <w:bottom w:type="dxa" w:w="60"/>
              <w:right w:type="dxa" w:w="100"/>
            </w:tcMar>
          </w:tcPr>
          <w:p>
            <w:pPr>
              <w:spacing w:after="0" w:line="240"/>
            </w:pPr>
            <w:r>
              <w:rPr>
                <w:b/>
                <w:bCs/>
                <w:sz w:val="20"/>
                <w:szCs w:val="20"/>
              </w:rPr>
              <w:t xml:space="preserve">Monthly </w:t>
            </w:r>
            <w:r>
              <w:rPr>
                <w:b/>
                <w:bCs/>
                <w:sz w:val="20"/>
                <w:szCs w:val="20"/>
                <w:highlight w:val="yellow"/>
                <w:highlightCs w:val="yellow"/>
              </w:rPr>
              <w:t xml:space="preserve">[USD]</w:t>
            </w:r>
          </w:p>
        </w:tc>
        <w:tc>
          <w:tcPr>
            <w:tcW w:type="dxa" w:w="1700"/>
            <w:shd w:fill="E8E8E2" w:color="auto" w:val="clear"/>
            <w:tcMar>
              <w:top w:type="dxa" w:w="60"/>
              <w:left w:type="dxa" w:w="100"/>
              <w:bottom w:type="dxa" w:w="60"/>
              <w:right w:type="dxa" w:w="100"/>
            </w:tcMar>
          </w:tcPr>
          <w:p>
            <w:pPr>
              <w:spacing w:after="0" w:line="240"/>
            </w:pPr>
            <w:r>
              <w:rPr>
                <w:b/>
                <w:bCs/>
                <w:sz w:val="20"/>
                <w:szCs w:val="20"/>
              </w:rPr>
              <w:t xml:space="preserve">12-month </w:t>
            </w:r>
            <w:r>
              <w:rPr>
                <w:b/>
                <w:bCs/>
                <w:sz w:val="20"/>
                <w:szCs w:val="20"/>
                <w:highlight w:val="yellow"/>
                <w:highlightCs w:val="yellow"/>
              </w:rPr>
              <w:t xml:space="preserve">[USD]</w:t>
            </w:r>
          </w:p>
        </w:tc>
      </w:tr>
      <w:tr>
        <w:tc>
          <w:tcPr>
            <w:tcW w:type="dxa" w:w="2400"/>
            <w:tcMar>
              <w:top w:type="dxa" w:w="60"/>
              <w:left w:type="dxa" w:w="100"/>
              <w:bottom w:type="dxa" w:w="60"/>
              <w:right w:type="dxa" w:w="100"/>
            </w:tcMar>
          </w:tcPr>
          <w:p>
            <w:pPr>
              <w:spacing w:after="0" w:line="240"/>
            </w:pPr>
            <w:r>
              <w:rPr>
                <w:sz w:val="20"/>
                <w:szCs w:val="20"/>
              </w:rPr>
              <w:t xml:space="preserve">Amazon EC2</w:t>
            </w:r>
          </w:p>
        </w:tc>
        <w:tc>
          <w:tcPr>
            <w:tcW w:type="dxa" w:w="3226"/>
            <w:tcMar>
              <w:top w:type="dxa" w:w="60"/>
              <w:left w:type="dxa" w:w="100"/>
              <w:bottom w:type="dxa" w:w="60"/>
              <w:right w:type="dxa" w:w="100"/>
            </w:tcMar>
          </w:tcPr>
          <w:p>
            <w:pPr>
              <w:spacing w:after="0" w:line="240"/>
            </w:pPr>
            <w:r>
              <w:rPr>
                <w:sz w:val="20"/>
                <w:szCs w:val="20"/>
                <w:highlight w:val="yellow"/>
                <w:highlightCs w:val="yellow"/>
              </w:rPr>
              <w:t xml:space="preserve">[2 × t3.micro, on-demand, 730 hrs]</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2400"/>
            <w:tcMar>
              <w:top w:type="dxa" w:w="60"/>
              <w:left w:type="dxa" w:w="100"/>
              <w:bottom w:type="dxa" w:w="60"/>
              <w:right w:type="dxa" w:w="100"/>
            </w:tcMar>
          </w:tcPr>
          <w:p>
            <w:pPr>
              <w:spacing w:after="0" w:line="240"/>
            </w:pPr>
            <w:r>
              <w:rPr>
                <w:sz w:val="20"/>
                <w:szCs w:val="20"/>
              </w:rPr>
              <w:t xml:space="preserve">Application Load Balancer</w:t>
            </w:r>
          </w:p>
        </w:tc>
        <w:tc>
          <w:tcPr>
            <w:tcW w:type="dxa" w:w="3226"/>
            <w:tcMar>
              <w:top w:type="dxa" w:w="60"/>
              <w:left w:type="dxa" w:w="100"/>
              <w:bottom w:type="dxa" w:w="60"/>
              <w:right w:type="dxa" w:w="100"/>
            </w:tcMar>
          </w:tcPr>
          <w:p>
            <w:pPr>
              <w:spacing w:after="0" w:line="240"/>
            </w:pPr>
            <w:r>
              <w:rPr>
                <w:sz w:val="20"/>
                <w:szCs w:val="20"/>
                <w:highlight w:val="yellow"/>
                <w:highlightCs w:val="yellow"/>
              </w:rPr>
              <w:t xml:space="preserve">[1 ALB, LCU estimate]</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2400"/>
            <w:tcMar>
              <w:top w:type="dxa" w:w="60"/>
              <w:left w:type="dxa" w:w="100"/>
              <w:bottom w:type="dxa" w:w="60"/>
              <w:right w:type="dxa" w:w="100"/>
            </w:tcMar>
          </w:tcPr>
          <w:p>
            <w:pPr>
              <w:spacing w:after="0" w:line="240"/>
            </w:pPr>
            <w:r>
              <w:rPr>
                <w:sz w:val="20"/>
                <w:szCs w:val="20"/>
              </w:rPr>
              <w:t xml:space="preserve">Amazon RDS for MySQL</w:t>
            </w:r>
          </w:p>
        </w:tc>
        <w:tc>
          <w:tcPr>
            <w:tcW w:type="dxa" w:w="3226"/>
            <w:tcMar>
              <w:top w:type="dxa" w:w="60"/>
              <w:left w:type="dxa" w:w="100"/>
              <w:bottom w:type="dxa" w:w="60"/>
              <w:right w:type="dxa" w:w="100"/>
            </w:tcMar>
          </w:tcPr>
          <w:p>
            <w:pPr>
              <w:spacing w:after="0" w:line="240"/>
            </w:pPr>
            <w:r>
              <w:rPr>
                <w:sz w:val="20"/>
                <w:szCs w:val="20"/>
                <w:highlight w:val="yellow"/>
                <w:highlightCs w:val="yellow"/>
              </w:rPr>
              <w:t xml:space="preserve">[db.t3.micro, single AZ, 20 GB gp3]</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2400"/>
            <w:tcMar>
              <w:top w:type="dxa" w:w="60"/>
              <w:left w:type="dxa" w:w="100"/>
              <w:bottom w:type="dxa" w:w="60"/>
              <w:right w:type="dxa" w:w="100"/>
            </w:tcMar>
          </w:tcPr>
          <w:p>
            <w:pPr>
              <w:spacing w:after="0" w:line="240"/>
            </w:pPr>
            <w:r>
              <w:rPr>
                <w:sz w:val="20"/>
                <w:szCs w:val="20"/>
                <w:highlight w:val="yellow"/>
                <w:highlightCs w:val="yellow"/>
              </w:rPr>
              <w:t xml:space="preserve">[NAT gateway]</w:t>
            </w:r>
          </w:p>
        </w:tc>
        <w:tc>
          <w:tcPr>
            <w:tcW w:type="dxa" w:w="3226"/>
            <w:tcMar>
              <w:top w:type="dxa" w:w="60"/>
              <w:left w:type="dxa" w:w="100"/>
              <w:bottom w:type="dxa" w:w="60"/>
              <w:right w:type="dxa" w:w="100"/>
            </w:tcMar>
          </w:tcPr>
          <w:p>
            <w:pPr>
              <w:spacing w:after="0" w:line="240"/>
            </w:pPr>
            <w:r>
              <w:rPr>
                <w:sz w:val="20"/>
                <w:szCs w:val="20"/>
                <w:highlight w:val="yellow"/>
                <w:highlightCs w:val="yellow"/>
              </w:rPr>
              <w:t xml:space="preserve">[1 gateway + data processing]</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2400"/>
            <w:tcMar>
              <w:top w:type="dxa" w:w="60"/>
              <w:left w:type="dxa" w:w="100"/>
              <w:bottom w:type="dxa" w:w="60"/>
              <w:right w:type="dxa" w:w="100"/>
            </w:tcMar>
          </w:tcPr>
          <w:p>
            <w:pPr>
              <w:spacing w:after="0" w:line="240"/>
            </w:pPr>
            <w:r>
              <w:rPr>
                <w:sz w:val="20"/>
                <w:szCs w:val="20"/>
              </w:rPr>
              <w:t xml:space="preserve">AWS Secrets Manager</w:t>
            </w:r>
          </w:p>
        </w:tc>
        <w:tc>
          <w:tcPr>
            <w:tcW w:type="dxa" w:w="3226"/>
            <w:tcMar>
              <w:top w:type="dxa" w:w="60"/>
              <w:left w:type="dxa" w:w="100"/>
              <w:bottom w:type="dxa" w:w="60"/>
              <w:right w:type="dxa" w:w="100"/>
            </w:tcMar>
          </w:tcPr>
          <w:p>
            <w:pPr>
              <w:spacing w:after="0" w:line="240"/>
            </w:pPr>
            <w:r>
              <w:rPr>
                <w:sz w:val="20"/>
                <w:szCs w:val="20"/>
                <w:highlight w:val="yellow"/>
                <w:highlightCs w:val="yellow"/>
              </w:rPr>
              <w:t xml:space="preserve">[1 secret]</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2400"/>
            <w:tcMar>
              <w:top w:type="dxa" w:w="60"/>
              <w:left w:type="dxa" w:w="100"/>
              <w:bottom w:type="dxa" w:w="60"/>
              <w:right w:type="dxa" w:w="100"/>
            </w:tcMar>
          </w:tcPr>
          <w:p>
            <w:pPr>
              <w:spacing w:after="0" w:line="240"/>
            </w:pPr>
            <w:r>
              <w:rPr>
                <w:sz w:val="20"/>
                <w:szCs w:val="20"/>
              </w:rPr>
              <w:t xml:space="preserve">Data transfer</w:t>
            </w:r>
          </w:p>
        </w:tc>
        <w:tc>
          <w:tcPr>
            <w:tcW w:type="dxa" w:w="3226"/>
            <w:tcMar>
              <w:top w:type="dxa" w:w="60"/>
              <w:left w:type="dxa" w:w="100"/>
              <w:bottom w:type="dxa" w:w="60"/>
              <w:right w:type="dxa" w:w="100"/>
            </w:tcMar>
          </w:tcPr>
          <w:p>
            <w:pPr>
              <w:spacing w:after="0" w:line="240"/>
            </w:pPr>
            <w:r>
              <w:rPr>
                <w:sz w:val="20"/>
                <w:szCs w:val="20"/>
                <w:highlight w:val="yellow"/>
                <w:highlightCs w:val="yellow"/>
              </w:rPr>
              <w:t xml:space="preserve">[estimate]</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2400"/>
            <w:tcMar>
              <w:top w:type="dxa" w:w="60"/>
              <w:left w:type="dxa" w:w="100"/>
              <w:bottom w:type="dxa" w:w="60"/>
              <w:right w:type="dxa" w:w="100"/>
            </w:tcMar>
          </w:tcPr>
          <w:p>
            <w:pPr>
              <w:spacing w:after="0" w:line="240"/>
            </w:pPr>
            <w:r>
              <w:rPr>
                <w:b/>
                <w:bCs/>
                <w:sz w:val="20"/>
                <w:szCs w:val="20"/>
              </w:rPr>
              <w:t xml:space="preserve">Total</w:t>
            </w:r>
          </w:p>
        </w:tc>
        <w:tc>
          <w:tcPr>
            <w:tcW w:type="dxa" w:w="3226"/>
            <w:tcMar>
              <w:top w:type="dxa" w:w="60"/>
              <w:left w:type="dxa" w:w="100"/>
              <w:bottom w:type="dxa" w:w="60"/>
              <w:right w:type="dxa" w:w="100"/>
            </w:tcMar>
          </w:tcPr>
          <w:p>
            <w:pPr>
              <w:spacing w:after="0" w:line="240"/>
            </w:pP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r>
    </w:tbl>
    <w:p>
      <w:pPr>
        <w:spacing w:after="120"/>
      </w:pPr>
    </w:p>
    <w:p>
      <w:pPr>
        <w:pStyle w:val="Heading2"/>
        <w:spacing w:after="160" w:before="260"/>
      </w:pPr>
      <w:r>
        <w:rPr>
          <w:b/>
          <w:bCs/>
        </w:rPr>
        <w:t xml:space="preserve">5.2  Sizing rationale (evidence CO-2)</w:t>
      </w:r>
    </w:p>
    <w:p>
      <w:pPr>
        <w:spacing w:after="160" w:line="276"/>
      </w:pPr>
      <w:r>
        <w:t xml:space="preserve">The sizing follows from the workload’s shape rather than from a target price. The admissions application has a low steady baseline and a pronounced seasonal peak, which is the profile burstable instance types are designed for: </w:t>
      </w:r>
      <w:r>
        <w:rPr>
          <w:rFonts w:ascii="Consolas" w:cs="Consolas" w:eastAsia="Consolas" w:hAnsi="Consolas"/>
          <w:sz w:val="20"/>
          <w:szCs w:val="20"/>
          <w:highlight w:val="yellow"/>
          <w:highlightCs w:val="yellow"/>
        </w:rPr>
        <w:t xml:space="preserve">[t3.micro]</w:t>
      </w:r>
      <w:r>
        <w:t xml:space="preserve"> instances accrue CPU credits during quiet periods and spend them during short bursts, so we are not paying continuously for capacity that is only needed occasionally.</w:t>
      </w:r>
    </w:p>
    <w:p>
      <w:pPr>
        <w:spacing w:after="160" w:line="276"/>
      </w:pPr>
      <w:r>
        <w:t xml:space="preserve">The Auto Scaling </w:t>
      </w:r>
      <w:r>
        <w:rPr>
          <w:b/>
          <w:bCs/>
        </w:rPr>
        <w:t xml:space="preserve">minimum of </w:t>
      </w:r>
      <w:r>
        <w:rPr>
          <w:rFonts w:ascii="Consolas" w:cs="Consolas" w:eastAsia="Consolas" w:hAnsi="Consolas"/>
          <w:b/>
          <w:bCs/>
          <w:sz w:val="20"/>
          <w:szCs w:val="20"/>
          <w:highlight w:val="yellow"/>
          <w:highlightCs w:val="yellow"/>
        </w:rPr>
        <w:t xml:space="preserve">[2]</w:t>
      </w:r>
      <w:r>
        <w:t xml:space="preserve"> is set by availability rather than by load. One instance would be sufficient for baseline traffic, but it would also mean that losing a single instance, or a single Availability Zone, takes the application offline until a replacement finishes booting. Two instances in two zones is the smallest configuration that survives that failure, so the second instance is the cost of the availability requirement, not spare capacity.</w:t>
      </w:r>
    </w:p>
    <w:p>
      <w:pPr>
        <w:spacing w:after="160" w:line="276"/>
      </w:pPr>
      <w:r>
        <w:t xml:space="preserve">The </w:t>
      </w:r>
      <w:r>
        <w:rPr>
          <w:b/>
          <w:bCs/>
        </w:rPr>
        <w:t xml:space="preserve">maximum of </w:t>
      </w:r>
      <w:r>
        <w:rPr>
          <w:rFonts w:ascii="Consolas" w:cs="Consolas" w:eastAsia="Consolas" w:hAnsi="Consolas"/>
          <w:b/>
          <w:bCs/>
          <w:sz w:val="20"/>
          <w:szCs w:val="20"/>
          <w:highlight w:val="yellow"/>
          <w:highlightCs w:val="yellow"/>
        </w:rPr>
        <w:t xml:space="preserve">[4]</w:t>
      </w:r>
      <w:r>
        <w:t xml:space="preserve"> is a budget control as much as a capacity ceiling. It bounds what a traffic spike, a runaway script or a load test can cost. We set it from our load test results: </w:t>
      </w:r>
      <w:r>
        <w:rPr>
          <w:rFonts w:ascii="Consolas" w:cs="Consolas" w:eastAsia="Consolas" w:hAnsi="Consolas"/>
          <w:sz w:val="20"/>
          <w:szCs w:val="20"/>
          <w:highlight w:val="yellow"/>
          <w:highlightCs w:val="yellow"/>
        </w:rPr>
        <w:t xml:space="preserve">[N]</w:t>
      </w:r>
      <w:r>
        <w:t xml:space="preserve"> instances were sufficient to hold response times steady at our peak test rate, and the maximum allows headroom above that.</w:t>
      </w:r>
    </w:p>
    <w:p>
      <w:pPr>
        <w:spacing w:after="160" w:line="276"/>
      </w:pPr>
      <w:r>
        <w:t xml:space="preserve">The database is sized at </w:t>
      </w:r>
      <w:r>
        <w:rPr>
          <w:rFonts w:ascii="Consolas" w:cs="Consolas" w:eastAsia="Consolas" w:hAnsi="Consolas"/>
          <w:sz w:val="20"/>
          <w:szCs w:val="20"/>
          <w:highlight w:val="yellow"/>
          <w:highlightCs w:val="yellow"/>
        </w:rPr>
        <w:t xml:space="preserve">[db.t3.micro]</w:t>
      </w:r>
      <w:r>
        <w:t xml:space="preserve"> because the working set is small and the query pattern is simple record lookups and single-row writes. Storage is provisioned at </w:t>
      </w:r>
      <w:r>
        <w:rPr>
          <w:rFonts w:ascii="Consolas" w:cs="Consolas" w:eastAsia="Consolas" w:hAnsi="Consolas"/>
          <w:sz w:val="20"/>
          <w:szCs w:val="20"/>
          <w:highlight w:val="yellow"/>
          <w:highlightCs w:val="yellow"/>
        </w:rPr>
        <w:t xml:space="preserve">[20 GB]</w:t>
      </w:r>
      <w:r>
        <w:t xml:space="preserve">, the minimum that comfortably holds the dataset, because RDS storage is billed on what is provisioned rather than on what is used.</w:t>
      </w:r>
    </w:p>
    <w:p>
      <w:pPr>
        <w:pStyle w:val="Heading2"/>
        <w:spacing w:after="160" w:before="260"/>
      </w:pPr>
      <w:r>
        <w:rPr>
          <w:b/>
          <w:bCs/>
        </w:rPr>
        <w:t xml:space="preserve">5.3  Cost trade-offs we accepted</w:t>
      </w:r>
    </w:p>
    <w:p>
      <w:pPr>
        <w:spacing w:after="160" w:line="276"/>
      </w:pPr>
      <w:r>
        <w:t xml:space="preserve">Two decisions traded resilience for budget, and both should be read as scope choices rather than oversights. We ran the database in a </w:t>
      </w:r>
      <w:r>
        <w:rPr>
          <w:b/>
          <w:bCs/>
        </w:rPr>
        <w:t xml:space="preserve">single Availability Zone</w:t>
      </w:r>
      <w:r>
        <w:t xml:space="preserve">; a Multi-AZ deployment would roughly double the database cost for a standby instance that serves no traffic, and the assignment scope permits single-AZ. </w:t>
      </w:r>
      <w:r>
        <w:rPr>
          <w:rFonts w:ascii="Consolas" w:cs="Consolas" w:eastAsia="Consolas" w:hAnsi="Consolas"/>
          <w:sz w:val="20"/>
          <w:szCs w:val="20"/>
          <w:highlight w:val="yellow"/>
          <w:highlightCs w:val="yellow"/>
        </w:rPr>
        <w:t xml:space="preserve">[We also ran a single NAT gateway rather than one per Availability Zone, which leaves cross-AZ outbound traffic dependent on one zone; for a proof of concept whose outbound traffic is limited to package updates and Secrets Manager calls, we judged the saving worthwhile.]</w:t>
      </w:r>
    </w:p>
    <w:p>
      <w:pPr>
        <w:spacing w:after="160" w:line="276"/>
      </w:pPr>
      <w:r>
        <w:t xml:space="preserve">The largest cost lever we did </w:t>
      </w:r>
      <w:r>
        <w:rPr>
          <w:b/>
          <w:bCs/>
        </w:rPr>
        <w:t xml:space="preserve">not</w:t>
      </w:r>
      <w:r>
        <w:t xml:space="preserve"> pull is committed-use pricing. Reserved Instances or a Savings Plan would materially reduce the EC2 and RDS lines over twelve months, but they commit to a one- or three-year term, which does not suit a proof of concept whose architecture is still changing. We note it here as the first thing to revisit before a production deployment.</w:t>
      </w:r>
    </w:p>
    <w:p>
      <w:pPr>
        <w:pStyle w:val="Heading1"/>
        <w:spacing w:after="160" w:before="360"/>
      </w:pPr>
      <w:r>
        <w:rPr>
          <w:b/>
          <w:bCs/>
        </w:rPr>
        <w:t xml:space="preserve">6.  Criterion evidence</w:t>
      </w:r>
    </w:p>
    <w:p>
      <w:pPr>
        <w:pStyle w:val="Heading2"/>
        <w:spacing w:after="160" w:before="260"/>
      </w:pPr>
      <w:r>
        <w:rPr>
          <w:b/>
          <w:bCs/>
        </w:rPr>
        <w:t xml:space="preserve">6.1  C1  Functional</w:t>
      </w:r>
    </w:p>
    <w:p>
      <w:pPr>
        <w:spacing w:after="160" w:line="276"/>
      </w:pPr>
      <w:r>
        <w:t xml:space="preserve">The application is reachable from the public internet at </w:t>
      </w:r>
      <w:r>
        <w:rPr>
          <w:rFonts w:ascii="Consolas" w:cs="Consolas" w:eastAsia="Consolas" w:hAnsi="Consolas"/>
          <w:sz w:val="20"/>
          <w:szCs w:val="20"/>
          <w:highlight w:val="yellow"/>
          <w:highlightCs w:val="yellow"/>
        </w:rPr>
        <w:t xml:space="preserve">[ALB DNS NAME]</w:t>
      </w:r>
      <w:r>
        <w:t xml:space="preserve"> (Figure F-1) and supports all four record operations required by the admissions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526"/>
        <w:gridCol w:w="1300"/>
        <w:gridCol w:w="1800"/>
      </w:tblGrid>
      <w:tr>
        <w:trPr>
          <w:tblHeader/>
        </w:trPr>
        <w:tc>
          <w:tcPr>
            <w:tcW w:type="dxa" w:w="1400"/>
            <w:shd w:fill="E8E8E2" w:color="auto" w:val="clear"/>
            <w:tcMar>
              <w:top w:type="dxa" w:w="60"/>
              <w:left w:type="dxa" w:w="100"/>
              <w:bottom w:type="dxa" w:w="60"/>
              <w:right w:type="dxa" w:w="100"/>
            </w:tcMar>
          </w:tcPr>
          <w:p>
            <w:pPr>
              <w:spacing w:after="0" w:line="240"/>
            </w:pPr>
            <w:r>
              <w:rPr>
                <w:b/>
                <w:bCs/>
                <w:sz w:val="20"/>
                <w:szCs w:val="20"/>
              </w:rPr>
              <w:t xml:space="preserve">Operation</w:t>
            </w:r>
          </w:p>
        </w:tc>
        <w:tc>
          <w:tcPr>
            <w:tcW w:type="dxa" w:w="4526"/>
            <w:shd w:fill="E8E8E2" w:color="auto" w:val="clear"/>
            <w:tcMar>
              <w:top w:type="dxa" w:w="60"/>
              <w:left w:type="dxa" w:w="100"/>
              <w:bottom w:type="dxa" w:w="60"/>
              <w:right w:type="dxa" w:w="100"/>
            </w:tcMar>
          </w:tcPr>
          <w:p>
            <w:pPr>
              <w:spacing w:after="0" w:line="240"/>
            </w:pPr>
            <w:r>
              <w:rPr>
                <w:b/>
                <w:bCs/>
                <w:sz w:val="20"/>
                <w:szCs w:val="20"/>
              </w:rPr>
              <w:t xml:space="preserve">What was tested</w:t>
            </w:r>
          </w:p>
        </w:tc>
        <w:tc>
          <w:tcPr>
            <w:tcW w:type="dxa" w:w="1300"/>
            <w:shd w:fill="E8E8E2" w:color="auto" w:val="clear"/>
            <w:tcMar>
              <w:top w:type="dxa" w:w="60"/>
              <w:left w:type="dxa" w:w="100"/>
              <w:bottom w:type="dxa" w:w="60"/>
              <w:right w:type="dxa" w:w="100"/>
            </w:tcMar>
          </w:tcPr>
          <w:p>
            <w:pPr>
              <w:spacing w:after="0" w:line="240"/>
            </w:pPr>
            <w:r>
              <w:rPr>
                <w:b/>
                <w:bCs/>
                <w:sz w:val="20"/>
                <w:szCs w:val="20"/>
              </w:rPr>
              <w:t xml:space="preserve">Result</w:t>
            </w:r>
          </w:p>
        </w:tc>
        <w:tc>
          <w:tcPr>
            <w:tcW w:type="dxa" w:w="1800"/>
            <w:shd w:fill="E8E8E2" w:color="auto" w:val="clear"/>
            <w:tcMar>
              <w:top w:type="dxa" w:w="60"/>
              <w:left w:type="dxa" w:w="100"/>
              <w:bottom w:type="dxa" w:w="60"/>
              <w:right w:type="dxa" w:w="100"/>
            </w:tcMar>
          </w:tcPr>
          <w:p>
            <w:pPr>
              <w:spacing w:after="0" w:line="240"/>
            </w:pPr>
            <w:r>
              <w:rPr>
                <w:b/>
                <w:bCs/>
                <w:sz w:val="20"/>
                <w:szCs w:val="20"/>
              </w:rPr>
              <w:t xml:space="preserve">Evidence</w:t>
            </w:r>
          </w:p>
        </w:tc>
      </w:tr>
      <w:tr>
        <w:tc>
          <w:tcPr>
            <w:tcW w:type="dxa" w:w="1400"/>
            <w:tcMar>
              <w:top w:type="dxa" w:w="60"/>
              <w:left w:type="dxa" w:w="100"/>
              <w:bottom w:type="dxa" w:w="60"/>
              <w:right w:type="dxa" w:w="100"/>
            </w:tcMar>
          </w:tcPr>
          <w:p>
            <w:pPr>
              <w:spacing w:after="0" w:line="240"/>
            </w:pPr>
            <w:r>
              <w:rPr>
                <w:sz w:val="20"/>
                <w:szCs w:val="20"/>
              </w:rPr>
              <w:t xml:space="preserve">View</w:t>
            </w:r>
          </w:p>
        </w:tc>
        <w:tc>
          <w:tcPr>
            <w:tcW w:type="dxa" w:w="4526"/>
            <w:tcMar>
              <w:top w:type="dxa" w:w="60"/>
              <w:left w:type="dxa" w:w="100"/>
              <w:bottom w:type="dxa" w:w="60"/>
              <w:right w:type="dxa" w:w="100"/>
            </w:tcMar>
          </w:tcPr>
          <w:p>
            <w:pPr>
              <w:spacing w:after="0" w:line="240"/>
            </w:pPr>
            <w:r>
              <w:rPr>
                <w:sz w:val="20"/>
                <w:szCs w:val="20"/>
              </w:rPr>
              <w:t xml:space="preserve">Loaded the student list and opened an individual record</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[Pass]</w:t>
            </w:r>
          </w:p>
        </w:tc>
        <w:tc>
          <w:tcPr>
            <w:tcW w:type="dxa" w:w="1800"/>
            <w:tcMar>
              <w:top w:type="dxa" w:w="60"/>
              <w:left w:type="dxa" w:w="100"/>
              <w:bottom w:type="dxa" w:w="60"/>
              <w:right w:type="dxa" w:w="100"/>
            </w:tcMar>
          </w:tcPr>
          <w:p>
            <w:pPr>
              <w:spacing w:after="0" w:line="240"/>
            </w:pPr>
            <w:r>
              <w:rPr>
                <w:sz w:val="20"/>
                <w:szCs w:val="20"/>
                <w:highlight w:val="yellow"/>
                <w:highlightCs w:val="yellow"/>
              </w:rPr>
              <w:t xml:space="preserve">[Fig. F-2a]</w:t>
            </w:r>
          </w:p>
        </w:tc>
      </w:tr>
      <w:tr>
        <w:tc>
          <w:tcPr>
            <w:tcW w:type="dxa" w:w="1400"/>
            <w:tcMar>
              <w:top w:type="dxa" w:w="60"/>
              <w:left w:type="dxa" w:w="100"/>
              <w:bottom w:type="dxa" w:w="60"/>
              <w:right w:type="dxa" w:w="100"/>
            </w:tcMar>
          </w:tcPr>
          <w:p>
            <w:pPr>
              <w:spacing w:after="0" w:line="240"/>
            </w:pPr>
            <w:r>
              <w:rPr>
                <w:sz w:val="20"/>
                <w:szCs w:val="20"/>
              </w:rPr>
              <w:t xml:space="preserve">Add</w:t>
            </w:r>
          </w:p>
        </w:tc>
        <w:tc>
          <w:tcPr>
            <w:tcW w:type="dxa" w:w="4526"/>
            <w:tcMar>
              <w:top w:type="dxa" w:w="60"/>
              <w:left w:type="dxa" w:w="100"/>
              <w:bottom w:type="dxa" w:w="60"/>
              <w:right w:type="dxa" w:w="100"/>
            </w:tcMar>
          </w:tcPr>
          <w:p>
            <w:pPr>
              <w:spacing w:after="0" w:line="240"/>
            </w:pPr>
            <w:r>
              <w:rPr>
                <w:sz w:val="20"/>
                <w:szCs w:val="20"/>
              </w:rPr>
              <w:t xml:space="preserve">Created a record for </w:t>
            </w:r>
            <w:r>
              <w:rPr>
                <w:sz w:val="20"/>
                <w:szCs w:val="20"/>
                <w:highlight w:val="yellow"/>
                <w:highlightCs w:val="yellow"/>
              </w:rPr>
              <w:t xml:space="preserve">[test student]</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[Pass]</w:t>
            </w:r>
          </w:p>
        </w:tc>
        <w:tc>
          <w:tcPr>
            <w:tcW w:type="dxa" w:w="1800"/>
            <w:tcMar>
              <w:top w:type="dxa" w:w="60"/>
              <w:left w:type="dxa" w:w="100"/>
              <w:bottom w:type="dxa" w:w="60"/>
              <w:right w:type="dxa" w:w="100"/>
            </w:tcMar>
          </w:tcPr>
          <w:p>
            <w:pPr>
              <w:spacing w:after="0" w:line="240"/>
            </w:pPr>
            <w:r>
              <w:rPr>
                <w:sz w:val="20"/>
                <w:szCs w:val="20"/>
                <w:highlight w:val="yellow"/>
                <w:highlightCs w:val="yellow"/>
              </w:rPr>
              <w:t xml:space="preserve">[Fig. F-2b]</w:t>
            </w:r>
          </w:p>
        </w:tc>
      </w:tr>
      <w:tr>
        <w:tc>
          <w:tcPr>
            <w:tcW w:type="dxa" w:w="1400"/>
            <w:tcMar>
              <w:top w:type="dxa" w:w="60"/>
              <w:left w:type="dxa" w:w="100"/>
              <w:bottom w:type="dxa" w:w="60"/>
              <w:right w:type="dxa" w:w="100"/>
            </w:tcMar>
          </w:tcPr>
          <w:p>
            <w:pPr>
              <w:spacing w:after="0" w:line="240"/>
            </w:pPr>
            <w:r>
              <w:rPr>
                <w:sz w:val="20"/>
                <w:szCs w:val="20"/>
              </w:rPr>
              <w:t xml:space="preserve">Modify</w:t>
            </w:r>
          </w:p>
        </w:tc>
        <w:tc>
          <w:tcPr>
            <w:tcW w:type="dxa" w:w="4526"/>
            <w:tcMar>
              <w:top w:type="dxa" w:w="60"/>
              <w:left w:type="dxa" w:w="100"/>
              <w:bottom w:type="dxa" w:w="60"/>
              <w:right w:type="dxa" w:w="100"/>
            </w:tcMar>
          </w:tcPr>
          <w:p>
            <w:pPr>
              <w:spacing w:after="0" w:line="240"/>
            </w:pPr>
            <w:r>
              <w:rPr>
                <w:sz w:val="20"/>
                <w:szCs w:val="20"/>
              </w:rPr>
              <w:t xml:space="preserve">Edited </w:t>
            </w:r>
            <w:r>
              <w:rPr>
                <w:sz w:val="20"/>
                <w:szCs w:val="20"/>
                <w:highlight w:val="yellow"/>
                <w:highlightCs w:val="yellow"/>
              </w:rPr>
              <w:t xml:space="preserve">[field]</w:t>
            </w:r>
            <w:r>
              <w:rPr>
                <w:sz w:val="20"/>
                <w:szCs w:val="20"/>
              </w:rPr>
              <w:t xml:space="preserve"> on an existing record and reloaded to confirm persistence</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[Pass]</w:t>
            </w:r>
          </w:p>
        </w:tc>
        <w:tc>
          <w:tcPr>
            <w:tcW w:type="dxa" w:w="1800"/>
            <w:tcMar>
              <w:top w:type="dxa" w:w="60"/>
              <w:left w:type="dxa" w:w="100"/>
              <w:bottom w:type="dxa" w:w="60"/>
              <w:right w:type="dxa" w:w="100"/>
            </w:tcMar>
          </w:tcPr>
          <w:p>
            <w:pPr>
              <w:spacing w:after="0" w:line="240"/>
            </w:pPr>
            <w:r>
              <w:rPr>
                <w:sz w:val="20"/>
                <w:szCs w:val="20"/>
                <w:highlight w:val="yellow"/>
                <w:highlightCs w:val="yellow"/>
              </w:rPr>
              <w:t xml:space="preserve">[Fig. F-2c]</w:t>
            </w:r>
          </w:p>
        </w:tc>
      </w:tr>
      <w:tr>
        <w:tc>
          <w:tcPr>
            <w:tcW w:type="dxa" w:w="1400"/>
            <w:tcMar>
              <w:top w:type="dxa" w:w="60"/>
              <w:left w:type="dxa" w:w="100"/>
              <w:bottom w:type="dxa" w:w="60"/>
              <w:right w:type="dxa" w:w="100"/>
            </w:tcMar>
          </w:tcPr>
          <w:p>
            <w:pPr>
              <w:spacing w:after="0" w:line="240"/>
            </w:pPr>
            <w:r>
              <w:rPr>
                <w:sz w:val="20"/>
                <w:szCs w:val="20"/>
              </w:rPr>
              <w:t xml:space="preserve">Delete</w:t>
            </w:r>
          </w:p>
        </w:tc>
        <w:tc>
          <w:tcPr>
            <w:tcW w:type="dxa" w:w="4526"/>
            <w:tcMar>
              <w:top w:type="dxa" w:w="60"/>
              <w:left w:type="dxa" w:w="100"/>
              <w:bottom w:type="dxa" w:w="60"/>
              <w:right w:type="dxa" w:w="100"/>
            </w:tcMar>
          </w:tcPr>
          <w:p>
            <w:pPr>
              <w:spacing w:after="0" w:line="240"/>
            </w:pPr>
            <w:r>
              <w:rPr>
                <w:sz w:val="20"/>
                <w:szCs w:val="20"/>
              </w:rPr>
              <w:t xml:space="preserve">Removed a record and confirmed it no longer appears in the list</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[Pass]</w:t>
            </w:r>
          </w:p>
        </w:tc>
        <w:tc>
          <w:tcPr>
            <w:tcW w:type="dxa" w:w="1800"/>
            <w:tcMar>
              <w:top w:type="dxa" w:w="60"/>
              <w:left w:type="dxa" w:w="100"/>
              <w:bottom w:type="dxa" w:w="60"/>
              <w:right w:type="dxa" w:w="100"/>
            </w:tcMar>
          </w:tcPr>
          <w:p>
            <w:pPr>
              <w:spacing w:after="0" w:line="240"/>
            </w:pPr>
            <w:r>
              <w:rPr>
                <w:sz w:val="20"/>
                <w:szCs w:val="20"/>
                <w:highlight w:val="yellow"/>
                <w:highlightCs w:val="yellow"/>
              </w:rPr>
              <w:t xml:space="preserve">[Fig. F-2d]</w:t>
            </w:r>
          </w:p>
        </w:tc>
      </w:tr>
    </w:tbl>
    <w:p>
      <w:pPr>
        <w:spacing w:after="120"/>
      </w:pPr>
    </w:p>
    <w:p>
      <w:pPr>
        <w:spacing w:after="160" w:line="276"/>
      </w:pPr>
      <w:r>
        <w:t xml:space="preserve">Each write operation was verified by reloading the page after the action, so the screenshots show the state persisted in the database rather than a client-side response.</w:t>
      </w:r>
    </w:p>
    <w:p>
      <w:pPr>
        <w:spacing w:after="160" w:line="276"/>
      </w:pPr>
      <w:r>
        <w:t xml:space="preserve">Data migrated from the original single-instance MySQL database is present and queryable in RDS. Figure F-3 shows </w:t>
      </w:r>
      <w:r>
        <w:rPr>
          <w:rFonts w:ascii="Consolas" w:cs="Consolas" w:eastAsia="Consolas" w:hAnsi="Consolas"/>
          <w:sz w:val="20"/>
          <w:szCs w:val="20"/>
          <w:highlight w:val="yellow"/>
          <w:highlightCs w:val="yellow"/>
        </w:rPr>
        <w:t xml:space="preserve">[the students table with N rows queried directly against the RDS endpoint]</w:t>
      </w:r>
      <w:r>
        <w:t xml:space="preserve">, confirming that the migration carried the records across rather than starting from an empty schema.</w:t>
      </w:r>
    </w:p>
    <w:p>
      <w:pPr>
        <w:spacing w:after="160" w:line="276"/>
      </w:pPr>
      <w:r>
        <w:t xml:space="preserve">Under normal use, page operations completed in approximately </w:t>
      </w:r>
      <w:r>
        <w:rPr>
          <w:rFonts w:ascii="Consolas" w:cs="Consolas" w:eastAsia="Consolas" w:hAnsi="Consolas"/>
          <w:sz w:val="20"/>
          <w:szCs w:val="20"/>
          <w:highlight w:val="yellow"/>
          <w:highlightCs w:val="yellow"/>
        </w:rPr>
        <w:t xml:space="preserve">[X]</w:t>
      </w:r>
      <w:r>
        <w:t xml:space="preserve"> seconds, </w:t>
      </w:r>
      <w:r>
        <w:rPr>
          <w:rFonts w:ascii="Consolas" w:cs="Consolas" w:eastAsia="Consolas" w:hAnsi="Consolas"/>
          <w:sz w:val="20"/>
          <w:szCs w:val="20"/>
          <w:highlight w:val="yellow"/>
          <w:highlightCs w:val="yellow"/>
        </w:rPr>
        <w:t xml:space="preserve">[measured from the browser developer tools Network tab]</w:t>
      </w:r>
      <w:r>
        <w:t xml:space="preserve">, with no operation exhibiting a delay perceptible to the user.</w:t>
      </w:r>
    </w:p>
    <w:p>
      <w:pPr>
        <w:pBdr>
          <w:left w:val="single" w:color="9A9A8C" w:sz="12" w:space="10"/>
        </w:pBdr>
        <w:shd w:fill="F4F4F0" w:color="auto" w:val="clear"/>
        <w:spacing w:after="200" w:before="140" w:line="260"/>
        <w:ind w:left="220"/>
      </w:pPr>
      <w:r>
        <w:rPr>
          <w:i/>
          <w:iCs/>
          <w:sz w:val="20"/>
          <w:szCs w:val="20"/>
        </w:rPr>
        <w:t xml:space="preserve">Fill this from real observations. Take the response time from your browser’s Network tab or from the ALB TargetResponseTime metric in CloudWatch, and state which one you used.</w:t>
      </w:r>
    </w:p>
    <w:p>
      <w:pPr>
        <w:pStyle w:val="Heading2"/>
        <w:spacing w:after="160" w:before="260"/>
      </w:pPr>
      <w:r>
        <w:rPr>
          <w:b/>
          <w:bCs/>
        </w:rPr>
        <w:t xml:space="preserve">6.2  C2  Load Balanced</w:t>
      </w:r>
    </w:p>
    <w:p>
      <w:pPr>
        <w:spacing w:after="160" w:line="276"/>
      </w:pPr>
      <w:r>
        <w:t xml:space="preserve">An internet-facing Application Load Balancer named </w:t>
      </w:r>
      <w:r>
        <w:rPr>
          <w:rFonts w:ascii="Consolas" w:cs="Consolas" w:eastAsia="Consolas" w:hAnsi="Consolas"/>
          <w:sz w:val="20"/>
          <w:szCs w:val="20"/>
          <w:highlight w:val="yellow"/>
          <w:highlightCs w:val="yellow"/>
        </w:rPr>
        <w:t xml:space="preserve">[ALB NAME]</w:t>
      </w:r>
      <w:r>
        <w:t xml:space="preserve"> is the entry point to the application (Figure LB-1). It is deployed across </w:t>
      </w:r>
      <w:r>
        <w:rPr>
          <w:rFonts w:ascii="Consolas" w:cs="Consolas" w:eastAsia="Consolas" w:hAnsi="Consolas"/>
          <w:sz w:val="20"/>
          <w:szCs w:val="20"/>
          <w:highlight w:val="yellow"/>
          <w:highlightCs w:val="yellow"/>
        </w:rPr>
        <w:t xml:space="preserve">[us-east-1a]</w:t>
      </w:r>
      <w:r>
        <w:t xml:space="preserve"> and </w:t>
      </w:r>
      <w:r>
        <w:rPr>
          <w:rFonts w:ascii="Consolas" w:cs="Consolas" w:eastAsia="Consolas" w:hAnsi="Consolas"/>
          <w:sz w:val="20"/>
          <w:szCs w:val="20"/>
          <w:highlight w:val="yellow"/>
          <w:highlightCs w:val="yellow"/>
        </w:rPr>
        <w:t xml:space="preserve">[us-east-1b]</w:t>
      </w:r>
      <w:r>
        <w:t xml:space="preserve">, which means the service has a node in each zone and can direct traffic to either.</w:t>
      </w:r>
    </w:p>
    <w:p>
      <w:pPr>
        <w:spacing w:after="160" w:line="276"/>
      </w:pPr>
      <w:r>
        <w:t xml:space="preserve">The listener configuration is deliberately simple: a single HTTP listener on port 80 with a default action forwarding all requests to the target group </w:t>
      </w:r>
      <w:r>
        <w:rPr>
          <w:rFonts w:ascii="Consolas" w:cs="Consolas" w:eastAsia="Consolas" w:hAnsi="Consolas"/>
          <w:sz w:val="20"/>
          <w:szCs w:val="20"/>
          <w:highlight w:val="yellow"/>
          <w:highlightCs w:val="yellow"/>
        </w:rPr>
        <w:t xml:space="preserve">[TG NAME]</w:t>
      </w:r>
      <w:r>
        <w:t xml:space="preserve">. Because the proof of concept serves one application with no path-based routing requirement, no additional listener rules were needed.</w:t>
      </w:r>
    </w:p>
    <w:p>
      <w:pPr>
        <w:spacing w:after="160" w:line="276"/>
      </w:pPr>
      <w:r>
        <w:t xml:space="preserve">The target group registers instances on port </w:t>
      </w:r>
      <w:r>
        <w:rPr>
          <w:rFonts w:ascii="Consolas" w:cs="Consolas" w:eastAsia="Consolas" w:hAnsi="Consolas"/>
          <w:sz w:val="20"/>
          <w:szCs w:val="20"/>
          <w:highlight w:val="yellow"/>
          <w:highlightCs w:val="yellow"/>
        </w:rPr>
        <w:t xml:space="preserve">[80]</w:t>
      </w:r>
      <w:r>
        <w:t xml:space="preserve"> with a health check on </w:t>
      </w:r>
      <w:r>
        <w:rPr>
          <w:rFonts w:ascii="Consolas" w:cs="Consolas" w:eastAsia="Consolas" w:hAnsi="Consolas"/>
          <w:sz w:val="20"/>
          <w:szCs w:val="20"/>
          <w:highlight w:val="yellow"/>
          <w:highlightCs w:val="yellow"/>
        </w:rPr>
        <w:t xml:space="preserve">[path /]</w:t>
      </w:r>
      <w:r>
        <w:t xml:space="preserve">, considering a target healthy after </w:t>
      </w:r>
      <w:r>
        <w:rPr>
          <w:rFonts w:ascii="Consolas" w:cs="Consolas" w:eastAsia="Consolas" w:hAnsi="Consolas"/>
          <w:sz w:val="20"/>
          <w:szCs w:val="20"/>
          <w:highlight w:val="yellow"/>
          <w:highlightCs w:val="yellow"/>
        </w:rPr>
        <w:t xml:space="preserve">[2]</w:t>
      </w:r>
      <w:r>
        <w:t xml:space="preserve"> consecutive successful checks at </w:t>
      </w:r>
      <w:r>
        <w:rPr>
          <w:rFonts w:ascii="Consolas" w:cs="Consolas" w:eastAsia="Consolas" w:hAnsi="Consolas"/>
          <w:sz w:val="20"/>
          <w:szCs w:val="20"/>
          <w:highlight w:val="yellow"/>
          <w:highlightCs w:val="yellow"/>
        </w:rPr>
        <w:t xml:space="preserve">[30]</w:t>
      </w:r>
      <w:r>
        <w:t xml:space="preserve">-second intervals and unhealthy after </w:t>
      </w:r>
      <w:r>
        <w:rPr>
          <w:rFonts w:ascii="Consolas" w:cs="Consolas" w:eastAsia="Consolas" w:hAnsi="Consolas"/>
          <w:sz w:val="20"/>
          <w:szCs w:val="20"/>
          <w:highlight w:val="yellow"/>
          <w:highlightCs w:val="yellow"/>
        </w:rPr>
        <w:t xml:space="preserve">[2]</w:t>
      </w:r>
      <w:r>
        <w:t xml:space="preserve"> failures. The health check is the mechanism that connects load balancing to availability: the load balancer routes only to targets currently passing it, so an instance that fails, whether through an application error or the loss of its Availability Zone, is removed from rotation automatically, without a person intervening (Amazon Web Services, n.d.-c).</w:t>
      </w:r>
    </w:p>
    <w:p>
      <w:pPr>
        <w:spacing w:after="160" w:line="276"/>
      </w:pPr>
      <w:r>
        <w:t xml:space="preserve">Figure LB-2 shows </w:t>
      </w:r>
      <w:r>
        <w:rPr>
          <w:rFonts w:ascii="Consolas" w:cs="Consolas" w:eastAsia="Consolas" w:hAnsi="Consolas"/>
          <w:sz w:val="20"/>
          <w:szCs w:val="20"/>
          <w:highlight w:val="yellow"/>
          <w:highlightCs w:val="yellow"/>
        </w:rPr>
        <w:t xml:space="preserve">[N]</w:t>
      </w:r>
      <w:r>
        <w:t xml:space="preserve"> registered targets, all reporting healthy, distributed across both Availability Zones. Distribution was confirmed during the load test described in Section 6.7: </w:t>
      </w:r>
      <w:r>
        <w:rPr>
          <w:rFonts w:ascii="Consolas" w:cs="Consolas" w:eastAsia="Consolas" w:hAnsi="Consolas"/>
          <w:sz w:val="20"/>
          <w:szCs w:val="20"/>
          <w:highlight w:val="yellow"/>
          <w:highlightCs w:val="yellow"/>
        </w:rPr>
        <w:t xml:space="preserve">[state how you confirmed it; for example, the CloudWatch NetworkIn or CPUUtilization metric rose on both instances simultaneously, or the per-instance request count in the target group metrics showed comparable volumes]</w:t>
      </w:r>
      <w:r>
        <w:t xml:space="preserve">.</w:t>
      </w:r>
    </w:p>
    <w:p>
      <w:pPr>
        <w:pBdr>
          <w:left w:val="single" w:color="9A9A8C" w:sz="12" w:space="10"/>
        </w:pBdr>
        <w:shd w:fill="F4F4F0" w:color="auto" w:val="clear"/>
        <w:spacing w:after="200" w:before="140" w:line="260"/>
        <w:ind w:left="220"/>
      </w:pPr>
      <w:r>
        <w:rPr>
          <w:i/>
          <w:iCs/>
          <w:sz w:val="20"/>
          <w:szCs w:val="20"/>
        </w:rPr>
        <w:t xml:space="preserve">Do not skip that last sentence. The rubric asks specifically for evidence of request distribution, not just of a load balancer existing. A per-instance CloudWatch graph over the load test window is the cleanest proof.</w:t>
      </w:r>
    </w:p>
    <w:p>
      <w:pPr>
        <w:pStyle w:val="Heading2"/>
        <w:spacing w:after="160" w:before="260"/>
      </w:pPr>
      <w:r>
        <w:rPr>
          <w:b/>
          <w:bCs/>
        </w:rPr>
        <w:t xml:space="preserve">6.3  C3  Scalable</w:t>
      </w:r>
    </w:p>
    <w:p>
      <w:pPr>
        <w:spacing w:after="160" w:line="276"/>
      </w:pPr>
      <w:r>
        <w:t xml:space="preserve">The application tier scales horizontally through an EC2 Auto Scaling group (Figure SC-1) built on the launch template </w:t>
      </w:r>
      <w:r>
        <w:rPr>
          <w:rFonts w:ascii="Consolas" w:cs="Consolas" w:eastAsia="Consolas" w:hAnsi="Consolas"/>
          <w:sz w:val="20"/>
          <w:szCs w:val="20"/>
          <w:highlight w:val="yellow"/>
          <w:highlightCs w:val="yellow"/>
        </w:rPr>
        <w:t xml:space="preserve">[TEMPLATE NAME]</w:t>
      </w:r>
      <w:r>
        <w:t xml:space="preserve">, which fixes the AMI </w:t>
      </w:r>
      <w:r>
        <w:rPr>
          <w:rFonts w:ascii="Consolas" w:cs="Consolas" w:eastAsia="Consolas" w:hAnsi="Consolas"/>
          <w:sz w:val="20"/>
          <w:szCs w:val="20"/>
          <w:highlight w:val="yellow"/>
          <w:highlightCs w:val="yellow"/>
        </w:rPr>
        <w:t xml:space="preserve">[AMI ID]</w:t>
      </w:r>
      <w:r>
        <w:t xml:space="preserve">, instance type </w:t>
      </w:r>
      <w:r>
        <w:rPr>
          <w:rFonts w:ascii="Consolas" w:cs="Consolas" w:eastAsia="Consolas" w:hAnsi="Consolas"/>
          <w:sz w:val="20"/>
          <w:szCs w:val="20"/>
          <w:highlight w:val="yellow"/>
          <w:highlightCs w:val="yellow"/>
        </w:rPr>
        <w:t xml:space="preserve">[t3.micro]</w:t>
      </w:r>
      <w:r>
        <w:t xml:space="preserve">, security group and the </w:t>
      </w:r>
      <w:r>
        <w:rPr>
          <w:rFonts w:ascii="Consolas" w:cs="Consolas" w:eastAsia="Consolas" w:hAnsi="Consolas"/>
          <w:sz w:val="20"/>
          <w:szCs w:val="20"/>
          <w:highlight w:val="yellow"/>
          <w:highlightCs w:val="yellow"/>
        </w:rPr>
        <w:t xml:space="preserve">[LabInstanceProfile]</w:t>
      </w:r>
      <w:r>
        <w:t xml:space="preserve"> instance profile.</w:t>
      </w:r>
    </w:p>
    <w:p>
      <w:pPr>
        <w:spacing w:after="160" w:line="276"/>
      </w:pPr>
      <w:r>
        <w:t xml:space="preserve">The group is configured with a minimum of </w:t>
      </w:r>
      <w:r>
        <w:rPr>
          <w:rFonts w:ascii="Consolas" w:cs="Consolas" w:eastAsia="Consolas" w:hAnsi="Consolas"/>
          <w:sz w:val="20"/>
          <w:szCs w:val="20"/>
          <w:highlight w:val="yellow"/>
          <w:highlightCs w:val="yellow"/>
        </w:rPr>
        <w:t xml:space="preserve">[2]</w:t>
      </w:r>
      <w:r>
        <w:t xml:space="preserve">, a desired capacity of </w:t>
      </w:r>
      <w:r>
        <w:rPr>
          <w:rFonts w:ascii="Consolas" w:cs="Consolas" w:eastAsia="Consolas" w:hAnsi="Consolas"/>
          <w:sz w:val="20"/>
          <w:szCs w:val="20"/>
          <w:highlight w:val="yellow"/>
          <w:highlightCs w:val="yellow"/>
        </w:rPr>
        <w:t xml:space="preserve">[2]</w:t>
      </w:r>
      <w:r>
        <w:t xml:space="preserve"> and a maximum of </w:t>
      </w:r>
      <w:r>
        <w:rPr>
          <w:rFonts w:ascii="Consolas" w:cs="Consolas" w:eastAsia="Consolas" w:hAnsi="Consolas"/>
          <w:sz w:val="20"/>
          <w:szCs w:val="20"/>
          <w:highlight w:val="yellow"/>
          <w:highlightCs w:val="yellow"/>
        </w:rPr>
        <w:t xml:space="preserve">[4]</w:t>
      </w:r>
      <w:r>
        <w:t xml:space="preserve">, spread across </w:t>
      </w:r>
      <w:r>
        <w:rPr>
          <w:rFonts w:ascii="Consolas" w:cs="Consolas" w:eastAsia="Consolas" w:hAnsi="Consolas"/>
          <w:sz w:val="20"/>
          <w:szCs w:val="20"/>
          <w:highlight w:val="yellow"/>
          <w:highlightCs w:val="yellow"/>
        </w:rPr>
        <w:t xml:space="preserve">[us-east-1a]</w:t>
      </w:r>
      <w:r>
        <w:t xml:space="preserve"> and </w:t>
      </w:r>
      <w:r>
        <w:rPr>
          <w:rFonts w:ascii="Consolas" w:cs="Consolas" w:eastAsia="Consolas" w:hAnsi="Consolas"/>
          <w:sz w:val="20"/>
          <w:szCs w:val="20"/>
          <w:highlight w:val="yellow"/>
          <w:highlightCs w:val="yellow"/>
        </w:rPr>
        <w:t xml:space="preserve">[us-east-1b]</w:t>
      </w:r>
      <w:r>
        <w:t xml:space="preserve">. The rationale for these values is given in Section 5.2: the minimum is set by the requirement to survive the loss of one instance or one zone, and the maximum bounds the cost of a demand spike.</w:t>
      </w:r>
    </w:p>
    <w:p>
      <w:pPr>
        <w:spacing w:after="160" w:line="276"/>
      </w:pPr>
      <w:r>
        <w:t xml:space="preserve">Scaling is driven by a </w:t>
      </w:r>
      <w:r>
        <w:rPr>
          <w:b/>
          <w:bCs/>
        </w:rPr>
        <w:t xml:space="preserve">target tracking policy</w:t>
      </w:r>
      <w:r>
        <w:t xml:space="preserve"> on </w:t>
      </w:r>
      <w:r>
        <w:rPr>
          <w:rFonts w:ascii="Consolas" w:cs="Consolas" w:eastAsia="Consolas" w:hAnsi="Consolas"/>
          <w:sz w:val="20"/>
          <w:szCs w:val="20"/>
          <w:highlight w:val="yellow"/>
          <w:highlightCs w:val="yellow"/>
        </w:rPr>
        <w:t xml:space="preserve">[average CPU utilisation]</w:t>
      </w:r>
      <w:r>
        <w:t xml:space="preserve"> with a target of </w:t>
      </w:r>
      <w:r>
        <w:rPr>
          <w:rFonts w:ascii="Consolas" w:cs="Consolas" w:eastAsia="Consolas" w:hAnsi="Consolas"/>
          <w:sz w:val="20"/>
          <w:szCs w:val="20"/>
          <w:highlight w:val="yellow"/>
          <w:highlightCs w:val="yellow"/>
        </w:rPr>
        <w:t xml:space="preserve">[50]</w:t>
      </w:r>
      <w:r>
        <w:t xml:space="preserve"> percent. Target tracking was chosen over step scaling because it requires only a statement of the desired steady state rather than a set of thresholds and adjustments; the service then computes the capacity changes needed to hold the metric near the target and scales in conservatively to avoid oscillation (Amazon Web Services, n.d.-b). For a workload with a smooth demand curve, this produces stable behaviour with far less configuration to get wrong.</w:t>
      </w:r>
    </w:p>
    <w:p>
      <w:pPr>
        <w:spacing w:after="160" w:line="276"/>
      </w:pPr>
      <w:r>
        <w:t xml:space="preserve">During the load test, average CPU utilisation across the group rose to </w:t>
      </w:r>
      <w:r>
        <w:rPr>
          <w:rFonts w:ascii="Consolas" w:cs="Consolas" w:eastAsia="Consolas" w:hAnsi="Consolas"/>
          <w:sz w:val="20"/>
          <w:szCs w:val="20"/>
          <w:highlight w:val="yellow"/>
          <w:highlightCs w:val="yellow"/>
        </w:rPr>
        <w:t xml:space="preserve">[X]</w:t>
      </w:r>
      <w:r>
        <w:t xml:space="preserve"> percent, exceeding the target and triggering a scale-out from </w:t>
      </w:r>
      <w:r>
        <w:rPr>
          <w:rFonts w:ascii="Consolas" w:cs="Consolas" w:eastAsia="Consolas" w:hAnsi="Consolas"/>
          <w:sz w:val="20"/>
          <w:szCs w:val="20"/>
          <w:highlight w:val="yellow"/>
          <w:highlightCs w:val="yellow"/>
        </w:rPr>
        <w:t xml:space="preserve">[2]</w:t>
      </w:r>
      <w:r>
        <w:t xml:space="preserve"> to </w:t>
      </w:r>
      <w:r>
        <w:rPr>
          <w:rFonts w:ascii="Consolas" w:cs="Consolas" w:eastAsia="Consolas" w:hAnsi="Consolas"/>
          <w:sz w:val="20"/>
          <w:szCs w:val="20"/>
          <w:highlight w:val="yellow"/>
          <w:highlightCs w:val="yellow"/>
        </w:rPr>
        <w:t xml:space="preserve">[N]</w:t>
      </w:r>
      <w:r>
        <w:t xml:space="preserve"> instances. The new instances passed their health checks and began receiving traffic approximately </w:t>
      </w:r>
      <w:r>
        <w:rPr>
          <w:rFonts w:ascii="Consolas" w:cs="Consolas" w:eastAsia="Consolas" w:hAnsi="Consolas"/>
          <w:sz w:val="20"/>
          <w:szCs w:val="20"/>
          <w:highlight w:val="yellow"/>
          <w:highlightCs w:val="yellow"/>
        </w:rPr>
        <w:t xml:space="preserve">[X]</w:t>
      </w:r>
      <w:r>
        <w:t xml:space="preserve"> minutes after the alarm entered the ALARM state. Figure SC-2 shows </w:t>
      </w:r>
      <w:r>
        <w:rPr>
          <w:rFonts w:ascii="Consolas" w:cs="Consolas" w:eastAsia="Consolas" w:hAnsi="Consolas"/>
          <w:sz w:val="20"/>
          <w:szCs w:val="20"/>
          <w:highlight w:val="yellow"/>
          <w:highlightCs w:val="yellow"/>
        </w:rPr>
        <w:t xml:space="preserve">[the Activity history of the Auto Scaling group with the scale-out events]</w:t>
      </w:r>
      <w:r>
        <w:t xml:space="preserve">. </w:t>
      </w:r>
      <w:r>
        <w:rPr>
          <w:rFonts w:ascii="Consolas" w:cs="Consolas" w:eastAsia="Consolas" w:hAnsi="Consolas"/>
          <w:sz w:val="20"/>
          <w:szCs w:val="20"/>
          <w:highlight w:val="yellow"/>
          <w:highlightCs w:val="yellow"/>
        </w:rPr>
        <w:t xml:space="preserve">[After load generation stopped, utilisation fell below the target and the group scaled back in to N instances after the cooldown period.]</w:t>
      </w:r>
    </w:p>
    <w:p>
      <w:pPr>
        <w:pBdr>
          <w:left w:val="single" w:color="9A9A8C" w:sz="12" w:space="10"/>
        </w:pBdr>
        <w:shd w:fill="F4F4F0" w:color="auto" w:val="clear"/>
        <w:spacing w:after="200" w:before="140" w:line="260"/>
        <w:ind w:left="220"/>
      </w:pPr>
      <w:r>
        <w:rPr>
          <w:i/>
          <w:iCs/>
          <w:sz w:val="20"/>
          <w:szCs w:val="20"/>
        </w:rPr>
        <w:t xml:space="preserve">On scale-in evidence: scale-in is deliberately slower than scale-out, so you may need to leave the environment idle for 10–15 minutes after the load test to capture it. If you could not observe it within the session, say so explicitly rather than implying you did. The rubric says "where available".</w:t>
      </w:r>
    </w:p>
    <w:p>
      <w:pPr>
        <w:pStyle w:val="Heading2"/>
        <w:spacing w:after="160" w:before="260"/>
      </w:pPr>
      <w:r>
        <w:rPr>
          <w:b/>
          <w:bCs/>
        </w:rPr>
        <w:t xml:space="preserve">6.4  C4  Highly Available</w:t>
      </w:r>
    </w:p>
    <w:p>
      <w:pPr>
        <w:spacing w:after="160" w:line="276"/>
      </w:pPr>
      <w:r>
        <w:t xml:space="preserve">Availability in this design rests on removing single points of failure from the request path, and on making failures recoverable without human action.</w:t>
      </w:r>
    </w:p>
    <w:p>
      <w:pPr>
        <w:spacing w:after="160" w:line="276"/>
      </w:pPr>
      <w:r>
        <w:rPr>
          <w:b/>
          <w:bCs/>
        </w:rPr>
        <w:t xml:space="preserve">Multi-AZ web tier.</w:t>
      </w:r>
      <w:r>
        <w:t xml:space="preserve"> The Auto Scaling group launches instances in subnets in two Availability Zones and the load balancer has nodes in both, so the loss of one zone leaves a complete serving path intact in the other (Figure LB-2, Figure HA-1). Because the Auto Scaling group works to maintain its desired capacity, an instance that fails its health check is terminated and replaced automatically.</w:t>
      </w:r>
    </w:p>
    <w:p>
      <w:pPr>
        <w:spacing w:after="160" w:line="276"/>
      </w:pPr>
      <w:r>
        <w:rPr>
          <w:b/>
          <w:bCs/>
        </w:rPr>
        <w:t xml:space="preserve">Tiered network separation.</w:t>
      </w:r>
      <w:r>
        <w:t xml:space="preserve"> The architecture diagram (HA-1) shows public subnets carrying only the load balancer, private subnets carrying the application instances, and separate private subnets carrying the database. This limits the blast radius of a compromise or misconfiguration at any one tier.</w:t>
      </w:r>
    </w:p>
    <w:p>
      <w:pPr>
        <w:spacing w:after="160" w:line="276"/>
      </w:pPr>
      <w:r>
        <w:rPr>
          <w:b/>
          <w:bCs/>
        </w:rPr>
        <w:t xml:space="preserve">Decoupled data tier.</w:t>
      </w:r>
      <w:r>
        <w:t xml:space="preserve"> Moving the database out of the application instance and into RDS is what makes the application tier disposable. Any instance can be terminated at any time by a scaling event, an instance failure or a deployment, and no data is lost, because no instance owns any data.</w:t>
      </w:r>
    </w:p>
    <w:p>
      <w:pPr>
        <w:spacing w:after="160" w:line="276"/>
      </w:pPr>
      <w:r>
        <w:rPr>
          <w:b/>
          <w:bCs/>
        </w:rPr>
        <w:t xml:space="preserve">Recovery readiness.</w:t>
      </w:r>
      <w:r>
        <w:t xml:space="preserve"> Automated backups are enabled on the RDS instance with a retention period of </w:t>
      </w:r>
      <w:r>
        <w:rPr>
          <w:rFonts w:ascii="Consolas" w:cs="Consolas" w:eastAsia="Consolas" w:hAnsi="Consolas"/>
          <w:sz w:val="20"/>
          <w:szCs w:val="20"/>
          <w:highlight w:val="yellow"/>
          <w:highlightCs w:val="yellow"/>
        </w:rPr>
        <w:t xml:space="preserve">[7]</w:t>
      </w:r>
      <w:r>
        <w:t xml:space="preserve"> days and a backup window of </w:t>
      </w:r>
      <w:r>
        <w:rPr>
          <w:rFonts w:ascii="Consolas" w:cs="Consolas" w:eastAsia="Consolas" w:hAnsi="Consolas"/>
          <w:sz w:val="20"/>
          <w:szCs w:val="20"/>
          <w:highlight w:val="yellow"/>
          <w:highlightCs w:val="yellow"/>
        </w:rPr>
        <w:t xml:space="preserve">[window]</w:t>
      </w:r>
      <w:r>
        <w:t xml:space="preserve">, which supports point-in-time recovery to any moment within the retention window (Amazon Web Services, n.d.-f). Figure HA-2 shows this configuration.</w:t>
      </w:r>
    </w:p>
    <w:p>
      <w:pPr>
        <w:spacing w:after="160" w:line="276"/>
      </w:pPr>
      <w:r>
        <w:rPr>
          <w:b/>
          <w:bCs/>
        </w:rPr>
        <w:t xml:space="preserve">Acknowledged limitation.</w:t>
      </w:r>
      <w:r>
        <w:t xml:space="preserve"> The database runs in a single Availability Zone. If that zone becomes unavailable, the application tier survives but has no database to serve from, so the database is the remaining single point of failure in the design. The assignment scope permits this, and Section 5.3 explains the cost reasoning, but it should be stated plainly: a production deployment would enable Multi-AZ, which maintains a synchronous standby in a second zone and fails over automatically. We treat this as the highest-priority enhancement rather than a completed control.</w:t>
      </w:r>
    </w:p>
    <w:p>
      <w:pPr>
        <w:pBdr>
          <w:left w:val="single" w:color="9A9A8C" w:sz="12" w:space="10"/>
        </w:pBdr>
        <w:shd w:fill="F4F4F0" w:color="auto" w:val="clear"/>
        <w:spacing w:after="200" w:before="140" w:line="260"/>
        <w:ind w:left="220"/>
      </w:pPr>
      <w:r>
        <w:rPr>
          <w:i/>
          <w:iCs/>
          <w:sz w:val="20"/>
          <w:szCs w:val="20"/>
        </w:rPr>
        <w:t xml:space="preserve">Say this out loud in the demo too. Naming your own architecture’s weak point, with the fix and the reason you deferred it, reads as engineering judgement. Claiming high availability you did not build is the thing that gets caught in questioning.</w:t>
      </w:r>
    </w:p>
    <w:p>
      <w:pPr>
        <w:pStyle w:val="Heading2"/>
        <w:spacing w:after="160" w:before="260"/>
      </w:pPr>
      <w:r>
        <w:rPr>
          <w:b/>
          <w:bCs/>
        </w:rPr>
        <w:t xml:space="preserve">6.5  C5  Secure</w:t>
      </w:r>
    </w:p>
    <w:p>
      <w:pPr>
        <w:spacing w:after="160" w:line="276"/>
      </w:pPr>
      <w:r>
        <w:t xml:space="preserve">Security controls are applied at the network boundary, at the credential layer and at the administrative access path.</w:t>
      </w:r>
    </w:p>
    <w:p>
      <w:pPr>
        <w:spacing w:after="160" w:line="276"/>
      </w:pPr>
      <w:r>
        <w:rPr>
          <w:b/>
          <w:bCs/>
        </w:rPr>
        <w:t xml:space="preserve">Layered security groups.</w:t>
      </w:r>
      <w:r>
        <w:t xml:space="preserve"> Three security groups form a chain in which each tier accepts traffic only from the tier in front of it (Figure SEC-1):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1400"/>
        <w:gridCol w:w="4626"/>
      </w:tblGrid>
      <w:tr>
        <w:trPr>
          <w:tblHeader/>
        </w:trPr>
        <w:tc>
          <w:tcPr>
            <w:tcW w:type="dxa" w:w="1700"/>
            <w:shd w:fill="E8E8E2" w:color="auto" w:val="clear"/>
            <w:tcMar>
              <w:top w:type="dxa" w:w="60"/>
              <w:left w:type="dxa" w:w="100"/>
              <w:bottom w:type="dxa" w:w="60"/>
              <w:right w:type="dxa" w:w="100"/>
            </w:tcMar>
          </w:tcPr>
          <w:p>
            <w:pPr>
              <w:spacing w:after="0" w:line="240"/>
            </w:pPr>
            <w:r>
              <w:rPr>
                <w:b/>
                <w:bCs/>
                <w:sz w:val="20"/>
                <w:szCs w:val="20"/>
              </w:rPr>
              <w:t xml:space="preserve">Security group</w:t>
            </w:r>
          </w:p>
        </w:tc>
        <w:tc>
          <w:tcPr>
            <w:tcW w:type="dxa" w:w="1300"/>
            <w:shd w:fill="E8E8E2" w:color="auto" w:val="clear"/>
            <w:tcMar>
              <w:top w:type="dxa" w:w="60"/>
              <w:left w:type="dxa" w:w="100"/>
              <w:bottom w:type="dxa" w:w="60"/>
              <w:right w:type="dxa" w:w="100"/>
            </w:tcMar>
          </w:tcPr>
          <w:p>
            <w:pPr>
              <w:spacing w:after="0" w:line="240"/>
            </w:pPr>
            <w:r>
              <w:rPr>
                <w:b/>
                <w:bCs/>
                <w:sz w:val="20"/>
                <w:szCs w:val="20"/>
              </w:rPr>
              <w:t xml:space="preserve">Inbound</w:t>
            </w:r>
          </w:p>
        </w:tc>
        <w:tc>
          <w:tcPr>
            <w:tcW w:type="dxa" w:w="1400"/>
            <w:shd w:fill="E8E8E2" w:color="auto" w:val="clear"/>
            <w:tcMar>
              <w:top w:type="dxa" w:w="60"/>
              <w:left w:type="dxa" w:w="100"/>
              <w:bottom w:type="dxa" w:w="60"/>
              <w:right w:type="dxa" w:w="100"/>
            </w:tcMar>
          </w:tcPr>
          <w:p>
            <w:pPr>
              <w:spacing w:after="0" w:line="240"/>
            </w:pPr>
            <w:r>
              <w:rPr>
                <w:b/>
                <w:bCs/>
                <w:sz w:val="20"/>
                <w:szCs w:val="20"/>
              </w:rPr>
              <w:t xml:space="preserve">Source</w:t>
            </w:r>
          </w:p>
        </w:tc>
        <w:tc>
          <w:tcPr>
            <w:tcW w:type="dxa" w:w="4626"/>
            <w:shd w:fill="E8E8E2" w:color="auto" w:val="clear"/>
            <w:tcMar>
              <w:top w:type="dxa" w:w="60"/>
              <w:left w:type="dxa" w:w="100"/>
              <w:bottom w:type="dxa" w:w="60"/>
              <w:right w:type="dxa" w:w="100"/>
            </w:tcMar>
          </w:tcPr>
          <w:p>
            <w:pPr>
              <w:spacing w:after="0" w:line="240"/>
            </w:pPr>
            <w:r>
              <w:rPr>
                <w:b/>
                <w:bCs/>
                <w:sz w:val="20"/>
                <w:szCs w:val="20"/>
              </w:rPr>
              <w:t xml:space="preserve">Purpose</w:t>
            </w:r>
          </w:p>
        </w:tc>
      </w:tr>
      <w:tr>
        <w:tc>
          <w:tcPr>
            <w:tcW w:type="dxa" w:w="1700"/>
            <w:tcMar>
              <w:top w:type="dxa" w:w="60"/>
              <w:left w:type="dxa" w:w="100"/>
              <w:bottom w:type="dxa" w:w="60"/>
              <w:right w:type="dxa" w:w="100"/>
            </w:tcMar>
          </w:tcPr>
          <w:p>
            <w:pPr>
              <w:spacing w:after="0" w:line="240"/>
            </w:pPr>
            <w:r>
              <w:rPr>
                <w:sz w:val="20"/>
                <w:szCs w:val="20"/>
                <w:highlight w:val="yellow"/>
                <w:highlightCs w:val="yellow"/>
              </w:rPr>
              <w:t xml:space="preserve">[alb-sg]</w:t>
            </w:r>
          </w:p>
        </w:tc>
        <w:tc>
          <w:tcPr>
            <w:tcW w:type="dxa" w:w="1300"/>
            <w:tcMar>
              <w:top w:type="dxa" w:w="60"/>
              <w:left w:type="dxa" w:w="100"/>
              <w:bottom w:type="dxa" w:w="60"/>
              <w:right w:type="dxa" w:w="100"/>
            </w:tcMar>
          </w:tcPr>
          <w:p>
            <w:pPr>
              <w:spacing w:after="0" w:line="240"/>
            </w:pPr>
            <w:r>
              <w:rPr>
                <w:sz w:val="20"/>
                <w:szCs w:val="20"/>
              </w:rPr>
              <w:t xml:space="preserve">TCP 80</w:t>
            </w:r>
          </w:p>
        </w:tc>
        <w:tc>
          <w:tcPr>
            <w:tcW w:type="dxa" w:w="1400"/>
            <w:tcMar>
              <w:top w:type="dxa" w:w="60"/>
              <w:left w:type="dxa" w:w="100"/>
              <w:bottom w:type="dxa" w:w="60"/>
              <w:right w:type="dxa" w:w="100"/>
            </w:tcMar>
          </w:tcPr>
          <w:p>
            <w:pPr>
              <w:spacing w:after="0" w:line="240"/>
            </w:pPr>
            <w:r>
              <w:rPr>
                <w:sz w:val="20"/>
                <w:szCs w:val="20"/>
              </w:rPr>
              <w:t xml:space="preserve">0.0.0.0/0</w:t>
            </w:r>
          </w:p>
        </w:tc>
        <w:tc>
          <w:tcPr>
            <w:tcW w:type="dxa" w:w="4626"/>
            <w:tcMar>
              <w:top w:type="dxa" w:w="60"/>
              <w:left w:type="dxa" w:w="100"/>
              <w:bottom w:type="dxa" w:w="60"/>
              <w:right w:type="dxa" w:w="100"/>
            </w:tcMar>
          </w:tcPr>
          <w:p>
            <w:pPr>
              <w:spacing w:after="0" w:line="240"/>
            </w:pPr>
            <w:r>
              <w:rPr>
                <w:sz w:val="20"/>
                <w:szCs w:val="20"/>
              </w:rPr>
              <w:t xml:space="preserve">The application is intended to be publicly reachable</w:t>
            </w:r>
          </w:p>
        </w:tc>
      </w:tr>
      <w:tr>
        <w:tc>
          <w:tcPr>
            <w:tcW w:type="dxa" w:w="1700"/>
            <w:tcMar>
              <w:top w:type="dxa" w:w="60"/>
              <w:left w:type="dxa" w:w="100"/>
              <w:bottom w:type="dxa" w:w="60"/>
              <w:right w:type="dxa" w:w="100"/>
            </w:tcMar>
          </w:tcPr>
          <w:p>
            <w:pPr>
              <w:spacing w:after="0" w:line="240"/>
            </w:pPr>
            <w:r>
              <w:rPr>
                <w:sz w:val="20"/>
                <w:szCs w:val="20"/>
                <w:highlight w:val="yellow"/>
                <w:highlightCs w:val="yellow"/>
              </w:rPr>
              <w:t xml:space="preserve">[app-sg]</w:t>
            </w:r>
          </w:p>
        </w:tc>
        <w:tc>
          <w:tcPr>
            <w:tcW w:type="dxa" w:w="1300"/>
            <w:tcMar>
              <w:top w:type="dxa" w:w="60"/>
              <w:left w:type="dxa" w:w="100"/>
              <w:bottom w:type="dxa" w:w="60"/>
              <w:right w:type="dxa" w:w="100"/>
            </w:tcMar>
          </w:tcPr>
          <w:p>
            <w:pPr>
              <w:spacing w:after="0" w:line="240"/>
            </w:pPr>
            <w:r>
              <w:rPr>
                <w:sz w:val="20"/>
                <w:szCs w:val="20"/>
              </w:rPr>
              <w:t xml:space="preserve">TCP </w:t>
            </w:r>
            <w:r>
              <w:rPr>
                <w:sz w:val="20"/>
                <w:szCs w:val="20"/>
                <w:highlight w:val="yellow"/>
                <w:highlightCs w:val="yellow"/>
              </w:rPr>
              <w:t xml:space="preserve">[80]</w:t>
            </w:r>
          </w:p>
        </w:tc>
        <w:tc>
          <w:tcPr>
            <w:tcW w:type="dxa" w:w="1400"/>
            <w:tcMar>
              <w:top w:type="dxa" w:w="60"/>
              <w:left w:type="dxa" w:w="100"/>
              <w:bottom w:type="dxa" w:w="60"/>
              <w:right w:type="dxa" w:w="100"/>
            </w:tcMar>
          </w:tcPr>
          <w:p>
            <w:pPr>
              <w:spacing w:after="0" w:line="240"/>
            </w:pPr>
            <w:r>
              <w:rPr>
                <w:sz w:val="20"/>
                <w:szCs w:val="20"/>
                <w:highlight w:val="yellow"/>
                <w:highlightCs w:val="yellow"/>
              </w:rPr>
              <w:t xml:space="preserve">[alb-sg]</w:t>
            </w:r>
          </w:p>
        </w:tc>
        <w:tc>
          <w:tcPr>
            <w:tcW w:type="dxa" w:w="4626"/>
            <w:tcMar>
              <w:top w:type="dxa" w:w="60"/>
              <w:left w:type="dxa" w:w="100"/>
              <w:bottom w:type="dxa" w:w="60"/>
              <w:right w:type="dxa" w:w="100"/>
            </w:tcMar>
          </w:tcPr>
          <w:p>
            <w:pPr>
              <w:spacing w:after="0" w:line="240"/>
            </w:pPr>
            <w:r>
              <w:rPr>
                <w:sz w:val="20"/>
                <w:szCs w:val="20"/>
              </w:rPr>
              <w:t xml:space="preserve">Only the load balancer may reach the application</w:t>
            </w:r>
          </w:p>
        </w:tc>
      </w:tr>
      <w:tr>
        <w:tc>
          <w:tcPr>
            <w:tcW w:type="dxa" w:w="1700"/>
            <w:tcMar>
              <w:top w:type="dxa" w:w="60"/>
              <w:left w:type="dxa" w:w="100"/>
              <w:bottom w:type="dxa" w:w="60"/>
              <w:right w:type="dxa" w:w="100"/>
            </w:tcMar>
          </w:tcPr>
          <w:p>
            <w:pPr>
              <w:spacing w:after="0" w:line="240"/>
            </w:pPr>
            <w:r>
              <w:rPr>
                <w:sz w:val="20"/>
                <w:szCs w:val="20"/>
                <w:highlight w:val="yellow"/>
                <w:highlightCs w:val="yellow"/>
              </w:rPr>
              <w:t xml:space="preserve">[db-sg]</w:t>
            </w:r>
          </w:p>
        </w:tc>
        <w:tc>
          <w:tcPr>
            <w:tcW w:type="dxa" w:w="1300"/>
            <w:tcMar>
              <w:top w:type="dxa" w:w="60"/>
              <w:left w:type="dxa" w:w="100"/>
              <w:bottom w:type="dxa" w:w="60"/>
              <w:right w:type="dxa" w:w="100"/>
            </w:tcMar>
          </w:tcPr>
          <w:p>
            <w:pPr>
              <w:spacing w:after="0" w:line="240"/>
            </w:pPr>
            <w:r>
              <w:rPr>
                <w:sz w:val="20"/>
                <w:szCs w:val="20"/>
              </w:rPr>
              <w:t xml:space="preserve">TCP 3306</w:t>
            </w:r>
          </w:p>
        </w:tc>
        <w:tc>
          <w:tcPr>
            <w:tcW w:type="dxa" w:w="1400"/>
            <w:tcMar>
              <w:top w:type="dxa" w:w="60"/>
              <w:left w:type="dxa" w:w="100"/>
              <w:bottom w:type="dxa" w:w="60"/>
              <w:right w:type="dxa" w:w="100"/>
            </w:tcMar>
          </w:tcPr>
          <w:p>
            <w:pPr>
              <w:spacing w:after="0" w:line="240"/>
            </w:pPr>
            <w:r>
              <w:rPr>
                <w:sz w:val="20"/>
                <w:szCs w:val="20"/>
                <w:highlight w:val="yellow"/>
                <w:highlightCs w:val="yellow"/>
              </w:rPr>
              <w:t xml:space="preserve">[app-sg]</w:t>
            </w:r>
          </w:p>
        </w:tc>
        <w:tc>
          <w:tcPr>
            <w:tcW w:type="dxa" w:w="4626"/>
            <w:tcMar>
              <w:top w:type="dxa" w:w="60"/>
              <w:left w:type="dxa" w:w="100"/>
              <w:bottom w:type="dxa" w:w="60"/>
              <w:right w:type="dxa" w:w="100"/>
            </w:tcMar>
          </w:tcPr>
          <w:p>
            <w:pPr>
              <w:spacing w:after="0" w:line="240"/>
            </w:pPr>
            <w:r>
              <w:rPr>
                <w:sz w:val="20"/>
                <w:szCs w:val="20"/>
              </w:rPr>
              <w:t xml:space="preserve">Only application instances may reach MySQL</w:t>
            </w:r>
          </w:p>
        </w:tc>
      </w:tr>
    </w:tbl>
    <w:p>
      <w:pPr>
        <w:spacing w:after="120"/>
      </w:pPr>
    </w:p>
    <w:p>
      <w:pPr>
        <w:spacing w:after="160" w:line="276"/>
      </w:pPr>
      <w:r>
        <w:t xml:space="preserve">The important detail is that the sources are </w:t>
      </w:r>
      <w:r>
        <w:rPr>
          <w:b/>
          <w:bCs/>
        </w:rPr>
        <w:t xml:space="preserve">security group references, not CIDR ranges</w:t>
      </w:r>
      <w:r>
        <w:t xml:space="preserve">. A rule naming </w:t>
      </w:r>
      <w:r>
        <w:rPr>
          <w:rFonts w:ascii="Consolas" w:cs="Consolas" w:eastAsia="Consolas" w:hAnsi="Consolas"/>
          <w:sz w:val="20"/>
          <w:szCs w:val="20"/>
          <w:highlight w:val="yellow"/>
          <w:highlightCs w:val="yellow"/>
        </w:rPr>
        <w:t xml:space="preserve">[app-sg]</w:t>
      </w:r>
      <w:r>
        <w:t xml:space="preserve"> as its source applies automatically to every instance the Auto Scaling group launches, and to no other resource. The rule therefore stays correct as the fleet changes size, and it cannot be widened accidentally by an IP address being reused.</w:t>
      </w:r>
    </w:p>
    <w:p>
      <w:pPr>
        <w:spacing w:after="160" w:line="276"/>
      </w:pPr>
      <w:r>
        <w:rPr>
          <w:b/>
          <w:bCs/>
        </w:rPr>
        <w:t xml:space="preserve">Private database placement.</w:t>
      </w:r>
      <w:r>
        <w:t xml:space="preserve"> The RDS instance is deployed in a DB subnet group made up of private subnets with no route to the internet gateway, and it is </w:t>
      </w:r>
      <w:r>
        <w:rPr>
          <w:rFonts w:ascii="Consolas" w:cs="Consolas" w:eastAsia="Consolas" w:hAnsi="Consolas"/>
          <w:sz w:val="20"/>
          <w:szCs w:val="20"/>
          <w:highlight w:val="yellow"/>
          <w:highlightCs w:val="yellow"/>
        </w:rPr>
        <w:t xml:space="preserve">[not publicly accessible]</w:t>
      </w:r>
      <w:r>
        <w:t xml:space="preserve">. Reachability was verified by </w:t>
      </w:r>
      <w:r>
        <w:rPr>
          <w:rFonts w:ascii="Consolas" w:cs="Consolas" w:eastAsia="Consolas" w:hAnsi="Consolas"/>
          <w:sz w:val="20"/>
          <w:szCs w:val="20"/>
          <w:highlight w:val="yellow"/>
          <w:highlightCs w:val="yellow"/>
        </w:rPr>
        <w:t xml:space="preserve">[state how; for example, attempting a connection to the RDS endpoint from outside the VPC and observing that it fails, while the same connection from an application instance succeeds]</w:t>
      </w:r>
      <w:r>
        <w:t xml:space="preserve">. The network placement and the security group are independent controls, and the database is protected by both.</w:t>
      </w:r>
    </w:p>
    <w:p>
      <w:pPr>
        <w:spacing w:after="160" w:line="276"/>
      </w:pPr>
      <w:r>
        <w:rPr>
          <w:b/>
          <w:bCs/>
        </w:rPr>
        <w:t xml:space="preserve">Externalised credentials.</w:t>
      </w:r>
      <w:r>
        <w:t xml:space="preserve"> The database username and password are stored in AWS Secrets Manager as </w:t>
      </w:r>
      <w:r>
        <w:rPr>
          <w:rFonts w:ascii="Consolas" w:cs="Consolas" w:eastAsia="Consolas" w:hAnsi="Consolas"/>
          <w:sz w:val="20"/>
          <w:szCs w:val="20"/>
          <w:highlight w:val="yellow"/>
          <w:highlightCs w:val="yellow"/>
        </w:rPr>
        <w:t xml:space="preserve">[SECRET NAME]</w:t>
      </w:r>
      <w:r>
        <w:t xml:space="preserve"> and retrieved by the application at runtime through the IAM role attached to the instance profile (Figure SEC-2). No credential is present in the application source, in the launch template’s user data, or in the AMI.</w:t>
      </w:r>
    </w:p>
    <w:p>
      <w:pPr>
        <w:spacing w:after="160" w:line="276"/>
      </w:pPr>
      <w:r>
        <w:rPr>
          <w:b/>
          <w:bCs/>
        </w:rPr>
        <w:t xml:space="preserve">Restricted administrative access.</w:t>
      </w:r>
      <w:r>
        <w:t xml:space="preserve"> Administrative work was performed from </w:t>
      </w:r>
      <w:r>
        <w:rPr>
          <w:rFonts w:ascii="Consolas" w:cs="Consolas" w:eastAsia="Consolas" w:hAnsi="Consolas"/>
          <w:sz w:val="20"/>
          <w:szCs w:val="20"/>
          <w:highlight w:val="yellow"/>
          <w:highlightCs w:val="yellow"/>
        </w:rPr>
        <w:t xml:space="preserve">[the AWS Cloud9 environment / an SSH connection from CIDR X]</w:t>
      </w:r>
      <w:r>
        <w:t xml:space="preserve"> rather than by exposing SSH to the internet. </w:t>
      </w:r>
      <w:r>
        <w:rPr>
          <w:rFonts w:ascii="Consolas" w:cs="Consolas" w:eastAsia="Consolas" w:hAnsi="Consolas"/>
          <w:sz w:val="20"/>
          <w:szCs w:val="20"/>
          <w:highlight w:val="yellow"/>
          <w:highlightCs w:val="yellow"/>
        </w:rPr>
        <w:t xml:space="preserve">[Describe your actual arrangement; for example, port 22 is not open to 0.0.0.0/0 on any security group, and administrative sessions originate from the Cloud9 environment inside the VPC.]</w:t>
      </w:r>
    </w:p>
    <w:p>
      <w:pPr>
        <w:spacing w:after="160" w:line="276"/>
      </w:pPr>
      <w:r>
        <w:rPr>
          <w:b/>
          <w:bCs/>
        </w:rPr>
        <w:t xml:space="preserve">Known gaps within scope.</w:t>
      </w:r>
      <w:r>
        <w:t xml:space="preserve"> Traffic between the browser and the load balancer is unencrypted HTTP, and the application requires no user authentication. Both are permitted by the assignment scope but would be unacceptable for a system holding real student records; Section 8 sets out what would be required.</w:t>
      </w:r>
    </w:p>
    <w:p>
      <w:pPr>
        <w:pStyle w:val="Heading2"/>
        <w:spacing w:after="160" w:before="260"/>
      </w:pPr>
      <w:r>
        <w:rPr>
          <w:b/>
          <w:bCs/>
        </w:rPr>
        <w:t xml:space="preserve">6.6  C6  Cost Optimized</w:t>
      </w:r>
    </w:p>
    <w:p>
      <w:pPr>
        <w:spacing w:after="200" w:before="120"/>
      </w:pPr>
      <w:r>
        <w:rPr>
          <w:i/>
          <w:iCs/>
          <w:color w:val="595959"/>
          <w:sz w:val="20"/>
          <w:szCs w:val="20"/>
        </w:rPr>
        <w:t xml:space="preserve">The estimate and its rationale are in Section 5. Cross-reference rather than repeating: cite CO-1 for the calculator export and CO-2 for the sizing rationale.</w:t>
      </w:r>
    </w:p>
    <w:p>
      <w:pPr>
        <w:spacing w:after="160" w:line="276"/>
      </w:pPr>
      <w:r>
        <w:t xml:space="preserve">Cost was treated as a design constraint from Phase 1 rather than as something assessed after building. The three decisions that most affect the twelve-month figure are the use of burstable instance types matched to a bursty workload, an Auto Scaling minimum set to the smallest configuration that still survives an instance or zone failure, and a single-AZ database. Each is justified in Section 5, and the maximum capacity of </w:t>
      </w:r>
      <w:r>
        <w:rPr>
          <w:rFonts w:ascii="Consolas" w:cs="Consolas" w:eastAsia="Consolas" w:hAnsi="Consolas"/>
          <w:sz w:val="20"/>
          <w:szCs w:val="20"/>
          <w:highlight w:val="yellow"/>
          <w:highlightCs w:val="yellow"/>
        </w:rPr>
        <w:t xml:space="preserve">[4]</w:t>
      </w:r>
      <w:r>
        <w:t xml:space="preserve"> acts as a ceiling on what unexpected demand can cost.</w:t>
      </w:r>
    </w:p>
    <w:p>
      <w:pPr>
        <w:pStyle w:val="Heading2"/>
        <w:spacing w:after="160" w:before="260"/>
      </w:pPr>
      <w:r>
        <w:rPr>
          <w:b/>
          <w:bCs/>
        </w:rPr>
        <w:t xml:space="preserve">6.7  C7  High Performing</w:t>
      </w:r>
    </w:p>
    <w:p>
      <w:pPr>
        <w:spacing w:after="160" w:line="276"/>
      </w:pPr>
      <w:r>
        <w:rPr>
          <w:b/>
          <w:bCs/>
        </w:rPr>
        <w:t xml:space="preserve">Method (evidence HP-1).</w:t>
      </w:r>
      <w:r>
        <w:t xml:space="preserve"> Load was generated with </w:t>
      </w:r>
      <w:r>
        <w:rPr>
          <w:rFonts w:ascii="Consolas" w:cs="Consolas" w:eastAsia="Consolas" w:hAnsi="Consolas"/>
          <w:sz w:val="20"/>
          <w:szCs w:val="20"/>
          <w:highlight w:val="yellow"/>
          <w:highlightCs w:val="yellow"/>
        </w:rPr>
        <w:t xml:space="preserve">[the loadtest tool, run from the AWS Cloud9 environment using Script-2 from the Cloud9 scripts file]</w:t>
      </w:r>
      <w:r>
        <w:t xml:space="preserve">, targeting the load balancer DNS name so that requests entered the system by the same path a real user would take. </w:t>
      </w:r>
      <w:r>
        <w:rPr>
          <w:rFonts w:ascii="Consolas" w:cs="Consolas" w:eastAsia="Consolas" w:hAnsi="Consolas"/>
          <w:sz w:val="20"/>
          <w:szCs w:val="20"/>
          <w:highlight w:val="yellow"/>
          <w:highlightCs w:val="yellow"/>
        </w:rPr>
        <w:t xml:space="preserve">[State the command and its parameters: concurrency, request rate and duration.]</w:t>
      </w:r>
      <w:r>
        <w:t xml:space="preserve"> Metrics were collected from </w:t>
      </w:r>
      <w:r>
        <w:rPr>
          <w:rFonts w:ascii="Consolas" w:cs="Consolas" w:eastAsia="Consolas" w:hAnsi="Consolas"/>
          <w:sz w:val="20"/>
          <w:szCs w:val="20"/>
          <w:highlight w:val="yellow"/>
          <w:highlightCs w:val="yellow"/>
        </w:rPr>
        <w:t xml:space="preserve">[the load test tool’s own output and the CloudWatch metrics for the ALB and the Auto Scaling group]</w:t>
      </w:r>
      <w:r>
        <w:t xml:space="preserve">. Each test ran for </w:t>
      </w:r>
      <w:r>
        <w:rPr>
          <w:rFonts w:ascii="Consolas" w:cs="Consolas" w:eastAsia="Consolas" w:hAnsi="Consolas"/>
          <w:sz w:val="20"/>
          <w:szCs w:val="20"/>
          <w:highlight w:val="yellow"/>
          <w:highlightCs w:val="yellow"/>
        </w:rPr>
        <w:t xml:space="preserve">[X]</w:t>
      </w:r>
      <w:r>
        <w:t xml:space="preserve"> minutes, with </w:t>
      </w:r>
      <w:r>
        <w:rPr>
          <w:rFonts w:ascii="Consolas" w:cs="Consolas" w:eastAsia="Consolas" w:hAnsi="Consolas"/>
          <w:sz w:val="20"/>
          <w:szCs w:val="20"/>
          <w:highlight w:val="yellow"/>
          <w:highlightCs w:val="yellow"/>
        </w:rPr>
        <w:t xml:space="preserve">[a settling period between runs to allow the group to return to its baseline capacity]</w:t>
      </w:r>
      <w:r>
        <w:t xml:space="preserve">.</w:t>
      </w:r>
    </w:p>
    <w:p>
      <w:pPr>
        <w:spacing w:after="160" w:line="276"/>
      </w:pPr>
      <w:r>
        <w:rPr>
          <w:b/>
          <w:bCs/>
        </w:rPr>
        <w:t xml:space="preserve">Results (evidence HP-2).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650"/>
        <w:gridCol w:w="1650"/>
        <w:gridCol w:w="1150"/>
        <w:gridCol w:w="1376"/>
      </w:tblGrid>
      <w:tr>
        <w:trPr>
          <w:tblHeader/>
        </w:trPr>
        <w:tc>
          <w:tcPr>
            <w:tcW w:type="dxa" w:w="1300"/>
            <w:shd w:fill="E8E8E2" w:color="auto" w:val="clear"/>
            <w:tcMar>
              <w:top w:type="dxa" w:w="60"/>
              <w:left w:type="dxa" w:w="100"/>
              <w:bottom w:type="dxa" w:w="60"/>
              <w:right w:type="dxa" w:w="100"/>
            </w:tcMar>
          </w:tcPr>
          <w:p>
            <w:pPr>
              <w:spacing w:after="0" w:line="240"/>
            </w:pPr>
            <w:r>
              <w:rPr>
                <w:b/>
                <w:bCs/>
                <w:sz w:val="20"/>
                <w:szCs w:val="20"/>
              </w:rPr>
              <w:t xml:space="preserve">Condition</w:t>
            </w:r>
          </w:p>
        </w:tc>
        <w:tc>
          <w:tcPr>
            <w:tcW w:type="dxa" w:w="1900"/>
            <w:shd w:fill="E8E8E2" w:color="auto" w:val="clear"/>
            <w:tcMar>
              <w:top w:type="dxa" w:w="60"/>
              <w:left w:type="dxa" w:w="100"/>
              <w:bottom w:type="dxa" w:w="60"/>
              <w:right w:type="dxa" w:w="100"/>
            </w:tcMar>
          </w:tcPr>
          <w:p>
            <w:pPr>
              <w:spacing w:after="0" w:line="240"/>
            </w:pPr>
            <w:r>
              <w:rPr>
                <w:b/>
                <w:bCs/>
                <w:sz w:val="20"/>
                <w:szCs w:val="20"/>
              </w:rPr>
              <w:t xml:space="preserve">Concurrency / rate</w:t>
            </w:r>
          </w:p>
        </w:tc>
        <w:tc>
          <w:tcPr>
            <w:tcW w:type="dxa" w:w="1650"/>
            <w:shd w:fill="E8E8E2" w:color="auto" w:val="clear"/>
            <w:tcMar>
              <w:top w:type="dxa" w:w="60"/>
              <w:left w:type="dxa" w:w="100"/>
              <w:bottom w:type="dxa" w:w="60"/>
              <w:right w:type="dxa" w:w="100"/>
            </w:tcMar>
          </w:tcPr>
          <w:p>
            <w:pPr>
              <w:spacing w:after="0" w:line="240"/>
            </w:pPr>
            <w:r>
              <w:rPr>
                <w:b/>
                <w:bCs/>
                <w:sz w:val="20"/>
                <w:szCs w:val="20"/>
              </w:rPr>
              <w:t xml:space="preserve">Mean response </w:t>
            </w:r>
            <w:r>
              <w:rPr>
                <w:b/>
                <w:bCs/>
                <w:sz w:val="20"/>
                <w:szCs w:val="20"/>
                <w:highlight w:val="yellow"/>
                <w:highlightCs w:val="yellow"/>
              </w:rPr>
              <w:t xml:space="preserve">[ms]</w:t>
            </w:r>
          </w:p>
        </w:tc>
        <w:tc>
          <w:tcPr>
            <w:tcW w:type="dxa" w:w="1650"/>
            <w:shd w:fill="E8E8E2" w:color="auto" w:val="clear"/>
            <w:tcMar>
              <w:top w:type="dxa" w:w="60"/>
              <w:left w:type="dxa" w:w="100"/>
              <w:bottom w:type="dxa" w:w="60"/>
              <w:right w:type="dxa" w:w="100"/>
            </w:tcMar>
          </w:tcPr>
          <w:p>
            <w:pPr>
              <w:spacing w:after="0" w:line="240"/>
            </w:pPr>
            <w:r>
              <w:rPr>
                <w:b/>
                <w:bCs/>
                <w:sz w:val="20"/>
                <w:szCs w:val="20"/>
                <w:highlight w:val="yellow"/>
                <w:highlightCs w:val="yellow"/>
              </w:rPr>
              <w:t xml:space="preserve">[p95]</w:t>
            </w:r>
            <w:r>
              <w:rPr>
                <w:b/>
                <w:bCs/>
                <w:sz w:val="20"/>
                <w:szCs w:val="20"/>
              </w:rPr>
              <w:t xml:space="preserve"> response </w:t>
            </w:r>
            <w:r>
              <w:rPr>
                <w:b/>
                <w:bCs/>
                <w:sz w:val="20"/>
                <w:szCs w:val="20"/>
                <w:highlight w:val="yellow"/>
                <w:highlightCs w:val="yellow"/>
              </w:rPr>
              <w:t xml:space="preserve">[ms]</w:t>
            </w:r>
          </w:p>
        </w:tc>
        <w:tc>
          <w:tcPr>
            <w:tcW w:type="dxa" w:w="1150"/>
            <w:shd w:fill="E8E8E2" w:color="auto" w:val="clear"/>
            <w:tcMar>
              <w:top w:type="dxa" w:w="60"/>
              <w:left w:type="dxa" w:w="100"/>
              <w:bottom w:type="dxa" w:w="60"/>
              <w:right w:type="dxa" w:w="100"/>
            </w:tcMar>
          </w:tcPr>
          <w:p>
            <w:pPr>
              <w:spacing w:after="0" w:line="240"/>
            </w:pPr>
            <w:r>
              <w:rPr>
                <w:b/>
                <w:bCs/>
                <w:sz w:val="20"/>
                <w:szCs w:val="20"/>
              </w:rPr>
              <w:t xml:space="preserve">Errors</w:t>
            </w:r>
          </w:p>
        </w:tc>
        <w:tc>
          <w:tcPr>
            <w:tcW w:type="dxa" w:w="1376"/>
            <w:shd w:fill="E8E8E2" w:color="auto" w:val="clear"/>
            <w:tcMar>
              <w:top w:type="dxa" w:w="60"/>
              <w:left w:type="dxa" w:w="100"/>
              <w:bottom w:type="dxa" w:w="60"/>
              <w:right w:type="dxa" w:w="100"/>
            </w:tcMar>
          </w:tcPr>
          <w:p>
            <w:pPr>
              <w:spacing w:after="0" w:line="240"/>
            </w:pPr>
            <w:r>
              <w:rPr>
                <w:b/>
                <w:bCs/>
                <w:sz w:val="20"/>
                <w:szCs w:val="20"/>
              </w:rPr>
              <w:t xml:space="preserve">Instances</w:t>
            </w:r>
          </w:p>
        </w:tc>
      </w:tr>
      <w:tr>
        <w:tc>
          <w:tcPr>
            <w:tcW w:type="dxa" w:w="1300"/>
            <w:tcMar>
              <w:top w:type="dxa" w:w="60"/>
              <w:left w:type="dxa" w:w="100"/>
              <w:bottom w:type="dxa" w:w="60"/>
              <w:right w:type="dxa" w:w="100"/>
            </w:tcMar>
          </w:tcPr>
          <w:p>
            <w:pPr>
              <w:spacing w:after="0" w:line="240"/>
            </w:pPr>
            <w:r>
              <w:rPr>
                <w:sz w:val="20"/>
                <w:szCs w:val="20"/>
              </w:rPr>
              <w:t xml:space="preserve">Normal</w:t>
            </w:r>
          </w:p>
        </w:tc>
        <w:tc>
          <w:tcPr>
            <w:tcW w:type="dxa" w:w="19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1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376"/>
            <w:tcMar>
              <w:top w:type="dxa" w:w="60"/>
              <w:left w:type="dxa" w:w="100"/>
              <w:bottom w:type="dxa" w:w="60"/>
              <w:right w:type="dxa" w:w="100"/>
            </w:tcMar>
          </w:tcPr>
          <w:p>
            <w:pPr>
              <w:spacing w:after="0" w:line="240"/>
            </w:pPr>
            <w:r>
              <w:rPr>
                <w:sz w:val="20"/>
                <w:szCs w:val="20"/>
                <w:highlight w:val="yellow"/>
                <w:highlightCs w:val="yellow"/>
              </w:rPr>
              <w:t xml:space="preserve">[2]</w:t>
            </w:r>
          </w:p>
        </w:tc>
      </w:tr>
      <w:tr>
        <w:tc>
          <w:tcPr>
            <w:tcW w:type="dxa" w:w="1300"/>
            <w:tcMar>
              <w:top w:type="dxa" w:w="60"/>
              <w:left w:type="dxa" w:w="100"/>
              <w:bottom w:type="dxa" w:w="60"/>
              <w:right w:type="dxa" w:w="100"/>
            </w:tcMar>
          </w:tcPr>
          <w:p>
            <w:pPr>
              <w:spacing w:after="0" w:line="240"/>
            </w:pPr>
            <w:r>
              <w:rPr>
                <w:sz w:val="20"/>
                <w:szCs w:val="20"/>
              </w:rPr>
              <w:t xml:space="preserve">Variable</w:t>
            </w:r>
          </w:p>
        </w:tc>
        <w:tc>
          <w:tcPr>
            <w:tcW w:type="dxa" w:w="19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1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376"/>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1300"/>
            <w:tcMar>
              <w:top w:type="dxa" w:w="60"/>
              <w:left w:type="dxa" w:w="100"/>
              <w:bottom w:type="dxa" w:w="60"/>
              <w:right w:type="dxa" w:w="100"/>
            </w:tcMar>
          </w:tcPr>
          <w:p>
            <w:pPr>
              <w:spacing w:after="0" w:line="240"/>
            </w:pPr>
            <w:r>
              <w:rPr>
                <w:sz w:val="20"/>
                <w:szCs w:val="20"/>
              </w:rPr>
              <w:t xml:space="preserve">Peak</w:t>
            </w:r>
          </w:p>
        </w:tc>
        <w:tc>
          <w:tcPr>
            <w:tcW w:type="dxa" w:w="19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15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376"/>
            <w:tcMar>
              <w:top w:type="dxa" w:w="60"/>
              <w:left w:type="dxa" w:w="100"/>
              <w:bottom w:type="dxa" w:w="60"/>
              <w:right w:type="dxa" w:w="100"/>
            </w:tcMar>
          </w:tcPr>
          <w:p>
            <w:pPr>
              <w:spacing w:after="0" w:line="240"/>
            </w:pPr>
            <w:r>
              <w:rPr>
                <w:sz w:val="20"/>
                <w:szCs w:val="20"/>
                <w:highlight w:val="yellow"/>
                <w:highlightCs w:val="yellow"/>
              </w:rPr>
              <w:t xml:space="preserve">[    ]</w:t>
            </w:r>
          </w:p>
        </w:tc>
      </w:tr>
    </w:tbl>
    <w:p>
      <w:pPr>
        <w:spacing w:after="120"/>
      </w:pPr>
    </w:p>
    <w:p>
      <w:pPr>
        <w:spacing w:after="160" w:line="276"/>
      </w:pPr>
      <w:r>
        <w:rPr>
          <w:b/>
          <w:bCs/>
        </w:rPr>
        <w:t xml:space="preserve">Discussion.</w:t>
      </w:r>
      <w:r>
        <w:t xml:space="preserve"> </w:t>
      </w:r>
      <w:r>
        <w:rPr>
          <w:rFonts w:ascii="Consolas" w:cs="Consolas" w:eastAsia="Consolas" w:hAnsi="Consolas"/>
          <w:sz w:val="20"/>
          <w:szCs w:val="20"/>
          <w:highlight w:val="yellow"/>
          <w:highlightCs w:val="yellow"/>
        </w:rPr>
        <w:t xml:space="preserve">[Write this once you have your numbers. The pattern to describe, if your results show it: response times stay flat at normal load; as the request rate rises past what two instances can serve, response times increase and CPU utilisation crosses the scaling target; the Auto Scaling group adds instances; once those instances pass their health checks and start receiving traffic, response times fall back toward the baseline. The delay between the load increasing and capacity arriving is the interesting part, so quantify it. It is a real property of the system, and knowing it is what distinguishes analysis from a screenshot.]</w:t>
      </w:r>
    </w:p>
    <w:p>
      <w:pPr>
        <w:pBdr>
          <w:left w:val="single" w:color="9A9A8C" w:sz="12" w:space="10"/>
        </w:pBdr>
        <w:shd w:fill="F4F4F0" w:color="auto" w:val="clear"/>
        <w:spacing w:after="200" w:before="140" w:line="260"/>
        <w:ind w:left="220"/>
      </w:pPr>
      <w:r>
        <w:rPr>
          <w:i/>
          <w:iCs/>
          <w:sz w:val="20"/>
          <w:szCs w:val="20"/>
        </w:rPr>
        <w:t xml:space="preserve">If you recorded errors or timeouts, report them and explain when they occurred, typically in the window between demand rising and new capacity becoming healthy. Reporting a clean run you did not have is both an academic integrity problem and easy to expose in questioning.</w:t>
      </w:r>
    </w:p>
    <w:p>
      <w:pPr>
        <w:pStyle w:val="Heading1"/>
        <w:spacing w:after="160" w:before="360"/>
      </w:pPr>
      <w:r>
        <w:rPr>
          <w:b/>
          <w:bCs/>
        </w:rPr>
        <w:t xml:space="preserve">7.  Demonstration and student contribution</w:t>
      </w:r>
    </w:p>
    <w:p>
      <w:pPr>
        <w:spacing w:after="200" w:before="120"/>
      </w:pPr>
      <w:r>
        <w:rPr>
          <w:i/>
          <w:iCs/>
          <w:color w:val="595959"/>
          <w:sz w:val="20"/>
          <w:szCs w:val="20"/>
        </w:rPr>
        <w:t xml:space="preserve">Complete this from your group’s actual division of work, and label it DEMO-1.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1300"/>
        <w:gridCol w:w="2226"/>
        <w:gridCol w:w="1600"/>
        <w:gridCol w:w="1600"/>
      </w:tblGrid>
      <w:tr>
        <w:trPr>
          <w:tblHeader/>
        </w:trPr>
        <w:tc>
          <w:tcPr>
            <w:tcW w:type="dxa" w:w="600"/>
            <w:shd w:fill="E8E8E2" w:color="auto" w:val="clear"/>
            <w:tcMar>
              <w:top w:type="dxa" w:w="60"/>
              <w:left w:type="dxa" w:w="100"/>
              <w:bottom w:type="dxa" w:w="60"/>
              <w:right w:type="dxa" w:w="100"/>
            </w:tcMar>
          </w:tcPr>
          <w:p>
            <w:pPr>
              <w:spacing w:after="0" w:line="240"/>
            </w:pPr>
            <w:r>
              <w:rPr>
                <w:b/>
                <w:bCs/>
                <w:sz w:val="20"/>
                <w:szCs w:val="20"/>
              </w:rPr>
              <w:t xml:space="preserve">No.</w:t>
            </w:r>
          </w:p>
        </w:tc>
        <w:tc>
          <w:tcPr>
            <w:tcW w:type="dxa" w:w="1700"/>
            <w:shd w:fill="E8E8E2" w:color="auto" w:val="clear"/>
            <w:tcMar>
              <w:top w:type="dxa" w:w="60"/>
              <w:left w:type="dxa" w:w="100"/>
              <w:bottom w:type="dxa" w:w="60"/>
              <w:right w:type="dxa" w:w="100"/>
            </w:tcMar>
          </w:tcPr>
          <w:p>
            <w:pPr>
              <w:spacing w:after="0" w:line="240"/>
            </w:pPr>
            <w:r>
              <w:rPr>
                <w:b/>
                <w:bCs/>
                <w:sz w:val="20"/>
                <w:szCs w:val="20"/>
              </w:rPr>
              <w:t xml:space="preserve">Student name</w:t>
            </w:r>
          </w:p>
        </w:tc>
        <w:tc>
          <w:tcPr>
            <w:tcW w:type="dxa" w:w="1300"/>
            <w:shd w:fill="E8E8E2" w:color="auto" w:val="clear"/>
            <w:tcMar>
              <w:top w:type="dxa" w:w="60"/>
              <w:left w:type="dxa" w:w="100"/>
              <w:bottom w:type="dxa" w:w="60"/>
              <w:right w:type="dxa" w:w="100"/>
            </w:tcMar>
          </w:tcPr>
          <w:p>
            <w:pPr>
              <w:spacing w:after="0" w:line="240"/>
            </w:pPr>
            <w:r>
              <w:rPr>
                <w:b/>
                <w:bCs/>
                <w:sz w:val="20"/>
                <w:szCs w:val="20"/>
              </w:rPr>
              <w:t xml:space="preserve">Student ID</w:t>
            </w:r>
          </w:p>
        </w:tc>
        <w:tc>
          <w:tcPr>
            <w:tcW w:type="dxa" w:w="2226"/>
            <w:shd w:fill="E8E8E2" w:color="auto" w:val="clear"/>
            <w:tcMar>
              <w:top w:type="dxa" w:w="60"/>
              <w:left w:type="dxa" w:w="100"/>
              <w:bottom w:type="dxa" w:w="60"/>
              <w:right w:type="dxa" w:w="100"/>
            </w:tcMar>
          </w:tcPr>
          <w:p>
            <w:pPr>
              <w:spacing w:after="0" w:line="240"/>
            </w:pPr>
            <w:r>
              <w:rPr>
                <w:b/>
                <w:bCs/>
                <w:sz w:val="20"/>
                <w:szCs w:val="20"/>
              </w:rPr>
              <w:t xml:space="preserve">Main contributions</w:t>
            </w:r>
          </w:p>
        </w:tc>
        <w:tc>
          <w:tcPr>
            <w:tcW w:type="dxa" w:w="1600"/>
            <w:shd w:fill="E8E8E2" w:color="auto" w:val="clear"/>
            <w:tcMar>
              <w:top w:type="dxa" w:w="60"/>
              <w:left w:type="dxa" w:w="100"/>
              <w:bottom w:type="dxa" w:w="60"/>
              <w:right w:type="dxa" w:w="100"/>
            </w:tcMar>
          </w:tcPr>
          <w:p>
            <w:pPr>
              <w:spacing w:after="0" w:line="240"/>
            </w:pPr>
            <w:r>
              <w:rPr>
                <w:b/>
                <w:bCs/>
                <w:sz w:val="20"/>
                <w:szCs w:val="20"/>
              </w:rPr>
              <w:t xml:space="preserve">Demo role</w:t>
            </w:r>
          </w:p>
        </w:tc>
        <w:tc>
          <w:tcPr>
            <w:tcW w:type="dxa" w:w="1600"/>
            <w:shd w:fill="E8E8E2" w:color="auto" w:val="clear"/>
            <w:tcMar>
              <w:top w:type="dxa" w:w="60"/>
              <w:left w:type="dxa" w:w="100"/>
              <w:bottom w:type="dxa" w:w="60"/>
              <w:right w:type="dxa" w:w="100"/>
            </w:tcMar>
          </w:tcPr>
          <w:p>
            <w:pPr>
              <w:spacing w:after="0" w:line="240"/>
            </w:pPr>
            <w:r>
              <w:rPr>
                <w:b/>
                <w:bCs/>
                <w:sz w:val="20"/>
                <w:szCs w:val="20"/>
              </w:rPr>
              <w:t xml:space="preserve">Evidence ref.</w:t>
            </w:r>
          </w:p>
        </w:tc>
      </w:tr>
      <w:tr>
        <w:tc>
          <w:tcPr>
            <w:tcW w:type="dxa" w:w="600"/>
            <w:tcMar>
              <w:top w:type="dxa" w:w="60"/>
              <w:left w:type="dxa" w:w="100"/>
              <w:bottom w:type="dxa" w:w="60"/>
              <w:right w:type="dxa" w:w="100"/>
            </w:tcMar>
          </w:tcPr>
          <w:p>
            <w:pPr>
              <w:spacing w:after="0" w:line="240"/>
            </w:pPr>
            <w:r>
              <w:rPr>
                <w:sz w:val="20"/>
                <w:szCs w:val="20"/>
              </w:rPr>
              <w:t xml:space="preserve">1</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2226"/>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600"/>
            <w:tcMar>
              <w:top w:type="dxa" w:w="60"/>
              <w:left w:type="dxa" w:w="100"/>
              <w:bottom w:type="dxa" w:w="60"/>
              <w:right w:type="dxa" w:w="100"/>
            </w:tcMar>
          </w:tcPr>
          <w:p>
            <w:pPr>
              <w:spacing w:after="0" w:line="240"/>
            </w:pPr>
            <w:r>
              <w:rPr>
                <w:sz w:val="20"/>
                <w:szCs w:val="20"/>
              </w:rPr>
              <w:t xml:space="preserve">2</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2226"/>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600"/>
            <w:tcMar>
              <w:top w:type="dxa" w:w="60"/>
              <w:left w:type="dxa" w:w="100"/>
              <w:bottom w:type="dxa" w:w="60"/>
              <w:right w:type="dxa" w:w="100"/>
            </w:tcMar>
          </w:tcPr>
          <w:p>
            <w:pPr>
              <w:spacing w:after="0" w:line="240"/>
            </w:pPr>
            <w:r>
              <w:rPr>
                <w:sz w:val="20"/>
                <w:szCs w:val="20"/>
              </w:rPr>
              <w:t xml:space="preserve">3</w:t>
            </w:r>
          </w:p>
        </w:tc>
        <w:tc>
          <w:tcPr>
            <w:tcW w:type="dxa" w:w="17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3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2226"/>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00"/>
            <w:tcMar>
              <w:top w:type="dxa" w:w="60"/>
              <w:left w:type="dxa" w:w="100"/>
              <w:bottom w:type="dxa" w:w="60"/>
              <w:right w:type="dxa" w:w="100"/>
            </w:tcMar>
          </w:tcPr>
          <w:p>
            <w:pPr>
              <w:spacing w:after="0" w:line="240"/>
            </w:pPr>
            <w:r>
              <w:rPr>
                <w:sz w:val="20"/>
                <w:szCs w:val="20"/>
                <w:highlight w:val="yellow"/>
                <w:highlightCs w:val="yellow"/>
              </w:rPr>
              <w:t xml:space="preserve">[    ]</w:t>
            </w:r>
          </w:p>
        </w:tc>
        <w:tc>
          <w:tcPr>
            <w:tcW w:type="dxa" w:w="1600"/>
            <w:tcMar>
              <w:top w:type="dxa" w:w="60"/>
              <w:left w:type="dxa" w:w="100"/>
              <w:bottom w:type="dxa" w:w="60"/>
              <w:right w:type="dxa" w:w="100"/>
            </w:tcMar>
          </w:tcPr>
          <w:p>
            <w:pPr>
              <w:spacing w:after="0" w:line="240"/>
            </w:pPr>
            <w:r>
              <w:rPr>
                <w:sz w:val="20"/>
                <w:szCs w:val="20"/>
                <w:highlight w:val="yellow"/>
                <w:highlightCs w:val="yellow"/>
              </w:rPr>
              <w:t xml:space="preserve">[    ]</w:t>
            </w:r>
          </w:p>
        </w:tc>
      </w:tr>
    </w:tbl>
    <w:p>
      <w:pPr>
        <w:spacing w:after="120"/>
      </w:pPr>
    </w:p>
    <w:p>
      <w:pPr>
        <w:spacing w:after="160" w:line="276"/>
      </w:pPr>
      <w:r>
        <w:t xml:space="preserve">Each member should also attach their own evidence for D2 (tutorial and practical submissions) and D3 (AWS guided lab and challenge lab completion) in the appendices, since those are marked individually.</w:t>
      </w:r>
    </w:p>
    <w:p>
      <w:pPr>
        <w:pBdr>
          <w:left w:val="single" w:color="9A9A8C" w:sz="12" w:space="10"/>
        </w:pBdr>
        <w:shd w:fill="F4F4F0" w:color="auto" w:val="clear"/>
        <w:spacing w:after="200" w:before="140" w:line="260"/>
        <w:ind w:left="220"/>
      </w:pPr>
      <w:r>
        <w:rPr>
          <w:i/>
          <w:iCs/>
          <w:sz w:val="20"/>
          <w:szCs w:val="20"/>
        </w:rPr>
        <w:t xml:space="preserve">Note on D1: marks go to explaining and defending your own work, so each member should be able to answer questions about a component they personally built. Split the demo along the same lines as the build.</w:t>
      </w:r>
    </w:p>
    <w:p>
      <w:pPr>
        <w:pStyle w:val="Heading1"/>
        <w:spacing w:after="160" w:before="360"/>
      </w:pPr>
      <w:r>
        <w:rPr>
          <w:b/>
          <w:bCs/>
        </w:rPr>
        <w:t xml:space="preserve">8.  Conclusion</w:t>
      </w:r>
    </w:p>
    <w:p>
      <w:pPr>
        <w:spacing w:after="160" w:line="276"/>
      </w:pPr>
      <w:r>
        <w:t xml:space="preserve">The proof of concept meets the requirements set out in the brief. The student-records application is publicly reachable, supports the full set of record operations against a migrated database, and runs on an architecture in which no web-tier component is a single point of failure. Traffic is distributed by an Application Load Balancer across instances in two Availability Zones, capacity adjusts automatically to demand through EC2 Auto Scaling, the database is isolated in private subnets and reachable only from the application tier, and database credentials are held in AWS Secrets Manager rather than in code. Load testing confirmed that the system </w:t>
      </w:r>
      <w:r>
        <w:rPr>
          <w:rFonts w:ascii="Consolas" w:cs="Consolas" w:eastAsia="Consolas" w:hAnsi="Consolas"/>
          <w:sz w:val="20"/>
          <w:szCs w:val="20"/>
          <w:highlight w:val="yellow"/>
          <w:highlightCs w:val="yellow"/>
        </w:rPr>
        <w:t xml:space="preserve">[summarise the result in one clause]</w:t>
      </w:r>
      <w:r>
        <w:t xml:space="preserve">.</w:t>
      </w:r>
    </w:p>
    <w:p>
      <w:pPr>
        <w:spacing w:after="160" w:line="276"/>
      </w:pPr>
      <w:r>
        <w:t xml:space="preserve">The exercise also clarified a distinction that is easy to miss when reading about cloud architecture rather than building it. Availability and scalability are not features that a service provides; they are properties that follow from how components are arranged. The Auto Scaling group can replace a failed instance only because the instances hold no state, and they hold no state only because the database was moved out to RDS first. The decoupling in Phase 3 is what made the resilience in Phase 4 possible.</w:t>
      </w:r>
    </w:p>
    <w:p>
      <w:pPr>
        <w:spacing w:after="160" w:line="276"/>
      </w:pPr>
      <w:r>
        <w:t xml:space="preserve">Three enhancements would be required before a system of this kind could hold real student records. The most significant is </w:t>
      </w:r>
      <w:r>
        <w:rPr>
          <w:b/>
          <w:bCs/>
        </w:rPr>
        <w:t xml:space="preserve">Multi-AZ deployment of the database</w:t>
      </w:r>
      <w:r>
        <w:t xml:space="preserve">, which would remove the last single point of failure in the architecture at the cost of a standby instance. The second is </w:t>
      </w:r>
      <w:r>
        <w:rPr>
          <w:b/>
          <w:bCs/>
        </w:rPr>
        <w:t xml:space="preserve">transport encryption and authentication</w:t>
      </w:r>
      <w:r>
        <w:t xml:space="preserve">: a certificate from AWS Certificate Manager with an HTTPS listener would protect data in transit, and access control would restrict the application to authenticated staff rather than the whole internet, which is a necessity for personal data regardless of the technical architecture. The third is </w:t>
      </w:r>
      <w:r>
        <w:rPr>
          <w:b/>
          <w:bCs/>
        </w:rPr>
        <w:t xml:space="preserve">network-level restriction</w:t>
      </w:r>
      <w:r>
        <w:t xml:space="preserve"> of the application to the university’s own network ranges, so that the service is not exposed publicly at all. Beyond these, </w:t>
      </w:r>
      <w:r>
        <w:rPr>
          <w:rFonts w:ascii="Consolas" w:cs="Consolas" w:eastAsia="Consolas" w:hAnsi="Consolas"/>
          <w:sz w:val="20"/>
          <w:szCs w:val="20"/>
          <w:highlight w:val="yellow"/>
          <w:highlightCs w:val="yellow"/>
        </w:rPr>
        <w:t xml:space="preserve">[a read replica would relieve the database of read traffic if the record-lookup load grew, and committed-use pricing would reduce the running cost once the architecture stabilised]</w:t>
      </w:r>
      <w:r>
        <w:t xml:space="preserve">.</w:t>
      </w:r>
    </w:p>
    <w:p>
      <w:pPr>
        <w:pStyle w:val="Heading1"/>
        <w:spacing w:after="160" w:before="360"/>
      </w:pPr>
      <w:r>
        <w:rPr>
          <w:b/>
          <w:bCs/>
        </w:rPr>
        <w:t xml:space="preserve">9.  References</w:t>
      </w:r>
    </w:p>
    <w:p>
      <w:pPr>
        <w:pBdr>
          <w:left w:val="single" w:color="9A9A8C" w:sz="12" w:space="10"/>
        </w:pBdr>
        <w:shd w:fill="F4F4F0" w:color="auto" w:val="clear"/>
        <w:spacing w:after="200" w:before="140" w:line="260"/>
        <w:ind w:left="220"/>
      </w:pPr>
      <w:r>
        <w:rPr>
          <w:i/>
          <w:iCs/>
          <w:sz w:val="20"/>
          <w:szCs w:val="20"/>
        </w:rPr>
        <w:t xml:space="preserve">Verify every URL before submitting, and check which APA edition your faculty requires, since the 7th edition does not require retrieval dates for stable content. Add any AWS Academy lab guides or textbooks you actually drew on, and delete any entry below that you did not use.</w:t>
      </w:r>
    </w:p>
    <w:p>
      <w:pPr>
        <w:spacing w:after="160" w:line="276"/>
        <w:ind w:left="480" w:hanging="480"/>
      </w:pPr>
      <w:r>
        <w:t xml:space="preserve">Amazon Web Services. (n.d.-a). AWS Well-Architected Framework. https://docs.aws.amazon.com/wellarchitected/latest/framework/welcome.html</w:t>
      </w:r>
    </w:p>
    <w:p>
      <w:pPr>
        <w:spacing w:after="160" w:line="276"/>
        <w:ind w:left="480" w:hanging="480"/>
      </w:pPr>
      <w:r>
        <w:t xml:space="preserve">Amazon Web Services. (n.d.-b). Amazon EC2 Auto Scaling user guide. https://docs.aws.amazon.com/autoscaling/ec2/userguide/what-is-amazon-ec2-auto-scaling.html</w:t>
      </w:r>
    </w:p>
    <w:p>
      <w:pPr>
        <w:spacing w:after="160" w:line="276"/>
        <w:ind w:left="480" w:hanging="480"/>
      </w:pPr>
      <w:r>
        <w:t xml:space="preserve">Amazon Web Services. (n.d.-c). Application Load Balancers. https://docs.aws.amazon.com/elasticloadbalancing/latest/application/introduction.html</w:t>
      </w:r>
    </w:p>
    <w:p>
      <w:pPr>
        <w:spacing w:after="160" w:line="276"/>
        <w:ind w:left="480" w:hanging="480"/>
      </w:pPr>
      <w:r>
        <w:t xml:space="preserve">Amazon Web Services. (n.d.-d). Amazon EC2 user guide. https://docs.aws.amazon.com/AWSEC2/latest/UserGuide/concepts.html</w:t>
      </w:r>
    </w:p>
    <w:p>
      <w:pPr>
        <w:spacing w:after="160" w:line="276"/>
        <w:ind w:left="480" w:hanging="480"/>
      </w:pPr>
      <w:r>
        <w:t xml:space="preserve">Amazon Web Services. (n.d.-e). Amazon Virtual Private Cloud user guide. https://docs.aws.amazon.com/vpc/latest/userguide/what-is-amazon-vpc.html</w:t>
      </w:r>
    </w:p>
    <w:p>
      <w:pPr>
        <w:spacing w:after="160" w:line="276"/>
        <w:ind w:left="480" w:hanging="480"/>
      </w:pPr>
      <w:r>
        <w:t xml:space="preserve">Amazon Web Services. (n.d.-f). Amazon RDS user guide. https://docs.aws.amazon.com/AmazonRDS/latest/UserGuide/Welcome.html</w:t>
      </w:r>
    </w:p>
    <w:p>
      <w:pPr>
        <w:spacing w:after="160" w:line="276"/>
        <w:ind w:left="480" w:hanging="480"/>
      </w:pPr>
      <w:r>
        <w:t xml:space="preserve">Amazon Web Services. (n.d.-g). AWS Secrets Manager user guide. https://docs.aws.amazon.com/secretsmanager/latest/userguide/intro.html</w:t>
      </w:r>
    </w:p>
    <w:p>
      <w:pPr>
        <w:spacing w:after="160" w:line="276"/>
        <w:ind w:left="480" w:hanging="480"/>
      </w:pPr>
      <w:r>
        <w:t xml:space="preserve">Amazon Web Services. (n.d.-h). Amazon CloudWatch user guide. https://docs.aws.amazon.com/AmazonCloudWatch/latest/monitoring/WhatIsCloudWatch.html</w:t>
      </w:r>
    </w:p>
    <w:p>
      <w:pPr>
        <w:spacing w:after="160" w:line="276"/>
        <w:ind w:left="480" w:hanging="480"/>
      </w:pPr>
      <w:r>
        <w:t xml:space="preserve">Amazon Web Services. (n.d.-i). Regions and Zones. https://docs.aws.amazon.com/AWSEC2/latest/UserGuide/using-regions-availability-zones.html</w:t>
      </w:r>
    </w:p>
    <w:p>
      <w:pPr>
        <w:spacing w:after="160" w:line="276"/>
        <w:ind w:left="480" w:hanging="480"/>
      </w:pPr>
      <w:r>
        <w:t xml:space="preserve">Amazon Web Services. (n.d.-j). AWS Pricing Calculator user guide. https://docs.aws.amazon.com/pricing-calculator/latest/userguide/what-is-pricing-calculator.html</w:t>
      </w:r>
    </w:p>
    <w:p>
      <w:pPr>
        <w:pStyle w:val="Heading1"/>
        <w:spacing w:after="160" w:before="360"/>
      </w:pPr>
      <w:r>
        <w:rPr>
          <w:b/>
          <w:bCs/>
        </w:rPr>
        <w:t xml:space="preserve">10.  Appendices: evidence checklist</w:t>
      </w:r>
    </w:p>
    <w:p>
      <w:pPr>
        <w:spacing w:after="160" w:line="276"/>
      </w:pPr>
      <w:r>
        <w:t xml:space="preserve">Label each artefact with its evidence ID in the caption, as the brief requires, and keep the criterion order C1 to C7 so the lecturer can verify the report without searching.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500"/>
        <w:gridCol w:w="4526"/>
        <w:gridCol w:w="1100"/>
      </w:tblGrid>
      <w:tr>
        <w:trPr>
          <w:tblHeader/>
        </w:trPr>
        <w:tc>
          <w:tcPr>
            <w:tcW w:type="dxa" w:w="900"/>
            <w:shd w:fill="E8E8E2" w:color="auto" w:val="clear"/>
            <w:tcMar>
              <w:top w:type="dxa" w:w="60"/>
              <w:left w:type="dxa" w:w="100"/>
              <w:bottom w:type="dxa" w:w="60"/>
              <w:right w:type="dxa" w:w="100"/>
            </w:tcMar>
          </w:tcPr>
          <w:p>
            <w:pPr>
              <w:spacing w:after="0" w:line="240"/>
            </w:pPr>
            <w:r>
              <w:rPr>
                <w:b/>
                <w:bCs/>
                <w:sz w:val="20"/>
                <w:szCs w:val="20"/>
              </w:rPr>
              <w:t xml:space="preserve">ID</w:t>
            </w:r>
          </w:p>
        </w:tc>
        <w:tc>
          <w:tcPr>
            <w:tcW w:type="dxa" w:w="2500"/>
            <w:shd w:fill="E8E8E2" w:color="auto" w:val="clear"/>
            <w:tcMar>
              <w:top w:type="dxa" w:w="60"/>
              <w:left w:type="dxa" w:w="100"/>
              <w:bottom w:type="dxa" w:w="60"/>
              <w:right w:type="dxa" w:w="100"/>
            </w:tcMar>
          </w:tcPr>
          <w:p>
            <w:pPr>
              <w:spacing w:after="0" w:line="240"/>
            </w:pPr>
            <w:r>
              <w:rPr>
                <w:b/>
                <w:bCs/>
                <w:sz w:val="20"/>
                <w:szCs w:val="20"/>
              </w:rPr>
              <w:t xml:space="preserve">Artefact</w:t>
            </w:r>
          </w:p>
        </w:tc>
        <w:tc>
          <w:tcPr>
            <w:tcW w:type="dxa" w:w="4526"/>
            <w:shd w:fill="E8E8E2" w:color="auto" w:val="clear"/>
            <w:tcMar>
              <w:top w:type="dxa" w:w="60"/>
              <w:left w:type="dxa" w:w="100"/>
              <w:bottom w:type="dxa" w:w="60"/>
              <w:right w:type="dxa" w:w="100"/>
            </w:tcMar>
          </w:tcPr>
          <w:p>
            <w:pPr>
              <w:spacing w:after="0" w:line="240"/>
            </w:pPr>
            <w:r>
              <w:rPr>
                <w:b/>
                <w:bCs/>
                <w:sz w:val="20"/>
                <w:szCs w:val="20"/>
              </w:rPr>
              <w:t xml:space="preserve">What it must prove</w:t>
            </w:r>
          </w:p>
        </w:tc>
        <w:tc>
          <w:tcPr>
            <w:tcW w:type="dxa" w:w="1100"/>
            <w:shd w:fill="E8E8E2" w:color="auto" w:val="clear"/>
            <w:tcMar>
              <w:top w:type="dxa" w:w="60"/>
              <w:left w:type="dxa" w:w="100"/>
              <w:bottom w:type="dxa" w:w="60"/>
              <w:right w:type="dxa" w:w="100"/>
            </w:tcMar>
          </w:tcPr>
          <w:p>
            <w:pPr>
              <w:spacing w:after="0" w:line="240"/>
            </w:pPr>
            <w:r>
              <w:rPr>
                <w:b/>
                <w:bCs/>
                <w:sz w:val="20"/>
                <w:szCs w:val="20"/>
              </w:rPr>
              <w:t xml:space="preserve">Done</w:t>
            </w:r>
          </w:p>
        </w:tc>
      </w:tr>
      <w:tr>
        <w:tc>
          <w:tcPr>
            <w:tcW w:type="dxa" w:w="900"/>
            <w:tcMar>
              <w:top w:type="dxa" w:w="60"/>
              <w:left w:type="dxa" w:w="100"/>
              <w:bottom w:type="dxa" w:w="60"/>
              <w:right w:type="dxa" w:w="100"/>
            </w:tcMar>
          </w:tcPr>
          <w:p>
            <w:pPr>
              <w:spacing w:after="0" w:line="240"/>
            </w:pPr>
            <w:r>
              <w:rPr>
                <w:sz w:val="20"/>
                <w:szCs w:val="20"/>
              </w:rPr>
              <w:t xml:space="preserve">F-1</w:t>
            </w:r>
          </w:p>
        </w:tc>
        <w:tc>
          <w:tcPr>
            <w:tcW w:type="dxa" w:w="2500"/>
            <w:tcMar>
              <w:top w:type="dxa" w:w="60"/>
              <w:left w:type="dxa" w:w="100"/>
              <w:bottom w:type="dxa" w:w="60"/>
              <w:right w:type="dxa" w:w="100"/>
            </w:tcMar>
          </w:tcPr>
          <w:p>
            <w:pPr>
              <w:spacing w:after="0" w:line="240"/>
            </w:pPr>
            <w:r>
              <w:rPr>
                <w:sz w:val="20"/>
                <w:szCs w:val="20"/>
              </w:rPr>
              <w:t xml:space="preserve">Public URL / ALB DNS landing page</w:t>
            </w:r>
          </w:p>
        </w:tc>
        <w:tc>
          <w:tcPr>
            <w:tcW w:type="dxa" w:w="4526"/>
            <w:tcMar>
              <w:top w:type="dxa" w:w="60"/>
              <w:left w:type="dxa" w:w="100"/>
              <w:bottom w:type="dxa" w:w="60"/>
              <w:right w:type="dxa" w:w="100"/>
            </w:tcMar>
          </w:tcPr>
          <w:p>
            <w:pPr>
              <w:spacing w:after="0" w:line="240"/>
            </w:pPr>
            <w:r>
              <w:rPr>
                <w:sz w:val="20"/>
                <w:szCs w:val="20"/>
              </w:rPr>
              <w:t xml:space="preserve">Application reachable from the internet</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F-2</w:t>
            </w:r>
          </w:p>
        </w:tc>
        <w:tc>
          <w:tcPr>
            <w:tcW w:type="dxa" w:w="2500"/>
            <w:tcMar>
              <w:top w:type="dxa" w:w="60"/>
              <w:left w:type="dxa" w:w="100"/>
              <w:bottom w:type="dxa" w:w="60"/>
              <w:right w:type="dxa" w:w="100"/>
            </w:tcMar>
          </w:tcPr>
          <w:p>
            <w:pPr>
              <w:spacing w:after="0" w:line="240"/>
            </w:pPr>
            <w:r>
              <w:rPr>
                <w:sz w:val="20"/>
                <w:szCs w:val="20"/>
              </w:rPr>
              <w:t xml:space="preserve">CRUD proof</w:t>
            </w:r>
          </w:p>
        </w:tc>
        <w:tc>
          <w:tcPr>
            <w:tcW w:type="dxa" w:w="4526"/>
            <w:tcMar>
              <w:top w:type="dxa" w:w="60"/>
              <w:left w:type="dxa" w:w="100"/>
              <w:bottom w:type="dxa" w:w="60"/>
              <w:right w:type="dxa" w:w="100"/>
            </w:tcMar>
          </w:tcPr>
          <w:p>
            <w:pPr>
              <w:spacing w:after="0" w:line="240"/>
            </w:pPr>
            <w:r>
              <w:rPr>
                <w:sz w:val="20"/>
                <w:szCs w:val="20"/>
              </w:rPr>
              <w:t xml:space="preserve">View, add, edit and delete actions</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F-3</w:t>
            </w:r>
          </w:p>
        </w:tc>
        <w:tc>
          <w:tcPr>
            <w:tcW w:type="dxa" w:w="2500"/>
            <w:tcMar>
              <w:top w:type="dxa" w:w="60"/>
              <w:left w:type="dxa" w:w="100"/>
              <w:bottom w:type="dxa" w:w="60"/>
              <w:right w:type="dxa" w:w="100"/>
            </w:tcMar>
          </w:tcPr>
          <w:p>
            <w:pPr>
              <w:spacing w:after="0" w:line="240"/>
            </w:pPr>
            <w:r>
              <w:rPr>
                <w:sz w:val="20"/>
                <w:szCs w:val="20"/>
              </w:rPr>
              <w:t xml:space="preserve">Migrated data in RDS</w:t>
            </w:r>
          </w:p>
        </w:tc>
        <w:tc>
          <w:tcPr>
            <w:tcW w:type="dxa" w:w="4526"/>
            <w:tcMar>
              <w:top w:type="dxa" w:w="60"/>
              <w:left w:type="dxa" w:w="100"/>
              <w:bottom w:type="dxa" w:w="60"/>
              <w:right w:type="dxa" w:w="100"/>
            </w:tcMar>
          </w:tcPr>
          <w:p>
            <w:pPr>
              <w:spacing w:after="0" w:line="240"/>
            </w:pPr>
            <w:r>
              <w:rPr>
                <w:sz w:val="20"/>
                <w:szCs w:val="20"/>
              </w:rPr>
              <w:t xml:space="preserve">Records exist after the database move</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LB-1</w:t>
            </w:r>
          </w:p>
        </w:tc>
        <w:tc>
          <w:tcPr>
            <w:tcW w:type="dxa" w:w="2500"/>
            <w:tcMar>
              <w:top w:type="dxa" w:w="60"/>
              <w:left w:type="dxa" w:w="100"/>
              <w:bottom w:type="dxa" w:w="60"/>
              <w:right w:type="dxa" w:w="100"/>
            </w:tcMar>
          </w:tcPr>
          <w:p>
            <w:pPr>
              <w:spacing w:after="0" w:line="240"/>
            </w:pPr>
            <w:r>
              <w:rPr>
                <w:sz w:val="20"/>
                <w:szCs w:val="20"/>
              </w:rPr>
              <w:t xml:space="preserve">ALB, listener, target group</w:t>
            </w:r>
          </w:p>
        </w:tc>
        <w:tc>
          <w:tcPr>
            <w:tcW w:type="dxa" w:w="4526"/>
            <w:tcMar>
              <w:top w:type="dxa" w:w="60"/>
              <w:left w:type="dxa" w:w="100"/>
              <w:bottom w:type="dxa" w:w="60"/>
              <w:right w:type="dxa" w:w="100"/>
            </w:tcMar>
          </w:tcPr>
          <w:p>
            <w:pPr>
              <w:spacing w:after="0" w:line="240"/>
            </w:pPr>
            <w:r>
              <w:rPr>
                <w:sz w:val="20"/>
                <w:szCs w:val="20"/>
              </w:rPr>
              <w:t xml:space="preserve">Load balancer configured and targets healthy</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LB-2</w:t>
            </w:r>
          </w:p>
        </w:tc>
        <w:tc>
          <w:tcPr>
            <w:tcW w:type="dxa" w:w="2500"/>
            <w:tcMar>
              <w:top w:type="dxa" w:w="60"/>
              <w:left w:type="dxa" w:w="100"/>
              <w:bottom w:type="dxa" w:w="60"/>
              <w:right w:type="dxa" w:w="100"/>
            </w:tcMar>
          </w:tcPr>
          <w:p>
            <w:pPr>
              <w:spacing w:after="0" w:line="240"/>
            </w:pPr>
            <w:r>
              <w:rPr>
                <w:sz w:val="20"/>
                <w:szCs w:val="20"/>
              </w:rPr>
              <w:t xml:space="preserve">Cross-AZ distribution</w:t>
            </w:r>
          </w:p>
        </w:tc>
        <w:tc>
          <w:tcPr>
            <w:tcW w:type="dxa" w:w="4526"/>
            <w:tcMar>
              <w:top w:type="dxa" w:w="60"/>
              <w:left w:type="dxa" w:w="100"/>
              <w:bottom w:type="dxa" w:w="60"/>
              <w:right w:type="dxa" w:w="100"/>
            </w:tcMar>
          </w:tcPr>
          <w:p>
            <w:pPr>
              <w:spacing w:after="0" w:line="240"/>
            </w:pPr>
            <w:r>
              <w:rPr>
                <w:sz w:val="20"/>
                <w:szCs w:val="20"/>
              </w:rPr>
              <w:t xml:space="preserve">Instances in at least two Availability Zones</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SC-1</w:t>
            </w:r>
          </w:p>
        </w:tc>
        <w:tc>
          <w:tcPr>
            <w:tcW w:type="dxa" w:w="2500"/>
            <w:tcMar>
              <w:top w:type="dxa" w:w="60"/>
              <w:left w:type="dxa" w:w="100"/>
              <w:bottom w:type="dxa" w:w="60"/>
              <w:right w:type="dxa" w:w="100"/>
            </w:tcMar>
          </w:tcPr>
          <w:p>
            <w:pPr>
              <w:spacing w:after="0" w:line="240"/>
            </w:pPr>
            <w:r>
              <w:rPr>
                <w:sz w:val="20"/>
                <w:szCs w:val="20"/>
              </w:rPr>
              <w:t xml:space="preserve">Auto Scaling group</w:t>
            </w:r>
          </w:p>
        </w:tc>
        <w:tc>
          <w:tcPr>
            <w:tcW w:type="dxa" w:w="4526"/>
            <w:tcMar>
              <w:top w:type="dxa" w:w="60"/>
              <w:left w:type="dxa" w:w="100"/>
              <w:bottom w:type="dxa" w:w="60"/>
              <w:right w:type="dxa" w:w="100"/>
            </w:tcMar>
          </w:tcPr>
          <w:p>
            <w:pPr>
              <w:spacing w:after="0" w:line="240"/>
            </w:pPr>
            <w:r>
              <w:rPr>
                <w:sz w:val="20"/>
                <w:szCs w:val="20"/>
              </w:rPr>
              <w:t xml:space="preserve">Launch template, group limits, scaling policy</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SC-2</w:t>
            </w:r>
          </w:p>
        </w:tc>
        <w:tc>
          <w:tcPr>
            <w:tcW w:type="dxa" w:w="2500"/>
            <w:tcMar>
              <w:top w:type="dxa" w:w="60"/>
              <w:left w:type="dxa" w:w="100"/>
              <w:bottom w:type="dxa" w:w="60"/>
              <w:right w:type="dxa" w:w="100"/>
            </w:tcMar>
          </w:tcPr>
          <w:p>
            <w:pPr>
              <w:spacing w:after="0" w:line="240"/>
            </w:pPr>
            <w:r>
              <w:rPr>
                <w:sz w:val="20"/>
                <w:szCs w:val="20"/>
              </w:rPr>
              <w:t xml:space="preserve">Scaling event proof</w:t>
            </w:r>
          </w:p>
        </w:tc>
        <w:tc>
          <w:tcPr>
            <w:tcW w:type="dxa" w:w="4526"/>
            <w:tcMar>
              <w:top w:type="dxa" w:w="60"/>
              <w:left w:type="dxa" w:w="100"/>
              <w:bottom w:type="dxa" w:w="60"/>
              <w:right w:type="dxa" w:w="100"/>
            </w:tcMar>
          </w:tcPr>
          <w:p>
            <w:pPr>
              <w:spacing w:after="0" w:line="240"/>
            </w:pPr>
            <w:r>
              <w:rPr>
                <w:sz w:val="20"/>
                <w:szCs w:val="20"/>
              </w:rPr>
              <w:t xml:space="preserve">Scale-out and, where available, scale-in</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HA-1</w:t>
            </w:r>
          </w:p>
        </w:tc>
        <w:tc>
          <w:tcPr>
            <w:tcW w:type="dxa" w:w="2500"/>
            <w:tcMar>
              <w:top w:type="dxa" w:w="60"/>
              <w:left w:type="dxa" w:w="100"/>
              <w:bottom w:type="dxa" w:w="60"/>
              <w:right w:type="dxa" w:w="100"/>
            </w:tcMar>
          </w:tcPr>
          <w:p>
            <w:pPr>
              <w:spacing w:after="0" w:line="240"/>
            </w:pPr>
            <w:r>
              <w:rPr>
                <w:sz w:val="20"/>
                <w:szCs w:val="20"/>
              </w:rPr>
              <w:t xml:space="preserve">Architecture diagram</w:t>
            </w:r>
          </w:p>
        </w:tc>
        <w:tc>
          <w:tcPr>
            <w:tcW w:type="dxa" w:w="4526"/>
            <w:tcMar>
              <w:top w:type="dxa" w:w="60"/>
              <w:left w:type="dxa" w:w="100"/>
              <w:bottom w:type="dxa" w:w="60"/>
              <w:right w:type="dxa" w:w="100"/>
            </w:tcMar>
          </w:tcPr>
          <w:p>
            <w:pPr>
              <w:spacing w:after="0" w:line="240"/>
            </w:pPr>
            <w:r>
              <w:rPr>
                <w:sz w:val="20"/>
                <w:szCs w:val="20"/>
              </w:rPr>
              <w:t xml:space="preserve">Public and private subnets, web tier in two AZs</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HA-2</w:t>
            </w:r>
          </w:p>
        </w:tc>
        <w:tc>
          <w:tcPr>
            <w:tcW w:type="dxa" w:w="2500"/>
            <w:tcMar>
              <w:top w:type="dxa" w:w="60"/>
              <w:left w:type="dxa" w:w="100"/>
              <w:bottom w:type="dxa" w:w="60"/>
              <w:right w:type="dxa" w:w="100"/>
            </w:tcMar>
          </w:tcPr>
          <w:p>
            <w:pPr>
              <w:spacing w:after="0" w:line="240"/>
            </w:pPr>
            <w:r>
              <w:rPr>
                <w:sz w:val="20"/>
                <w:szCs w:val="20"/>
              </w:rPr>
              <w:t xml:space="preserve">Backup / recovery proof</w:t>
            </w:r>
          </w:p>
        </w:tc>
        <w:tc>
          <w:tcPr>
            <w:tcW w:type="dxa" w:w="4526"/>
            <w:tcMar>
              <w:top w:type="dxa" w:w="60"/>
              <w:left w:type="dxa" w:w="100"/>
              <w:bottom w:type="dxa" w:w="60"/>
              <w:right w:type="dxa" w:w="100"/>
            </w:tcMar>
          </w:tcPr>
          <w:p>
            <w:pPr>
              <w:spacing w:after="0" w:line="240"/>
            </w:pPr>
            <w:r>
              <w:rPr>
                <w:sz w:val="20"/>
                <w:szCs w:val="20"/>
              </w:rPr>
              <w:t xml:space="preserve">RDS backup or recovery settings</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SEC-1</w:t>
            </w:r>
          </w:p>
        </w:tc>
        <w:tc>
          <w:tcPr>
            <w:tcW w:type="dxa" w:w="2500"/>
            <w:tcMar>
              <w:top w:type="dxa" w:w="60"/>
              <w:left w:type="dxa" w:w="100"/>
              <w:bottom w:type="dxa" w:w="60"/>
              <w:right w:type="dxa" w:w="100"/>
            </w:tcMar>
          </w:tcPr>
          <w:p>
            <w:pPr>
              <w:spacing w:after="0" w:line="240"/>
            </w:pPr>
            <w:r>
              <w:rPr>
                <w:sz w:val="20"/>
                <w:szCs w:val="20"/>
              </w:rPr>
              <w:t xml:space="preserve">Security groups</w:t>
            </w:r>
          </w:p>
        </w:tc>
        <w:tc>
          <w:tcPr>
            <w:tcW w:type="dxa" w:w="4526"/>
            <w:tcMar>
              <w:top w:type="dxa" w:w="60"/>
              <w:left w:type="dxa" w:w="100"/>
              <w:bottom w:type="dxa" w:w="60"/>
              <w:right w:type="dxa" w:w="100"/>
            </w:tcMar>
          </w:tcPr>
          <w:p>
            <w:pPr>
              <w:spacing w:after="0" w:line="240"/>
            </w:pPr>
            <w:r>
              <w:rPr>
                <w:sz w:val="20"/>
                <w:szCs w:val="20"/>
              </w:rPr>
              <w:t xml:space="preserve">Ingress and egress for ALB, app and database tiers</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SEC-2</w:t>
            </w:r>
          </w:p>
        </w:tc>
        <w:tc>
          <w:tcPr>
            <w:tcW w:type="dxa" w:w="2500"/>
            <w:tcMar>
              <w:top w:type="dxa" w:w="60"/>
              <w:left w:type="dxa" w:w="100"/>
              <w:bottom w:type="dxa" w:w="60"/>
              <w:right w:type="dxa" w:w="100"/>
            </w:tcMar>
          </w:tcPr>
          <w:p>
            <w:pPr>
              <w:spacing w:after="0" w:line="240"/>
            </w:pPr>
            <w:r>
              <w:rPr>
                <w:sz w:val="20"/>
                <w:szCs w:val="20"/>
              </w:rPr>
              <w:t xml:space="preserve">Secrets Manager proof</w:t>
            </w:r>
          </w:p>
        </w:tc>
        <w:tc>
          <w:tcPr>
            <w:tcW w:type="dxa" w:w="4526"/>
            <w:tcMar>
              <w:top w:type="dxa" w:w="60"/>
              <w:left w:type="dxa" w:w="100"/>
              <w:bottom w:type="dxa" w:w="60"/>
              <w:right w:type="dxa" w:w="100"/>
            </w:tcMar>
          </w:tcPr>
          <w:p>
            <w:pPr>
              <w:spacing w:after="0" w:line="240"/>
            </w:pPr>
            <w:r>
              <w:rPr>
                <w:sz w:val="20"/>
                <w:szCs w:val="20"/>
              </w:rPr>
              <w:t xml:space="preserve">Secret creation and application integration</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CO-1</w:t>
            </w:r>
          </w:p>
        </w:tc>
        <w:tc>
          <w:tcPr>
            <w:tcW w:type="dxa" w:w="2500"/>
            <w:tcMar>
              <w:top w:type="dxa" w:w="60"/>
              <w:left w:type="dxa" w:w="100"/>
              <w:bottom w:type="dxa" w:w="60"/>
              <w:right w:type="dxa" w:w="100"/>
            </w:tcMar>
          </w:tcPr>
          <w:p>
            <w:pPr>
              <w:spacing w:after="0" w:line="240"/>
            </w:pPr>
            <w:r>
              <w:rPr>
                <w:sz w:val="20"/>
                <w:szCs w:val="20"/>
              </w:rPr>
              <w:t xml:space="preserve">Pricing Calculator export</w:t>
            </w:r>
          </w:p>
        </w:tc>
        <w:tc>
          <w:tcPr>
            <w:tcW w:type="dxa" w:w="4526"/>
            <w:tcMar>
              <w:top w:type="dxa" w:w="60"/>
              <w:left w:type="dxa" w:w="100"/>
              <w:bottom w:type="dxa" w:w="60"/>
              <w:right w:type="dxa" w:w="100"/>
            </w:tcMar>
          </w:tcPr>
          <w:p>
            <w:pPr>
              <w:spacing w:after="0" w:line="240"/>
            </w:pPr>
            <w:r>
              <w:rPr>
                <w:sz w:val="20"/>
                <w:szCs w:val="20"/>
              </w:rPr>
              <w:t xml:space="preserve">12-month estimate in us-east-1</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CO-2</w:t>
            </w:r>
          </w:p>
        </w:tc>
        <w:tc>
          <w:tcPr>
            <w:tcW w:type="dxa" w:w="2500"/>
            <w:tcMar>
              <w:top w:type="dxa" w:w="60"/>
              <w:left w:type="dxa" w:w="100"/>
              <w:bottom w:type="dxa" w:w="60"/>
              <w:right w:type="dxa" w:w="100"/>
            </w:tcMar>
          </w:tcPr>
          <w:p>
            <w:pPr>
              <w:spacing w:after="0" w:line="240"/>
            </w:pPr>
            <w:r>
              <w:rPr>
                <w:sz w:val="20"/>
                <w:szCs w:val="20"/>
              </w:rPr>
              <w:t xml:space="preserve">Sizing rationale</w:t>
            </w:r>
          </w:p>
        </w:tc>
        <w:tc>
          <w:tcPr>
            <w:tcW w:type="dxa" w:w="4526"/>
            <w:tcMar>
              <w:top w:type="dxa" w:w="60"/>
              <w:left w:type="dxa" w:w="100"/>
              <w:bottom w:type="dxa" w:w="60"/>
              <w:right w:type="dxa" w:w="100"/>
            </w:tcMar>
          </w:tcPr>
          <w:p>
            <w:pPr>
              <w:spacing w:after="0" w:line="240"/>
            </w:pPr>
            <w:r>
              <w:rPr>
                <w:sz w:val="20"/>
                <w:szCs w:val="20"/>
              </w:rPr>
              <w:t xml:space="preserve">Why the EC2, Auto Scaling and RDS sizes were chosen</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HP-1</w:t>
            </w:r>
          </w:p>
        </w:tc>
        <w:tc>
          <w:tcPr>
            <w:tcW w:type="dxa" w:w="2500"/>
            <w:tcMar>
              <w:top w:type="dxa" w:w="60"/>
              <w:left w:type="dxa" w:w="100"/>
              <w:bottom w:type="dxa" w:w="60"/>
              <w:right w:type="dxa" w:w="100"/>
            </w:tcMar>
          </w:tcPr>
          <w:p>
            <w:pPr>
              <w:spacing w:after="0" w:line="240"/>
            </w:pPr>
            <w:r>
              <w:rPr>
                <w:sz w:val="20"/>
                <w:szCs w:val="20"/>
              </w:rPr>
              <w:t xml:space="preserve">Load test method</w:t>
            </w:r>
          </w:p>
        </w:tc>
        <w:tc>
          <w:tcPr>
            <w:tcW w:type="dxa" w:w="4526"/>
            <w:tcMar>
              <w:top w:type="dxa" w:w="60"/>
              <w:left w:type="dxa" w:w="100"/>
              <w:bottom w:type="dxa" w:w="60"/>
              <w:right w:type="dxa" w:w="100"/>
            </w:tcMar>
          </w:tcPr>
          <w:p>
            <w:pPr>
              <w:spacing w:after="0" w:line="240"/>
            </w:pPr>
            <w:r>
              <w:rPr>
                <w:sz w:val="20"/>
                <w:szCs w:val="20"/>
              </w:rPr>
              <w:t xml:space="preserve">Tool, settings and execution context</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HP-2</w:t>
            </w:r>
          </w:p>
        </w:tc>
        <w:tc>
          <w:tcPr>
            <w:tcW w:type="dxa" w:w="2500"/>
            <w:tcMar>
              <w:top w:type="dxa" w:w="60"/>
              <w:left w:type="dxa" w:w="100"/>
              <w:bottom w:type="dxa" w:w="60"/>
              <w:right w:type="dxa" w:w="100"/>
            </w:tcMar>
          </w:tcPr>
          <w:p>
            <w:pPr>
              <w:spacing w:after="0" w:line="240"/>
            </w:pPr>
            <w:r>
              <w:rPr>
                <w:sz w:val="20"/>
                <w:szCs w:val="20"/>
              </w:rPr>
              <w:t xml:space="preserve">Performance results</w:t>
            </w:r>
          </w:p>
        </w:tc>
        <w:tc>
          <w:tcPr>
            <w:tcW w:type="dxa" w:w="4526"/>
            <w:tcMar>
              <w:top w:type="dxa" w:w="60"/>
              <w:left w:type="dxa" w:w="100"/>
              <w:bottom w:type="dxa" w:w="60"/>
              <w:right w:type="dxa" w:w="100"/>
            </w:tcMar>
          </w:tcPr>
          <w:p>
            <w:pPr>
              <w:spacing w:after="0" w:line="240"/>
            </w:pPr>
            <w:r>
              <w:rPr>
                <w:sz w:val="20"/>
                <w:szCs w:val="20"/>
              </w:rPr>
              <w:t xml:space="preserve">Latency, throughput, errors, scaling observations</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r>
        <w:tc>
          <w:tcPr>
            <w:tcW w:type="dxa" w:w="900"/>
            <w:tcMar>
              <w:top w:type="dxa" w:w="60"/>
              <w:left w:type="dxa" w:w="100"/>
              <w:bottom w:type="dxa" w:w="60"/>
              <w:right w:type="dxa" w:w="100"/>
            </w:tcMar>
          </w:tcPr>
          <w:p>
            <w:pPr>
              <w:spacing w:after="0" w:line="240"/>
            </w:pPr>
            <w:r>
              <w:rPr>
                <w:sz w:val="20"/>
                <w:szCs w:val="20"/>
              </w:rPr>
              <w:t xml:space="preserve">DEMO-1</w:t>
            </w:r>
          </w:p>
        </w:tc>
        <w:tc>
          <w:tcPr>
            <w:tcW w:type="dxa" w:w="2500"/>
            <w:tcMar>
              <w:top w:type="dxa" w:w="60"/>
              <w:left w:type="dxa" w:w="100"/>
              <w:bottom w:type="dxa" w:w="60"/>
              <w:right w:type="dxa" w:w="100"/>
            </w:tcMar>
          </w:tcPr>
          <w:p>
            <w:pPr>
              <w:spacing w:after="0" w:line="240"/>
            </w:pPr>
            <w:r>
              <w:rPr>
                <w:sz w:val="20"/>
                <w:szCs w:val="20"/>
              </w:rPr>
              <w:t xml:space="preserve">Student contribution log</w:t>
            </w:r>
          </w:p>
        </w:tc>
        <w:tc>
          <w:tcPr>
            <w:tcW w:type="dxa" w:w="4526"/>
            <w:tcMar>
              <w:top w:type="dxa" w:w="60"/>
              <w:left w:type="dxa" w:w="100"/>
              <w:bottom w:type="dxa" w:w="60"/>
              <w:right w:type="dxa" w:w="100"/>
            </w:tcMar>
          </w:tcPr>
          <w:p>
            <w:pPr>
              <w:spacing w:after="0" w:line="240"/>
            </w:pPr>
            <w:r>
              <w:rPr>
                <w:sz w:val="20"/>
                <w:szCs w:val="20"/>
              </w:rPr>
              <w:t xml:space="preserve">Who built what, with proof and demo role</w:t>
            </w:r>
          </w:p>
        </w:tc>
        <w:tc>
          <w:tcPr>
            <w:tcW w:type="dxa" w:w="1100"/>
            <w:tcMar>
              <w:top w:type="dxa" w:w="60"/>
              <w:left w:type="dxa" w:w="100"/>
              <w:bottom w:type="dxa" w:w="60"/>
              <w:right w:type="dxa" w:w="100"/>
            </w:tcMar>
          </w:tcPr>
          <w:p>
            <w:pPr>
              <w:spacing w:after="0" w:line="240"/>
            </w:pPr>
            <w:r>
              <w:rPr>
                <w:sz w:val="20"/>
                <w:szCs w:val="20"/>
                <w:highlight w:val="yellow"/>
                <w:highlightCs w:val="yellow"/>
              </w:rPr>
              <w:t xml:space="preserve">[  ]</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BMIT3273 Cloud Computing Report Content Draft</dc:title>
  <dc:creator>BMIT3273 group</dc:creator>
  <cp:lastModifiedBy>Un-named</cp:lastModifiedBy>
  <cp:revision>1</cp:revision>
  <dcterms:created xsi:type="dcterms:W3CDTF">2026-09-01T03:21:55.555Z</dcterms:created>
  <dcterms:modified xsi:type="dcterms:W3CDTF">2026-09-01T03:21:55.555Z</dcterms:modified>
</cp:coreProperties>
</file>

<file path=docProps/custom.xml><?xml version="1.0" encoding="utf-8"?>
<Properties xmlns="http://schemas.openxmlformats.org/officeDocument/2006/custom-properties" xmlns:vt="http://schemas.openxmlformats.org/officeDocument/2006/docPropsVTypes"/>
</file>