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003CB" w14:textId="0A135DE8" w:rsidR="006C64B8" w:rsidRPr="00752A3D" w:rsidRDefault="002B55C1" w:rsidP="005C5EF3">
      <w:pPr>
        <w:jc w:val="both"/>
        <w:rPr>
          <w:b/>
        </w:rPr>
      </w:pPr>
      <w:proofErr w:type="gramStart"/>
      <w:r w:rsidRPr="00752A3D">
        <w:rPr>
          <w:b/>
        </w:rPr>
        <w:t>A Legitimately Interesting Decision?</w:t>
      </w:r>
      <w:proofErr w:type="gramEnd"/>
      <w:r w:rsidRPr="00752A3D">
        <w:rPr>
          <w:b/>
        </w:rPr>
        <w:t xml:space="preserve"> Penalty Clauses in the Supreme Court</w:t>
      </w:r>
      <w:r w:rsidR="007233A4">
        <w:rPr>
          <w:rStyle w:val="FootnoteReference"/>
          <w:b/>
        </w:rPr>
        <w:footnoteReference w:customMarkFollows="1" w:id="1"/>
        <w:t>*</w:t>
      </w:r>
    </w:p>
    <w:p w14:paraId="387003CE" w14:textId="77777777" w:rsidR="00CA4856" w:rsidRPr="00752A3D" w:rsidRDefault="00CA4856" w:rsidP="005C5EF3">
      <w:pPr>
        <w:jc w:val="both"/>
        <w:rPr>
          <w:b/>
        </w:rPr>
      </w:pPr>
    </w:p>
    <w:p w14:paraId="23907AAE" w14:textId="7E41F356" w:rsidR="00284562" w:rsidRDefault="00CA4856" w:rsidP="005C5EF3">
      <w:pPr>
        <w:jc w:val="both"/>
      </w:pPr>
      <w:r w:rsidRPr="00752A3D">
        <w:t xml:space="preserve">The joint appeals in </w:t>
      </w:r>
      <w:r w:rsidRPr="00752A3D">
        <w:rPr>
          <w:i/>
        </w:rPr>
        <w:t xml:space="preserve">Cavendish Square Holdings v El </w:t>
      </w:r>
      <w:proofErr w:type="spellStart"/>
      <w:r w:rsidRPr="00752A3D">
        <w:rPr>
          <w:i/>
        </w:rPr>
        <w:t>Makdessi</w:t>
      </w:r>
      <w:proofErr w:type="spellEnd"/>
      <w:r w:rsidRPr="00752A3D">
        <w:rPr>
          <w:i/>
        </w:rPr>
        <w:t xml:space="preserve"> </w:t>
      </w:r>
      <w:r w:rsidRPr="00752A3D">
        <w:t xml:space="preserve">and </w:t>
      </w:r>
      <w:r w:rsidRPr="00752A3D">
        <w:rPr>
          <w:i/>
        </w:rPr>
        <w:t>Beavis v ParkingEye</w:t>
      </w:r>
      <w:r w:rsidRPr="00752A3D">
        <w:rPr>
          <w:rStyle w:val="FootnoteReference"/>
        </w:rPr>
        <w:footnoteReference w:id="2"/>
      </w:r>
      <w:r w:rsidR="00BA44FE" w:rsidRPr="00752A3D">
        <w:rPr>
          <w:i/>
        </w:rPr>
        <w:t xml:space="preserve"> </w:t>
      </w:r>
      <w:r w:rsidR="00DC1657" w:rsidRPr="00752A3D">
        <w:t xml:space="preserve">offered the UK Supreme Court </w:t>
      </w:r>
      <w:r w:rsidR="00BA44FE" w:rsidRPr="00752A3D">
        <w:t xml:space="preserve">its first </w:t>
      </w:r>
      <w:r w:rsidR="003C3745">
        <w:t>occasion</w:t>
      </w:r>
      <w:r w:rsidR="00284562">
        <w:t xml:space="preserve"> - since moving across Parliament Square</w:t>
      </w:r>
      <w:r w:rsidR="00BA44FE" w:rsidRPr="00752A3D">
        <w:t xml:space="preserve"> </w:t>
      </w:r>
      <w:r w:rsidR="00284562">
        <w:t xml:space="preserve">- to consider the penalty doctrine.  </w:t>
      </w:r>
      <w:r w:rsidR="00284562" w:rsidRPr="00E15EEB">
        <w:t xml:space="preserve">The exercise of judicial control over contractually stipulated remedies has been long controversial, and the joint appeals </w:t>
      </w:r>
      <w:r w:rsidR="003C3745" w:rsidRPr="00E15EEB">
        <w:t xml:space="preserve">presented </w:t>
      </w:r>
      <w:r w:rsidR="00BB0DF3" w:rsidRPr="00E15EEB">
        <w:t>an</w:t>
      </w:r>
      <w:r w:rsidR="003C3745" w:rsidRPr="00E15EEB">
        <w:t xml:space="preserve"> opportunity to </w:t>
      </w:r>
      <w:r w:rsidR="00BB0DF3" w:rsidRPr="00E15EEB">
        <w:t xml:space="preserve">either </w:t>
      </w:r>
      <w:r w:rsidR="003C3745" w:rsidRPr="00E15EEB">
        <w:t xml:space="preserve">modernise its principles, </w:t>
      </w:r>
      <w:r w:rsidR="00284562" w:rsidRPr="00E15EEB">
        <w:t xml:space="preserve">or to repudiate </w:t>
      </w:r>
      <w:r w:rsidR="00E15EEB" w:rsidRPr="00E15EEB">
        <w:t xml:space="preserve">it </w:t>
      </w:r>
      <w:r w:rsidR="00284562" w:rsidRPr="00E15EEB">
        <w:t xml:space="preserve">from English law in its </w:t>
      </w:r>
      <w:r w:rsidR="003C3745" w:rsidRPr="00E15EEB">
        <w:t>entirety</w:t>
      </w:r>
      <w:r w:rsidR="00284562" w:rsidRPr="00E15EEB">
        <w:t>.</w:t>
      </w:r>
    </w:p>
    <w:p w14:paraId="0B9D874C" w14:textId="4C45C7B7" w:rsidR="00237E68" w:rsidRDefault="00284562" w:rsidP="003C3745">
      <w:pPr>
        <w:tabs>
          <w:tab w:val="left" w:pos="7147"/>
        </w:tabs>
      </w:pPr>
      <w:r>
        <w:tab/>
      </w:r>
    </w:p>
    <w:p w14:paraId="1C873F8B" w14:textId="77777777" w:rsidR="00237E68" w:rsidRPr="00752A3D" w:rsidRDefault="00237E68" w:rsidP="005C5EF3">
      <w:pPr>
        <w:pStyle w:val="ListParagraph"/>
        <w:numPr>
          <w:ilvl w:val="0"/>
          <w:numId w:val="3"/>
        </w:numPr>
        <w:jc w:val="both"/>
        <w:rPr>
          <w:b/>
        </w:rPr>
      </w:pPr>
      <w:r w:rsidRPr="00752A3D">
        <w:rPr>
          <w:b/>
        </w:rPr>
        <w:t>BACKGROUND</w:t>
      </w:r>
    </w:p>
    <w:p w14:paraId="43E7DEBA" w14:textId="77777777" w:rsidR="00237E68" w:rsidRDefault="00237E68" w:rsidP="005C5EF3">
      <w:pPr>
        <w:jc w:val="both"/>
      </w:pPr>
    </w:p>
    <w:p w14:paraId="29DAE6E0" w14:textId="6488EFC9" w:rsidR="00F1592C" w:rsidRDefault="009F5A9E" w:rsidP="005C5EF3">
      <w:pPr>
        <w:jc w:val="both"/>
      </w:pPr>
      <w:r>
        <w:t>For quite some time</w:t>
      </w:r>
      <w:r w:rsidR="007C2840">
        <w:t>, the law has</w:t>
      </w:r>
      <w:r>
        <w:t xml:space="preserve"> appeared relatively settled. </w:t>
      </w:r>
      <w:r w:rsidR="00994808">
        <w:t xml:space="preserve">The classic </w:t>
      </w:r>
      <w:r w:rsidR="007233A4">
        <w:t>test</w:t>
      </w:r>
      <w:r w:rsidR="00D17643">
        <w:t xml:space="preserve">, </w:t>
      </w:r>
      <w:r w:rsidR="00B03783">
        <w:t>encapsulated</w:t>
      </w:r>
      <w:r w:rsidR="00140150">
        <w:t xml:space="preserve"> in</w:t>
      </w:r>
      <w:r w:rsidR="00D17643">
        <w:t xml:space="preserve"> Viscount Dunedin’s speech in </w:t>
      </w:r>
      <w:r w:rsidR="00C019E7" w:rsidRPr="00140150">
        <w:rPr>
          <w:i/>
        </w:rPr>
        <w:t>Dunlop Pneumatic Tyre Co Ltd v New Garage and Motor Co Ltd</w:t>
      </w:r>
      <w:r w:rsidR="00140150">
        <w:t>,</w:t>
      </w:r>
      <w:r w:rsidR="00140150">
        <w:rPr>
          <w:rStyle w:val="FootnoteReference"/>
        </w:rPr>
        <w:footnoteReference w:id="3"/>
      </w:r>
      <w:r w:rsidR="007C3E1B">
        <w:t xml:space="preserve"> </w:t>
      </w:r>
      <w:r w:rsidR="004C5E4D">
        <w:t xml:space="preserve">hinged on whether or not the stipulated sum was arrived at </w:t>
      </w:r>
      <w:r w:rsidR="00863FD4">
        <w:t xml:space="preserve">through a genuine attempt to pre-estimate the </w:t>
      </w:r>
      <w:r w:rsidR="00E92F9C">
        <w:t>loss that</w:t>
      </w:r>
      <w:r w:rsidR="00863FD4">
        <w:t xml:space="preserve"> would e</w:t>
      </w:r>
      <w:r w:rsidR="00C14865">
        <w:t>n</w:t>
      </w:r>
      <w:r w:rsidR="00034673">
        <w:t>sue from breach</w:t>
      </w:r>
      <w:r w:rsidR="008E240C">
        <w:t xml:space="preserve"> of the related contractual </w:t>
      </w:r>
      <w:r w:rsidR="00591B3F">
        <w:t>term</w:t>
      </w:r>
      <w:r w:rsidR="008E240C">
        <w:t>.</w:t>
      </w:r>
      <w:r w:rsidR="00344741">
        <w:t xml:space="preserve"> If so</w:t>
      </w:r>
      <w:r w:rsidR="00034673">
        <w:t xml:space="preserve">, </w:t>
      </w:r>
      <w:r w:rsidR="00551E1D">
        <w:t>the clause would be enforceable</w:t>
      </w:r>
      <w:r w:rsidR="00164915">
        <w:t xml:space="preserve"> as</w:t>
      </w:r>
      <w:r w:rsidR="00551E1D">
        <w:t xml:space="preserve"> liquidated damages</w:t>
      </w:r>
      <w:r w:rsidR="007E3EB6">
        <w:t xml:space="preserve">; if not, </w:t>
      </w:r>
      <w:r w:rsidR="008B1F4F">
        <w:t xml:space="preserve">and the stipulated amount bore little relation to the actual loss, </w:t>
      </w:r>
      <w:r w:rsidR="00E822A9">
        <w:t>the clause would be unenforceable as a penalty.</w:t>
      </w:r>
      <w:r w:rsidR="00DF05CB">
        <w:t xml:space="preserve"> But in </w:t>
      </w:r>
      <w:r w:rsidR="00D91F61">
        <w:t xml:space="preserve">the </w:t>
      </w:r>
      <w:r w:rsidR="003D3EDF">
        <w:t>supervening century</w:t>
      </w:r>
      <w:r w:rsidR="00D91F61">
        <w:t xml:space="preserve"> </w:t>
      </w:r>
      <w:r w:rsidR="00A840D5">
        <w:t xml:space="preserve">at least two aspects of </w:t>
      </w:r>
      <w:r w:rsidR="00060F43">
        <w:t>this o</w:t>
      </w:r>
      <w:r w:rsidR="00591B3F">
        <w:t>rthodoxy have</w:t>
      </w:r>
      <w:r w:rsidR="003D3EDF">
        <w:t xml:space="preserve"> b</w:t>
      </w:r>
      <w:r w:rsidR="000C30E2">
        <w:t>een questioned. First,</w:t>
      </w:r>
      <w:r w:rsidR="00A430EA">
        <w:t xml:space="preserve"> </w:t>
      </w:r>
      <w:r>
        <w:t xml:space="preserve">the exclusive focus on </w:t>
      </w:r>
      <w:r w:rsidR="00B937FC">
        <w:t>loss</w:t>
      </w:r>
      <w:r w:rsidR="00F4455B">
        <w:t xml:space="preserve"> </w:t>
      </w:r>
      <w:r w:rsidR="00E92F9C">
        <w:t>may be myopic.</w:t>
      </w:r>
      <w:r w:rsidR="00B937FC">
        <w:t xml:space="preserve"> </w:t>
      </w:r>
      <w:r w:rsidR="00E92F9C">
        <w:t xml:space="preserve">There might be a good justification for a clause otherwise falling foul of the Dunedin formula, and the validity of this may be </w:t>
      </w:r>
      <w:r w:rsidR="00591B3F">
        <w:t>assessable</w:t>
      </w:r>
      <w:r w:rsidR="00E92F9C">
        <w:t xml:space="preserve"> </w:t>
      </w:r>
      <w:r w:rsidR="00B937FC">
        <w:t>by reference to some interest beyond the compensatory.</w:t>
      </w:r>
      <w:r w:rsidR="00E92F9C">
        <w:t xml:space="preserve"> </w:t>
      </w:r>
      <w:r w:rsidR="00A430EA">
        <w:t xml:space="preserve">Secondly, the </w:t>
      </w:r>
      <w:r w:rsidR="008140BF">
        <w:t>so-called breach limitation,</w:t>
      </w:r>
      <w:r w:rsidR="008140BF">
        <w:rPr>
          <w:rStyle w:val="FootnoteReference"/>
        </w:rPr>
        <w:footnoteReference w:id="4"/>
      </w:r>
      <w:r w:rsidR="00750761">
        <w:t xml:space="preserve"> confining the scope of the penalty rule to clauses triggered by a breach of contract, </w:t>
      </w:r>
      <w:r w:rsidR="001C2049">
        <w:t xml:space="preserve">has been </w:t>
      </w:r>
      <w:r w:rsidR="00750761">
        <w:t xml:space="preserve">often </w:t>
      </w:r>
      <w:r w:rsidR="006B187C">
        <w:t>denigrate</w:t>
      </w:r>
      <w:r w:rsidR="00F1592C">
        <w:t xml:space="preserve">d </w:t>
      </w:r>
      <w:r w:rsidR="008140BF">
        <w:t xml:space="preserve">as imperilling the doctrine’s protection by </w:t>
      </w:r>
      <w:r w:rsidR="00750761">
        <w:t>rendering</w:t>
      </w:r>
      <w:r w:rsidR="008140BF">
        <w:t xml:space="preserve"> it easily circumventable </w:t>
      </w:r>
      <w:r w:rsidR="00750761">
        <w:t xml:space="preserve">by </w:t>
      </w:r>
      <w:r w:rsidR="00FF2279">
        <w:t>adroit</w:t>
      </w:r>
      <w:r w:rsidR="00750761">
        <w:t xml:space="preserve"> drafting and contractual structuring.</w:t>
      </w:r>
    </w:p>
    <w:p w14:paraId="387003D4" w14:textId="7BF176BA" w:rsidR="0029520A" w:rsidRPr="00752A3D" w:rsidRDefault="00E34E97" w:rsidP="005C5EF3">
      <w:pPr>
        <w:ind w:left="720"/>
        <w:jc w:val="both"/>
        <w:rPr>
          <w:b/>
        </w:rPr>
      </w:pPr>
      <w:r w:rsidRPr="00752A3D">
        <w:rPr>
          <w:b/>
        </w:rPr>
        <w:br/>
        <w:t>B. FACTS</w:t>
      </w:r>
    </w:p>
    <w:p w14:paraId="387003D5" w14:textId="77777777" w:rsidR="0097386C" w:rsidRPr="00752A3D" w:rsidRDefault="0097386C" w:rsidP="005C5EF3">
      <w:pPr>
        <w:jc w:val="both"/>
        <w:rPr>
          <w:b/>
        </w:rPr>
      </w:pPr>
    </w:p>
    <w:p w14:paraId="387003D6" w14:textId="59BF15AB" w:rsidR="0097386C" w:rsidRPr="00752A3D" w:rsidRDefault="00750761" w:rsidP="005C5EF3">
      <w:pPr>
        <w:jc w:val="both"/>
      </w:pPr>
      <w:r>
        <w:t xml:space="preserve">These issues were brought to the fore in </w:t>
      </w:r>
      <w:r>
        <w:rPr>
          <w:i/>
        </w:rPr>
        <w:t>Cavendish</w:t>
      </w:r>
      <w:r>
        <w:t xml:space="preserve"> and </w:t>
      </w:r>
      <w:r>
        <w:rPr>
          <w:i/>
        </w:rPr>
        <w:t>Beavis</w:t>
      </w:r>
      <w:r w:rsidR="00DA791F">
        <w:t>. However, the</w:t>
      </w:r>
      <w:r>
        <w:t xml:space="preserve"> </w:t>
      </w:r>
      <w:r w:rsidR="0097386C" w:rsidRPr="00752A3D">
        <w:t>transactions</w:t>
      </w:r>
      <w:r w:rsidR="007F4BC1">
        <w:t xml:space="preserve"> in the two cases could not be more</w:t>
      </w:r>
      <w:r w:rsidR="00925B01">
        <w:t xml:space="preserve"> </w:t>
      </w:r>
      <w:r w:rsidR="00743D24">
        <w:t>different</w:t>
      </w:r>
      <w:r w:rsidR="0097386C" w:rsidRPr="00752A3D">
        <w:t xml:space="preserve">. </w:t>
      </w:r>
    </w:p>
    <w:p w14:paraId="387003D7" w14:textId="77777777" w:rsidR="00E34E97" w:rsidRPr="00752A3D" w:rsidRDefault="00E34E97" w:rsidP="005C5EF3">
      <w:pPr>
        <w:jc w:val="both"/>
        <w:rPr>
          <w:b/>
        </w:rPr>
      </w:pPr>
    </w:p>
    <w:p w14:paraId="387003D8" w14:textId="77777777" w:rsidR="0097386C" w:rsidRPr="00752A3D" w:rsidRDefault="00E34E97" w:rsidP="005C5EF3">
      <w:pPr>
        <w:pStyle w:val="ListParagraph"/>
        <w:numPr>
          <w:ilvl w:val="0"/>
          <w:numId w:val="1"/>
        </w:numPr>
        <w:jc w:val="both"/>
        <w:rPr>
          <w:i/>
        </w:rPr>
      </w:pPr>
      <w:r w:rsidRPr="00752A3D">
        <w:rPr>
          <w:i/>
        </w:rPr>
        <w:t xml:space="preserve">Cavendish Square Holdings v El Makdessi </w:t>
      </w:r>
    </w:p>
    <w:p w14:paraId="387003D9" w14:textId="77777777" w:rsidR="0097386C" w:rsidRPr="00752A3D" w:rsidRDefault="0097386C" w:rsidP="005C5EF3">
      <w:pPr>
        <w:jc w:val="both"/>
      </w:pPr>
    </w:p>
    <w:p w14:paraId="387003DB" w14:textId="693C0009" w:rsidR="0097386C" w:rsidRPr="00752A3D" w:rsidRDefault="0097386C" w:rsidP="005C5EF3">
      <w:pPr>
        <w:jc w:val="both"/>
      </w:pPr>
      <w:r w:rsidRPr="00752A3D">
        <w:t xml:space="preserve">Mr. Makdessi, a Lebanese businessman of considerable repute, </w:t>
      </w:r>
      <w:r w:rsidR="00743D24">
        <w:t>was at the helm of</w:t>
      </w:r>
      <w:r w:rsidR="00E07994">
        <w:t xml:space="preserve"> the largest </w:t>
      </w:r>
      <w:r w:rsidRPr="00752A3D">
        <w:t>communications group</w:t>
      </w:r>
      <w:r w:rsidR="00E07994">
        <w:t xml:space="preserve"> in the Middle East</w:t>
      </w:r>
      <w:r w:rsidRPr="00752A3D">
        <w:t>. He and his partner contracted to sell the majority of their stake in the group’s holding company to Cavendish</w:t>
      </w:r>
      <w:r w:rsidR="00591B3F">
        <w:t>.</w:t>
      </w:r>
      <w:r w:rsidRPr="00752A3D">
        <w:t xml:space="preserve"> A substantial element of the purchase price related to the goodwill surr</w:t>
      </w:r>
      <w:r w:rsidR="00F4771A">
        <w:t xml:space="preserve">ounding Mr. Makdessi. As his </w:t>
      </w:r>
      <w:r w:rsidR="00A84B39">
        <w:t>continuing loyalty</w:t>
      </w:r>
      <w:r w:rsidR="00F4771A">
        <w:t xml:space="preserve"> was integral</w:t>
      </w:r>
      <w:r w:rsidR="00A84B39">
        <w:t xml:space="preserve">, the agreement contained </w:t>
      </w:r>
      <w:r w:rsidR="00B077BB">
        <w:t xml:space="preserve">a </w:t>
      </w:r>
      <w:r w:rsidRPr="00752A3D">
        <w:t xml:space="preserve">series of </w:t>
      </w:r>
      <w:r w:rsidR="0043187E">
        <w:t>time</w:t>
      </w:r>
      <w:r w:rsidR="00B077BB">
        <w:t xml:space="preserve">-limited </w:t>
      </w:r>
      <w:r w:rsidRPr="00752A3D">
        <w:t>restrictive covenants precluding him from using his skills or contacts to compete with the business</w:t>
      </w:r>
      <w:r w:rsidR="00CD7D59">
        <w:t>.</w:t>
      </w:r>
      <w:r w:rsidRPr="00752A3D">
        <w:t xml:space="preserve"> </w:t>
      </w:r>
      <w:r w:rsidR="00CD7D59">
        <w:t>These</w:t>
      </w:r>
      <w:r w:rsidRPr="00752A3D">
        <w:t xml:space="preserve"> </w:t>
      </w:r>
      <w:r w:rsidR="00CD7D59">
        <w:t xml:space="preserve">were </w:t>
      </w:r>
      <w:r w:rsidR="00FC7F2E">
        <w:t xml:space="preserve">breached, triggering </w:t>
      </w:r>
      <w:r w:rsidR="00591B3F">
        <w:t xml:space="preserve">the </w:t>
      </w:r>
      <w:r w:rsidR="00FC7F2E">
        <w:t xml:space="preserve">two </w:t>
      </w:r>
      <w:r w:rsidR="00E7517C">
        <w:t>clauses</w:t>
      </w:r>
      <w:r w:rsidR="00591B3F">
        <w:t xml:space="preserve"> at issue</w:t>
      </w:r>
      <w:r w:rsidR="00E7517C">
        <w:t xml:space="preserve">. </w:t>
      </w:r>
      <w:r w:rsidR="00EE118F" w:rsidRPr="00752A3D">
        <w:t>Clause 5.1</w:t>
      </w:r>
      <w:r w:rsidR="0010204F">
        <w:t xml:space="preserve"> d</w:t>
      </w:r>
      <w:r w:rsidR="00EE118F" w:rsidRPr="00752A3D">
        <w:t xml:space="preserve">isentitled Makdessi, who had already received a substantial up-front sum, from receiving interim and final payments potentially </w:t>
      </w:r>
      <w:r w:rsidR="006C64B8" w:rsidRPr="00752A3D">
        <w:t>totalling</w:t>
      </w:r>
      <w:r w:rsidR="0053156F">
        <w:t xml:space="preserve"> $44</w:t>
      </w:r>
      <w:r w:rsidR="00591B3F">
        <w:t>,181,600.</w:t>
      </w:r>
      <w:r w:rsidR="0053156F">
        <w:t xml:space="preserve"> </w:t>
      </w:r>
      <w:r w:rsidR="00EE118F" w:rsidRPr="00752A3D">
        <w:t xml:space="preserve">Clause 5.6 </w:t>
      </w:r>
      <w:r w:rsidR="006C2F2D" w:rsidRPr="00752A3D">
        <w:t>would force</w:t>
      </w:r>
      <w:r w:rsidR="00EE118F" w:rsidRPr="00752A3D">
        <w:t xml:space="preserve"> him to sell his remaining stake in the holding company to Cavendish at a value excluding </w:t>
      </w:r>
      <w:r w:rsidR="00EE118F" w:rsidRPr="00752A3D">
        <w:lastRenderedPageBreak/>
        <w:t>goo</w:t>
      </w:r>
      <w:r w:rsidR="003F3B7C">
        <w:t>dwill, which was around 23% of t</w:t>
      </w:r>
      <w:r w:rsidR="00EE118F" w:rsidRPr="00752A3D">
        <w:t xml:space="preserve">he </w:t>
      </w:r>
      <w:r w:rsidR="004E6F4A">
        <w:t xml:space="preserve">total </w:t>
      </w:r>
      <w:r w:rsidR="00EE118F" w:rsidRPr="00752A3D">
        <w:t>value.</w:t>
      </w:r>
      <w:r w:rsidR="00FC7F2E">
        <w:t xml:space="preserve"> </w:t>
      </w:r>
      <w:r w:rsidR="003F3B7C">
        <w:t xml:space="preserve">When </w:t>
      </w:r>
      <w:r w:rsidR="00FC7F2E">
        <w:t>Cave</w:t>
      </w:r>
      <w:r w:rsidR="00E7517C">
        <w:t>ndish sought to enforce these</w:t>
      </w:r>
      <w:r w:rsidR="003F3B7C">
        <w:t xml:space="preserve">, they were met with the submission that both </w:t>
      </w:r>
      <w:r w:rsidR="00576579">
        <w:t xml:space="preserve">were unenforceable </w:t>
      </w:r>
      <w:r w:rsidR="00284562">
        <w:t>as penalty clauses</w:t>
      </w:r>
      <w:r w:rsidR="00576579">
        <w:t>. Burton J rejected that contention,</w:t>
      </w:r>
      <w:r w:rsidR="00071553" w:rsidRPr="00752A3D">
        <w:rPr>
          <w:rStyle w:val="FootnoteReference"/>
        </w:rPr>
        <w:footnoteReference w:id="5"/>
      </w:r>
      <w:r w:rsidR="00071553" w:rsidRPr="00752A3D">
        <w:t xml:space="preserve"> </w:t>
      </w:r>
      <w:r w:rsidR="00C07373">
        <w:t xml:space="preserve">but </w:t>
      </w:r>
      <w:r w:rsidR="00743D24">
        <w:t>his decision</w:t>
      </w:r>
      <w:r w:rsidR="00C07373">
        <w:t xml:space="preserve"> was reversed by the Court </w:t>
      </w:r>
      <w:r w:rsidR="002C2B4A">
        <w:t>of Appeal.</w:t>
      </w:r>
      <w:r w:rsidR="001603BA">
        <w:rPr>
          <w:rStyle w:val="FootnoteReference"/>
        </w:rPr>
        <w:footnoteReference w:id="6"/>
      </w:r>
      <w:r w:rsidR="007D50E6">
        <w:t xml:space="preserve"> </w:t>
      </w:r>
      <w:r w:rsidR="0003077E" w:rsidRPr="00752A3D">
        <w:t>The Supreme Court granted</w:t>
      </w:r>
      <w:r w:rsidR="00743D24">
        <w:t xml:space="preserve"> Cavendish</w:t>
      </w:r>
      <w:r w:rsidR="0003077E" w:rsidRPr="00752A3D">
        <w:t xml:space="preserve"> permission to appeal.</w:t>
      </w:r>
    </w:p>
    <w:p w14:paraId="387003DC" w14:textId="77777777" w:rsidR="0097386C" w:rsidRPr="00752A3D" w:rsidRDefault="0097386C" w:rsidP="005C5EF3">
      <w:pPr>
        <w:jc w:val="both"/>
      </w:pPr>
    </w:p>
    <w:p w14:paraId="387003DD" w14:textId="77777777" w:rsidR="00E34E97" w:rsidRPr="00752A3D" w:rsidRDefault="00E34E97" w:rsidP="005C5EF3">
      <w:pPr>
        <w:pStyle w:val="ListParagraph"/>
        <w:numPr>
          <w:ilvl w:val="0"/>
          <w:numId w:val="1"/>
        </w:numPr>
        <w:jc w:val="both"/>
        <w:rPr>
          <w:i/>
        </w:rPr>
      </w:pPr>
      <w:r w:rsidRPr="00752A3D">
        <w:rPr>
          <w:i/>
        </w:rPr>
        <w:t>Beavis v ParkingEye</w:t>
      </w:r>
    </w:p>
    <w:p w14:paraId="387003DE" w14:textId="77777777" w:rsidR="0097386C" w:rsidRPr="00752A3D" w:rsidRDefault="0097386C" w:rsidP="005C5EF3">
      <w:pPr>
        <w:jc w:val="both"/>
        <w:rPr>
          <w:i/>
        </w:rPr>
      </w:pPr>
    </w:p>
    <w:p w14:paraId="387003DF" w14:textId="6FA94BE9" w:rsidR="0097386C" w:rsidRPr="00752A3D" w:rsidRDefault="0097386C" w:rsidP="005C5EF3">
      <w:pPr>
        <w:jc w:val="both"/>
      </w:pPr>
      <w:r w:rsidRPr="00752A3D">
        <w:t xml:space="preserve">The British Airways Pension Fund </w:t>
      </w:r>
      <w:r w:rsidR="001D20D4" w:rsidRPr="00752A3D">
        <w:t xml:space="preserve">portfolio </w:t>
      </w:r>
      <w:r w:rsidRPr="00752A3D">
        <w:t>includes the Riverside Reta</w:t>
      </w:r>
      <w:r w:rsidR="005F3F3D" w:rsidRPr="00752A3D">
        <w:t xml:space="preserve">il Park in Chelmsford. The Fund selected </w:t>
      </w:r>
      <w:r w:rsidRPr="00752A3D">
        <w:t xml:space="preserve">ParkingEye </w:t>
      </w:r>
      <w:r w:rsidR="00146B1F">
        <w:t>to provide</w:t>
      </w:r>
      <w:r w:rsidRPr="00752A3D">
        <w:t xml:space="preserve"> car park management services</w:t>
      </w:r>
      <w:r w:rsidR="00D93E4A">
        <w:t>.</w:t>
      </w:r>
      <w:r w:rsidR="00146B1F">
        <w:t xml:space="preserve"> </w:t>
      </w:r>
      <w:r w:rsidRPr="00752A3D">
        <w:t xml:space="preserve">Those wishing to park their car could do so, for free, for two hours. Drivers exceeding that period would become liable </w:t>
      </w:r>
      <w:r w:rsidR="007474AF">
        <w:t>for</w:t>
      </w:r>
      <w:r w:rsidRPr="00752A3D">
        <w:t xml:space="preserve"> an £85 parking charge, </w:t>
      </w:r>
      <w:r w:rsidR="00514B3E" w:rsidRPr="00752A3D">
        <w:t>reducible</w:t>
      </w:r>
      <w:r w:rsidRPr="00752A3D">
        <w:t xml:space="preserve"> to £50 if paid within a fortnight. These charges were ParkingEye’s sole source of revenue; no fee was received from the </w:t>
      </w:r>
      <w:r w:rsidR="006C09C7" w:rsidRPr="00752A3D">
        <w:t>landowner</w:t>
      </w:r>
      <w:r w:rsidR="000B33BB" w:rsidRPr="00752A3D">
        <w:t>s</w:t>
      </w:r>
      <w:r w:rsidR="006C09C7" w:rsidRPr="00752A3D">
        <w:t xml:space="preserve"> or those returning</w:t>
      </w:r>
      <w:r w:rsidR="00B349B2" w:rsidRPr="00752A3D">
        <w:t xml:space="preserve"> to their cars</w:t>
      </w:r>
      <w:r w:rsidR="006C09C7" w:rsidRPr="00752A3D">
        <w:t xml:space="preserve"> </w:t>
      </w:r>
      <w:r w:rsidR="00B349B2" w:rsidRPr="00752A3D">
        <w:t>on time</w:t>
      </w:r>
      <w:r w:rsidR="00146B1F">
        <w:t>.  Mr Beavis was not so prompt, over-parking</w:t>
      </w:r>
      <w:r w:rsidRPr="00752A3D">
        <w:t xml:space="preserve"> for fifty-six minutes. He received a parking charge notice, which he ignored. Eventually, ParkingEye raised a small claim a</w:t>
      </w:r>
      <w:r w:rsidR="00C61311" w:rsidRPr="00752A3D">
        <w:t>gainst him in the County Co</w:t>
      </w:r>
      <w:r w:rsidR="007474AF">
        <w:t>urt, which was</w:t>
      </w:r>
      <w:r w:rsidR="00303F8D">
        <w:t xml:space="preserve"> successful. Beavis</w:t>
      </w:r>
      <w:r w:rsidR="00842CE2">
        <w:t xml:space="preserve">’s appeal </w:t>
      </w:r>
      <w:r w:rsidR="0003077E" w:rsidRPr="00752A3D">
        <w:t>failed</w:t>
      </w:r>
      <w:r w:rsidR="00C61311" w:rsidRPr="00752A3D">
        <w:t xml:space="preserve"> </w:t>
      </w:r>
      <w:r w:rsidR="0003077E" w:rsidRPr="00752A3D">
        <w:t>in the</w:t>
      </w:r>
      <w:r w:rsidR="00C61311" w:rsidRPr="00752A3D">
        <w:t xml:space="preserve"> Court of Appeal,</w:t>
      </w:r>
      <w:r w:rsidR="0003077E" w:rsidRPr="00752A3D">
        <w:rPr>
          <w:rStyle w:val="FootnoteReference"/>
        </w:rPr>
        <w:footnoteReference w:id="7"/>
      </w:r>
      <w:r w:rsidR="00C61311" w:rsidRPr="00752A3D">
        <w:t xml:space="preserve"> but</w:t>
      </w:r>
      <w:r w:rsidR="0003077E" w:rsidRPr="00752A3D">
        <w:t xml:space="preserve"> </w:t>
      </w:r>
      <w:r w:rsidR="00743D24">
        <w:t xml:space="preserve">Beavis </w:t>
      </w:r>
      <w:r w:rsidR="00842CE2">
        <w:t>obtained</w:t>
      </w:r>
      <w:r w:rsidR="00C61311" w:rsidRPr="00752A3D">
        <w:t xml:space="preserve"> </w:t>
      </w:r>
      <w:r w:rsidR="00842CE2">
        <w:t>leave</w:t>
      </w:r>
      <w:r w:rsidR="00573716">
        <w:t xml:space="preserve"> to appeal to the Supreme Court, </w:t>
      </w:r>
      <w:r w:rsidR="00842CE2">
        <w:t xml:space="preserve">which joined </w:t>
      </w:r>
      <w:r w:rsidR="00657236">
        <w:t>his appeal with that in</w:t>
      </w:r>
      <w:r w:rsidR="0003077E" w:rsidRPr="00752A3D">
        <w:t xml:space="preserve"> </w:t>
      </w:r>
      <w:r w:rsidR="0003077E" w:rsidRPr="00752A3D">
        <w:rPr>
          <w:i/>
        </w:rPr>
        <w:t>Cavendish</w:t>
      </w:r>
      <w:r w:rsidR="0003077E" w:rsidRPr="00752A3D">
        <w:t>.</w:t>
      </w:r>
      <w:r w:rsidR="00807AC9">
        <w:rPr>
          <w:rStyle w:val="FootnoteReference"/>
        </w:rPr>
        <w:footnoteReference w:id="8"/>
      </w:r>
    </w:p>
    <w:p w14:paraId="387003E1" w14:textId="741F7C34" w:rsidR="00E34E97" w:rsidRPr="00752A3D" w:rsidRDefault="00573716" w:rsidP="005C5EF3">
      <w:pPr>
        <w:jc w:val="both"/>
        <w:rPr>
          <w:i/>
        </w:rPr>
      </w:pPr>
      <w:r>
        <w:rPr>
          <w:i/>
        </w:rPr>
        <w:t xml:space="preserve"> </w:t>
      </w:r>
    </w:p>
    <w:p w14:paraId="387003E2" w14:textId="07C2179A" w:rsidR="00E34E97" w:rsidRPr="00752A3D" w:rsidRDefault="00E34E97" w:rsidP="005C5EF3">
      <w:pPr>
        <w:jc w:val="both"/>
        <w:rPr>
          <w:b/>
        </w:rPr>
      </w:pPr>
      <w:r w:rsidRPr="00752A3D">
        <w:rPr>
          <w:b/>
        </w:rPr>
        <w:t>C. THE DECISION: GENERAL PRINCIPLES</w:t>
      </w:r>
    </w:p>
    <w:p w14:paraId="387003E3" w14:textId="77777777" w:rsidR="00E34E97" w:rsidRPr="00752A3D" w:rsidRDefault="00E34E97" w:rsidP="005C5EF3">
      <w:pPr>
        <w:jc w:val="both"/>
        <w:rPr>
          <w:b/>
        </w:rPr>
      </w:pPr>
    </w:p>
    <w:p w14:paraId="387003E4" w14:textId="77777777" w:rsidR="00E34E97" w:rsidRPr="00752A3D" w:rsidRDefault="00E34E97" w:rsidP="005C5EF3">
      <w:pPr>
        <w:pStyle w:val="ListParagraph"/>
        <w:numPr>
          <w:ilvl w:val="0"/>
          <w:numId w:val="2"/>
        </w:numPr>
        <w:jc w:val="both"/>
        <w:rPr>
          <w:i/>
        </w:rPr>
      </w:pPr>
      <w:r w:rsidRPr="00752A3D">
        <w:t>The penalty doctrine retained</w:t>
      </w:r>
    </w:p>
    <w:p w14:paraId="387003E5" w14:textId="77777777" w:rsidR="00374CA9" w:rsidRPr="00752A3D" w:rsidRDefault="00374CA9" w:rsidP="005C5EF3">
      <w:pPr>
        <w:jc w:val="both"/>
        <w:rPr>
          <w:i/>
        </w:rPr>
      </w:pPr>
    </w:p>
    <w:p w14:paraId="1005673A" w14:textId="77777777" w:rsidR="0066727E" w:rsidRDefault="008838FE" w:rsidP="005C5EF3">
      <w:pPr>
        <w:jc w:val="both"/>
      </w:pPr>
      <w:r w:rsidRPr="00752A3D">
        <w:t xml:space="preserve">Cavendish’s </w:t>
      </w:r>
      <w:r w:rsidR="002F26AA" w:rsidRPr="00752A3D">
        <w:t>counsel took the bold step of inviting the Supreme Court to abrogate the penalty doctrine, or at least</w:t>
      </w:r>
      <w:r w:rsidR="00120944" w:rsidRPr="00752A3D">
        <w:t xml:space="preserve"> to</w:t>
      </w:r>
      <w:r w:rsidR="002F26AA" w:rsidRPr="00752A3D">
        <w:t xml:space="preserve"> hold that it had no applicability in the context of high-powered commercial actors</w:t>
      </w:r>
      <w:r w:rsidR="00432A43" w:rsidRPr="00752A3D">
        <w:t xml:space="preserve"> </w:t>
      </w:r>
      <w:r w:rsidR="0066727E">
        <w:t>who have easy access to</w:t>
      </w:r>
      <w:r w:rsidR="00432A43" w:rsidRPr="00752A3D">
        <w:t xml:space="preserve"> legal advice.</w:t>
      </w:r>
      <w:r w:rsidR="007D717C">
        <w:t xml:space="preserve"> </w:t>
      </w:r>
      <w:r w:rsidR="00BD1766">
        <w:t xml:space="preserve">Each of the Justices </w:t>
      </w:r>
      <w:r w:rsidR="005722C3">
        <w:t xml:space="preserve">rejected </w:t>
      </w:r>
      <w:r w:rsidR="00F41C93">
        <w:t>any inroads into the general application of the doctrine.</w:t>
      </w:r>
      <w:r w:rsidR="00180612">
        <w:t xml:space="preserve"> Those seeking for a principled </w:t>
      </w:r>
      <w:r w:rsidR="00622207">
        <w:t xml:space="preserve">justification for its continued operation </w:t>
      </w:r>
      <w:r w:rsidR="00BC47C7">
        <w:t>are, with respect, liable to be disappointed.</w:t>
      </w:r>
    </w:p>
    <w:p w14:paraId="7A7B85A1" w14:textId="77777777" w:rsidR="00063732" w:rsidRDefault="00063732" w:rsidP="005C5EF3">
      <w:pPr>
        <w:jc w:val="both"/>
      </w:pPr>
    </w:p>
    <w:p w14:paraId="290BAA91" w14:textId="42BDEABF" w:rsidR="00AC7A50" w:rsidRDefault="00BC47C7" w:rsidP="005C5EF3">
      <w:pPr>
        <w:jc w:val="both"/>
      </w:pPr>
      <w:r>
        <w:t xml:space="preserve"> In their joint judgment,</w:t>
      </w:r>
      <w:r w:rsidR="00AF08F8">
        <w:rPr>
          <w:rStyle w:val="FootnoteReference"/>
        </w:rPr>
        <w:footnoteReference w:id="9"/>
      </w:r>
      <w:r>
        <w:t xml:space="preserve"> Lord Neuberger PSC and Lord Sumption JSC</w:t>
      </w:r>
      <w:r w:rsidR="00757C55">
        <w:t xml:space="preserve"> confessed that</w:t>
      </w:r>
      <w:r w:rsidR="00CD4C57">
        <w:t xml:space="preserve"> the penalty rule would likely not be developed if the modern judiciary were wo</w:t>
      </w:r>
      <w:r w:rsidR="00F8613C">
        <w:t>rking from a blank canvas,</w:t>
      </w:r>
      <w:r w:rsidR="00D627A5">
        <w:t xml:space="preserve"> </w:t>
      </w:r>
      <w:r w:rsidR="00960CC7">
        <w:t xml:space="preserve">and </w:t>
      </w:r>
      <w:r w:rsidR="00C06DE1">
        <w:t xml:space="preserve">their </w:t>
      </w:r>
      <w:r w:rsidR="00960CC7">
        <w:t>objections to</w:t>
      </w:r>
      <w:r w:rsidR="00B64051">
        <w:t xml:space="preserve"> </w:t>
      </w:r>
      <w:r w:rsidR="00B64051" w:rsidRPr="0066727E">
        <w:t>abrogation</w:t>
      </w:r>
      <w:r w:rsidR="00B64051">
        <w:t xml:space="preserve"> arose merely</w:t>
      </w:r>
      <w:r w:rsidR="00C06DE1">
        <w:t xml:space="preserve"> out of fidelity to precedent and</w:t>
      </w:r>
      <w:r w:rsidR="00FB57F9">
        <w:t xml:space="preserve"> </w:t>
      </w:r>
      <w:proofErr w:type="gramStart"/>
      <w:r w:rsidR="00FB57F9">
        <w:t>a</w:t>
      </w:r>
      <w:r w:rsidR="00C06DE1">
        <w:t xml:space="preserve"> </w:t>
      </w:r>
      <w:r w:rsidR="0066727E">
        <w:t>distaste</w:t>
      </w:r>
      <w:proofErr w:type="gramEnd"/>
      <w:r w:rsidR="00C06DE1">
        <w:t xml:space="preserve"> for judicial legislation.</w:t>
      </w:r>
      <w:r w:rsidR="00B64051">
        <w:rPr>
          <w:rStyle w:val="FootnoteReference"/>
        </w:rPr>
        <w:footnoteReference w:id="10"/>
      </w:r>
      <w:r w:rsidR="007D717C">
        <w:t xml:space="preserve"> Lord </w:t>
      </w:r>
      <w:proofErr w:type="spellStart"/>
      <w:r w:rsidR="007D717C">
        <w:t>Mance</w:t>
      </w:r>
      <w:proofErr w:type="spellEnd"/>
      <w:r w:rsidR="007D717C">
        <w:t xml:space="preserve"> JSC shared these concerns</w:t>
      </w:r>
      <w:r w:rsidR="00FE0A0A">
        <w:t>,</w:t>
      </w:r>
      <w:r w:rsidR="001A2829">
        <w:rPr>
          <w:rStyle w:val="FootnoteReference"/>
        </w:rPr>
        <w:footnoteReference w:id="11"/>
      </w:r>
      <w:r w:rsidR="00AF08F8">
        <w:t xml:space="preserve"> </w:t>
      </w:r>
      <w:r w:rsidR="007A4475">
        <w:t>but also considered</w:t>
      </w:r>
      <w:r w:rsidR="0066727E">
        <w:t>, in light of the ubiquity of the doctrine across both civil law</w:t>
      </w:r>
      <w:r w:rsidR="0066727E">
        <w:rPr>
          <w:rStyle w:val="FootnoteReference"/>
        </w:rPr>
        <w:footnoteReference w:id="12"/>
      </w:r>
      <w:r w:rsidR="0066727E">
        <w:t xml:space="preserve"> and common law</w:t>
      </w:r>
      <w:r w:rsidR="0066727E">
        <w:rPr>
          <w:rStyle w:val="FootnoteReference"/>
        </w:rPr>
        <w:footnoteReference w:id="13"/>
      </w:r>
      <w:r w:rsidR="0066727E">
        <w:t xml:space="preserve"> systems, </w:t>
      </w:r>
      <w:r w:rsidR="0066727E" w:rsidRPr="0066727E">
        <w:rPr>
          <w:rStyle w:val="FootnoteReference"/>
        </w:rPr>
        <w:t xml:space="preserve"> </w:t>
      </w:r>
      <w:r w:rsidR="0066727E">
        <w:t xml:space="preserve">and its retention in </w:t>
      </w:r>
      <w:r w:rsidR="0066727E">
        <w:lastRenderedPageBreak/>
        <w:t>proposals</w:t>
      </w:r>
      <w:r w:rsidR="0066727E" w:rsidRPr="0066727E">
        <w:t xml:space="preserve"> </w:t>
      </w:r>
      <w:r w:rsidR="0066727E">
        <w:t>for harmonisation,</w:t>
      </w:r>
      <w:r w:rsidR="0066727E">
        <w:rPr>
          <w:rStyle w:val="FootnoteReference"/>
        </w:rPr>
        <w:footnoteReference w:id="14"/>
      </w:r>
      <w:r w:rsidR="0066727E">
        <w:t xml:space="preserve">  that it would be “odd… if the United Kingdom [sic] separated itself from so general a consensus.”</w:t>
      </w:r>
      <w:r w:rsidR="0066727E">
        <w:rPr>
          <w:rStyle w:val="FootnoteReference"/>
        </w:rPr>
        <w:footnoteReference w:id="15"/>
      </w:r>
      <w:r w:rsidR="0066727E">
        <w:t xml:space="preserve"> </w:t>
      </w:r>
      <w:r w:rsidR="000F33E9">
        <w:t xml:space="preserve">Lord Hodge JSC was similarly impressed by the </w:t>
      </w:r>
      <w:r w:rsidR="007474AF">
        <w:t>apparent universality</w:t>
      </w:r>
      <w:r w:rsidR="000F33E9">
        <w:t xml:space="preserve"> of</w:t>
      </w:r>
      <w:r w:rsidR="007474AF">
        <w:t xml:space="preserve"> the</w:t>
      </w:r>
      <w:r w:rsidR="000F33E9">
        <w:t xml:space="preserve"> </w:t>
      </w:r>
      <w:r w:rsidR="00FE0A0A">
        <w:t>rule against penalties</w:t>
      </w:r>
      <w:r w:rsidR="00AC7A50">
        <w:t>,</w:t>
      </w:r>
      <w:r w:rsidR="00F1797D">
        <w:rPr>
          <w:rStyle w:val="FootnoteReference"/>
        </w:rPr>
        <w:footnoteReference w:id="16"/>
      </w:r>
      <w:r w:rsidR="00AC7A50">
        <w:t xml:space="preserve"> </w:t>
      </w:r>
      <w:r w:rsidR="00A15285">
        <w:t>and thought, as did Lord Mance,</w:t>
      </w:r>
      <w:r w:rsidR="00F66541">
        <w:rPr>
          <w:rStyle w:val="FootnoteReference"/>
        </w:rPr>
        <w:footnoteReference w:id="17"/>
      </w:r>
      <w:r w:rsidR="00A15285">
        <w:t xml:space="preserve"> that the statutory </w:t>
      </w:r>
      <w:r w:rsidR="00F8613C">
        <w:t xml:space="preserve">control of </w:t>
      </w:r>
      <w:r w:rsidR="00FD2AE1">
        <w:t>contract terms covered t</w:t>
      </w:r>
      <w:r w:rsidR="002C0765">
        <w:t>o</w:t>
      </w:r>
      <w:r w:rsidR="00FD2AE1">
        <w:t xml:space="preserve">o narrow a field to </w:t>
      </w:r>
      <w:r w:rsidR="00004C52">
        <w:t>guard against all potential instances of oppression.</w:t>
      </w:r>
      <w:r w:rsidR="00F66541">
        <w:rPr>
          <w:rStyle w:val="FootnoteReference"/>
        </w:rPr>
        <w:footnoteReference w:id="18"/>
      </w:r>
      <w:r w:rsidR="0066727E">
        <w:t xml:space="preserve"> </w:t>
      </w:r>
    </w:p>
    <w:p w14:paraId="387003E9" w14:textId="77777777" w:rsidR="00432A43" w:rsidRPr="00752A3D" w:rsidRDefault="00432A43" w:rsidP="005C5EF3">
      <w:pPr>
        <w:jc w:val="both"/>
      </w:pPr>
    </w:p>
    <w:p w14:paraId="387003EA" w14:textId="77777777" w:rsidR="00E34E97" w:rsidRPr="00752A3D" w:rsidRDefault="00E34E97" w:rsidP="005C5EF3">
      <w:pPr>
        <w:pStyle w:val="ListParagraph"/>
        <w:numPr>
          <w:ilvl w:val="0"/>
          <w:numId w:val="2"/>
        </w:numPr>
        <w:jc w:val="both"/>
        <w:rPr>
          <w:i/>
        </w:rPr>
      </w:pPr>
      <w:r w:rsidRPr="00752A3D">
        <w:t>The breach limitation affirmed</w:t>
      </w:r>
    </w:p>
    <w:p w14:paraId="387003EB" w14:textId="77777777" w:rsidR="00374CA9" w:rsidRPr="00752A3D" w:rsidRDefault="00374CA9" w:rsidP="0066727E">
      <w:pPr>
        <w:jc w:val="right"/>
        <w:rPr>
          <w:i/>
        </w:rPr>
      </w:pPr>
    </w:p>
    <w:p w14:paraId="0F436448" w14:textId="3AD1510A" w:rsidR="00BC0D25" w:rsidRDefault="0004417C" w:rsidP="005C5EF3">
      <w:pPr>
        <w:jc w:val="both"/>
      </w:pPr>
      <w:r w:rsidRPr="00752A3D">
        <w:t xml:space="preserve">Contrastingly, counsel for Mr Makdessi </w:t>
      </w:r>
      <w:r w:rsidR="008F4DCA" w:rsidRPr="00752A3D">
        <w:t xml:space="preserve">urged </w:t>
      </w:r>
      <w:r w:rsidR="00050351">
        <w:t xml:space="preserve">a </w:t>
      </w:r>
      <w:r w:rsidR="008F4DCA" w:rsidRPr="00752A3D">
        <w:t xml:space="preserve">substantial </w:t>
      </w:r>
      <w:r w:rsidR="00050351">
        <w:t>extension of</w:t>
      </w:r>
      <w:r w:rsidR="009B2CE9">
        <w:t xml:space="preserve"> the penalty doctrine by </w:t>
      </w:r>
      <w:r w:rsidR="00050351">
        <w:t>the removal of</w:t>
      </w:r>
      <w:r w:rsidR="009B2CE9">
        <w:t xml:space="preserve"> the breach limitation. </w:t>
      </w:r>
      <w:r w:rsidR="003D5BE0">
        <w:t xml:space="preserve">To do so would be to follow the High Court of Australia </w:t>
      </w:r>
      <w:r w:rsidR="009B2CE9">
        <w:t xml:space="preserve">in </w:t>
      </w:r>
      <w:proofErr w:type="gramStart"/>
      <w:r w:rsidR="009B2CE9">
        <w:rPr>
          <w:i/>
        </w:rPr>
        <w:t>Andrews</w:t>
      </w:r>
      <w:proofErr w:type="gramEnd"/>
      <w:r w:rsidR="009B2CE9">
        <w:rPr>
          <w:i/>
        </w:rPr>
        <w:t xml:space="preserve"> v Australian and New Zealand Banking Group</w:t>
      </w:r>
      <w:r w:rsidR="003D5BE0">
        <w:rPr>
          <w:i/>
        </w:rPr>
        <w:t>.</w:t>
      </w:r>
      <w:r w:rsidR="009B2CE9" w:rsidRPr="009B2CE9">
        <w:rPr>
          <w:rStyle w:val="FootnoteReference"/>
        </w:rPr>
        <w:footnoteReference w:id="19"/>
      </w:r>
      <w:r w:rsidR="009B2CE9">
        <w:t xml:space="preserve"> </w:t>
      </w:r>
      <w:r w:rsidR="003D5BE0">
        <w:t xml:space="preserve">The </w:t>
      </w:r>
      <w:r w:rsidR="00050351">
        <w:t xml:space="preserve">Supreme </w:t>
      </w:r>
      <w:r w:rsidR="003D5BE0">
        <w:t xml:space="preserve">Court declined </w:t>
      </w:r>
      <w:r w:rsidR="00050351">
        <w:t>to go down that same path</w:t>
      </w:r>
      <w:r w:rsidR="003D5BE0">
        <w:t>.</w:t>
      </w:r>
      <w:r w:rsidR="000E245D">
        <w:t xml:space="preserve"> The High Court of Australia’s </w:t>
      </w:r>
      <w:r w:rsidR="001F15BB">
        <w:t>analysis</w:t>
      </w:r>
      <w:r w:rsidR="000E245D">
        <w:t xml:space="preserve"> </w:t>
      </w:r>
      <w:r w:rsidR="004814DF">
        <w:t>confirmed the</w:t>
      </w:r>
      <w:r w:rsidR="001F15BB">
        <w:t xml:space="preserve"> continuing</w:t>
      </w:r>
      <w:r w:rsidR="000E245D">
        <w:t xml:space="preserve"> existence of </w:t>
      </w:r>
      <w:r w:rsidR="004814DF">
        <w:t>a wider</w:t>
      </w:r>
      <w:r w:rsidR="000E245D">
        <w:t xml:space="preserve"> equitable jurisdiction</w:t>
      </w:r>
      <w:r w:rsidR="001F15BB">
        <w:t xml:space="preserve">. </w:t>
      </w:r>
      <w:r w:rsidR="00574F45">
        <w:t>But</w:t>
      </w:r>
      <w:r w:rsidR="00DA25B6">
        <w:t>, for Lords Neuberger and Sumption,</w:t>
      </w:r>
      <w:r w:rsidR="00574F45">
        <w:t xml:space="preserve"> that conclusion was </w:t>
      </w:r>
      <w:r w:rsidR="00DA25B6">
        <w:t>historically inaccurate</w:t>
      </w:r>
      <w:r w:rsidR="004814DF">
        <w:t xml:space="preserve"> </w:t>
      </w:r>
      <w:r w:rsidR="00DA25B6">
        <w:t>and</w:t>
      </w:r>
      <w:r w:rsidR="00574F45">
        <w:t xml:space="preserve"> </w:t>
      </w:r>
      <w:r w:rsidR="004814DF">
        <w:t>predicated on</w:t>
      </w:r>
      <w:r w:rsidR="00574F45">
        <w:t xml:space="preserve"> a rejection o</w:t>
      </w:r>
      <w:r w:rsidR="004814DF">
        <w:t>f the fusion of law and equity.</w:t>
      </w:r>
      <w:r w:rsidR="004814DF">
        <w:rPr>
          <w:rStyle w:val="FootnoteReference"/>
        </w:rPr>
        <w:footnoteReference w:id="20"/>
      </w:r>
      <w:r w:rsidR="004814DF">
        <w:t xml:space="preserve"> </w:t>
      </w:r>
      <w:r w:rsidR="00574F45">
        <w:t xml:space="preserve">There was no convincing evidence of a continuing equitable jurisdiction in English law, and the fact that the breach limitation existed in Scotland </w:t>
      </w:r>
      <w:r w:rsidR="004814DF">
        <w:t>– where law and equity have never been considered separate</w:t>
      </w:r>
      <w:r w:rsidR="00DA25B6">
        <w:t>–</w:t>
      </w:r>
      <w:r w:rsidR="00574F45">
        <w:t xml:space="preserve"> </w:t>
      </w:r>
      <w:r w:rsidR="00DA25B6">
        <w:t xml:space="preserve">was thought to justify its existence </w:t>
      </w:r>
      <w:r w:rsidR="007474AF">
        <w:t>south of the border</w:t>
      </w:r>
      <w:r w:rsidR="00DA25B6">
        <w:t>.</w:t>
      </w:r>
      <w:r w:rsidR="00D835E4">
        <w:rPr>
          <w:rStyle w:val="FootnoteReference"/>
        </w:rPr>
        <w:footnoteReference w:id="21"/>
      </w:r>
      <w:r w:rsidR="00D835E4">
        <w:t xml:space="preserve"> </w:t>
      </w:r>
      <w:r w:rsidR="00BC0D25">
        <w:t xml:space="preserve">Lords </w:t>
      </w:r>
      <w:r w:rsidR="00D835E4">
        <w:t>Hodge</w:t>
      </w:r>
      <w:r w:rsidR="00D835E4">
        <w:rPr>
          <w:rStyle w:val="FootnoteReference"/>
        </w:rPr>
        <w:footnoteReference w:id="22"/>
      </w:r>
      <w:r w:rsidR="00BC0D25">
        <w:t xml:space="preserve"> and </w:t>
      </w:r>
      <w:r w:rsidR="00D835E4">
        <w:t>Mance</w:t>
      </w:r>
      <w:r w:rsidR="00D835E4">
        <w:rPr>
          <w:rStyle w:val="FootnoteReference"/>
        </w:rPr>
        <w:footnoteReference w:id="23"/>
      </w:r>
      <w:r w:rsidR="00BC0D25">
        <w:t xml:space="preserve"> did not consider this issue necessary for the disposal of the appeals</w:t>
      </w:r>
      <w:r w:rsidR="00D835E4">
        <w:t>, but the latter did not see the retention of the breach limitation as necessarily irrational.</w:t>
      </w:r>
      <w:r w:rsidR="00D835E4">
        <w:rPr>
          <w:rStyle w:val="FootnoteReference"/>
        </w:rPr>
        <w:footnoteReference w:id="24"/>
      </w:r>
      <w:r w:rsidR="00D835E4">
        <w:t xml:space="preserve"> </w:t>
      </w:r>
    </w:p>
    <w:p w14:paraId="3B546E35" w14:textId="77777777" w:rsidR="00FE0A0A" w:rsidRDefault="00FE0A0A" w:rsidP="005C5EF3">
      <w:pPr>
        <w:jc w:val="both"/>
      </w:pPr>
    </w:p>
    <w:p w14:paraId="49F218FF" w14:textId="30DF73FA" w:rsidR="00E43A4D" w:rsidRDefault="00FE0A0A" w:rsidP="005C5EF3">
      <w:pPr>
        <w:jc w:val="both"/>
      </w:pPr>
      <w:r>
        <w:t xml:space="preserve">None of these arguments offer a positive, non-historical, justification for the continued operation of the breach limitation. However, it is submitted that </w:t>
      </w:r>
      <w:r w:rsidR="001D300F">
        <w:t xml:space="preserve">the Supreme Court was correct to be wary of removing that limitation by judicial fiat. </w:t>
      </w:r>
      <w:r w:rsidR="005C5EF3">
        <w:t xml:space="preserve">To do so would have rendered every clause in every contract potentially reviewable, which would have necessitated widespread review, re-negotiation, and revision. </w:t>
      </w:r>
    </w:p>
    <w:p w14:paraId="4656E548" w14:textId="77777777" w:rsidR="00E43A4D" w:rsidRDefault="00E43A4D" w:rsidP="005C5EF3">
      <w:pPr>
        <w:jc w:val="both"/>
      </w:pPr>
    </w:p>
    <w:p w14:paraId="665FD32C" w14:textId="389D87E3" w:rsidR="003D21E2" w:rsidRPr="00752A3D" w:rsidRDefault="001A391D" w:rsidP="005C5EF3">
      <w:pPr>
        <w:jc w:val="both"/>
      </w:pPr>
      <w:r>
        <w:t>The Sup</w:t>
      </w:r>
      <w:r w:rsidR="00B16678">
        <w:t>reme Court delineated the applicability of the penalty doctrine in terms of primary and secondary obligations.</w:t>
      </w:r>
      <w:r w:rsidR="003D21E2">
        <w:rPr>
          <w:rStyle w:val="FootnoteReference"/>
        </w:rPr>
        <w:footnoteReference w:id="25"/>
      </w:r>
      <w:r w:rsidR="00F2300D">
        <w:t xml:space="preserve"> </w:t>
      </w:r>
      <w:r w:rsidR="00B16678">
        <w:t xml:space="preserve">A primary obligation, </w:t>
      </w:r>
      <w:r w:rsidR="00F2300D">
        <w:t xml:space="preserve">being </w:t>
      </w:r>
      <w:r w:rsidR="00B16678">
        <w:t>one</w:t>
      </w:r>
      <w:r w:rsidR="00F2300D">
        <w:t xml:space="preserve"> to tender some form of performance</w:t>
      </w:r>
      <w:r w:rsidR="00C42973">
        <w:t xml:space="preserve"> under the terms of the contract</w:t>
      </w:r>
      <w:r w:rsidR="00B16678">
        <w:t xml:space="preserve">, </w:t>
      </w:r>
      <w:r w:rsidR="00C42973">
        <w:t>will</w:t>
      </w:r>
      <w:r w:rsidR="00B16678">
        <w:t xml:space="preserve"> not be reviewable, but </w:t>
      </w:r>
      <w:r w:rsidR="00F2300D">
        <w:t>a secondary obligation arising on breach of that primary obligation</w:t>
      </w:r>
      <w:r w:rsidR="00B16678">
        <w:t xml:space="preserve"> </w:t>
      </w:r>
      <w:r w:rsidR="00C42973">
        <w:t>will</w:t>
      </w:r>
      <w:r w:rsidR="00B16678">
        <w:t xml:space="preserve"> be</w:t>
      </w:r>
      <w:r w:rsidR="00F2300D">
        <w:t>. However, as shall be seen, this distinction is not easy to apply.</w:t>
      </w:r>
    </w:p>
    <w:p w14:paraId="387003ED" w14:textId="77777777" w:rsidR="00374CA9" w:rsidRPr="00752A3D" w:rsidRDefault="00374CA9" w:rsidP="005C5EF3">
      <w:pPr>
        <w:jc w:val="both"/>
        <w:rPr>
          <w:i/>
        </w:rPr>
      </w:pPr>
    </w:p>
    <w:p w14:paraId="387003EE" w14:textId="77777777" w:rsidR="00E34E97" w:rsidRPr="00C07D8A" w:rsidRDefault="00E34E97" w:rsidP="005C5EF3">
      <w:pPr>
        <w:pStyle w:val="ListParagraph"/>
        <w:numPr>
          <w:ilvl w:val="0"/>
          <w:numId w:val="2"/>
        </w:numPr>
        <w:jc w:val="both"/>
        <w:rPr>
          <w:i/>
        </w:rPr>
      </w:pPr>
      <w:r w:rsidRPr="00752A3D">
        <w:t>The test refined: legitimate interests</w:t>
      </w:r>
    </w:p>
    <w:p w14:paraId="5D177C58" w14:textId="77777777" w:rsidR="00C07D8A" w:rsidRDefault="00C07D8A" w:rsidP="005C5EF3">
      <w:pPr>
        <w:jc w:val="both"/>
        <w:rPr>
          <w:i/>
        </w:rPr>
      </w:pPr>
    </w:p>
    <w:p w14:paraId="3F2CEE63" w14:textId="69C642FF" w:rsidR="00252A72" w:rsidRDefault="00E2416E" w:rsidP="005C5EF3">
      <w:pPr>
        <w:jc w:val="both"/>
      </w:pPr>
      <w:r>
        <w:lastRenderedPageBreak/>
        <w:t xml:space="preserve">Both ParkingEye and Cavendish largely accepted that the clauses they were claiming the benefit of were not based on any </w:t>
      </w:r>
      <w:r w:rsidR="00930408">
        <w:t>genuine pre-estimate of loss.</w:t>
      </w:r>
      <w:r w:rsidR="009537B5">
        <w:t xml:space="preserve"> Counsel for Mr Beavis </w:t>
      </w:r>
      <w:r w:rsidR="000772BC">
        <w:t>submitted</w:t>
      </w:r>
      <w:r w:rsidR="009537B5">
        <w:t xml:space="preserve"> that this was therefore the end of the matter: </w:t>
      </w:r>
      <w:r w:rsidR="002F72D7">
        <w:t xml:space="preserve">the Dunedin formula, with its </w:t>
      </w:r>
      <w:r w:rsidR="000772BC">
        <w:t>exclusive focus on the disparity between the stipulation and the loss suffered</w:t>
      </w:r>
      <w:r w:rsidR="002F72D7">
        <w:t>,</w:t>
      </w:r>
      <w:r w:rsidR="000772BC">
        <w:t xml:space="preserve"> was the sole enquiry. </w:t>
      </w:r>
    </w:p>
    <w:p w14:paraId="6A648828" w14:textId="77777777" w:rsidR="00252A72" w:rsidRDefault="00252A72" w:rsidP="005C5EF3">
      <w:pPr>
        <w:jc w:val="both"/>
      </w:pPr>
    </w:p>
    <w:p w14:paraId="6D707B41" w14:textId="26251C74" w:rsidR="00C07D8A" w:rsidRDefault="00C55136" w:rsidP="005C5EF3">
      <w:pPr>
        <w:jc w:val="both"/>
      </w:pPr>
      <w:r>
        <w:t xml:space="preserve">The Supreme Court </w:t>
      </w:r>
      <w:r w:rsidR="00252A72">
        <w:t>unanimously</w:t>
      </w:r>
      <w:r>
        <w:t xml:space="preserve"> </w:t>
      </w:r>
      <w:r w:rsidR="00930408">
        <w:t>rejected</w:t>
      </w:r>
      <w:r>
        <w:t xml:space="preserve"> that submission.</w:t>
      </w:r>
      <w:r w:rsidR="00252A72">
        <w:t xml:space="preserve"> </w:t>
      </w:r>
      <w:r>
        <w:t xml:space="preserve">First, Lords Neuberger and Sumption thought that too much had been made of Viscount Dunedin’s </w:t>
      </w:r>
      <w:r w:rsidR="00930408">
        <w:t>speech</w:t>
      </w:r>
      <w:r>
        <w:t>.</w:t>
      </w:r>
      <w:r w:rsidR="002B2DA3">
        <w:rPr>
          <w:rStyle w:val="FootnoteReference"/>
        </w:rPr>
        <w:footnoteReference w:id="26"/>
      </w:r>
      <w:r>
        <w:t xml:space="preserve"> </w:t>
      </w:r>
      <w:r w:rsidR="00D544BF">
        <w:t>He</w:t>
      </w:r>
      <w:r>
        <w:t xml:space="preserve"> was</w:t>
      </w:r>
      <w:r w:rsidR="00D544BF">
        <w:t>, after all,</w:t>
      </w:r>
      <w:r>
        <w:t xml:space="preserve"> only one of five Law Lords in the </w:t>
      </w:r>
      <w:r>
        <w:rPr>
          <w:i/>
        </w:rPr>
        <w:t>Dunlop</w:t>
      </w:r>
      <w:r>
        <w:t xml:space="preserve"> case</w:t>
      </w:r>
      <w:r w:rsidR="00292856">
        <w:t xml:space="preserve">, and </w:t>
      </w:r>
      <w:r w:rsidR="00930408">
        <w:t>no</w:t>
      </w:r>
      <w:r w:rsidR="00292856">
        <w:t xml:space="preserve"> other members of the Appellate Committee expressed agreement with </w:t>
      </w:r>
      <w:r w:rsidR="00930408">
        <w:t>him,</w:t>
      </w:r>
      <w:r w:rsidR="002F72D7">
        <w:t xml:space="preserve"> or reasoned in </w:t>
      </w:r>
      <w:r w:rsidR="00930408">
        <w:t>identical</w:t>
      </w:r>
      <w:r w:rsidR="002F72D7">
        <w:t xml:space="preserve"> terms</w:t>
      </w:r>
      <w:r w:rsidR="00292856">
        <w:t>.</w:t>
      </w:r>
      <w:r w:rsidR="002F72D7">
        <w:rPr>
          <w:rStyle w:val="FootnoteReference"/>
        </w:rPr>
        <w:footnoteReference w:id="27"/>
      </w:r>
      <w:r w:rsidR="00346720">
        <w:t xml:space="preserve"> Secondly, Viscount Dunedin</w:t>
      </w:r>
      <w:r w:rsidR="001203CE">
        <w:t xml:space="preserve"> himself did not view </w:t>
      </w:r>
      <w:r w:rsidR="00930408">
        <w:t>his</w:t>
      </w:r>
      <w:r w:rsidR="001203CE">
        <w:t xml:space="preserve"> propositions as a universal test; they were merely suggested as being of assistance in the case</w:t>
      </w:r>
      <w:r w:rsidR="007C2840">
        <w:t xml:space="preserve"> before him, which concerned a simple liquidated damages clause</w:t>
      </w:r>
      <w:r w:rsidR="001203CE">
        <w:t>.</w:t>
      </w:r>
      <w:r w:rsidR="00930408">
        <w:rPr>
          <w:rStyle w:val="FootnoteReference"/>
        </w:rPr>
        <w:footnoteReference w:id="28"/>
      </w:r>
      <w:r w:rsidR="003226F9">
        <w:t xml:space="preserve"> Thirdly, a series of cases </w:t>
      </w:r>
      <w:r w:rsidR="00D544BF">
        <w:t>which</w:t>
      </w:r>
      <w:r w:rsidR="003226F9">
        <w:t xml:space="preserve"> look</w:t>
      </w:r>
      <w:r w:rsidR="00D544BF">
        <w:t>ed</w:t>
      </w:r>
      <w:r w:rsidR="003226F9">
        <w:t xml:space="preserve"> beyond</w:t>
      </w:r>
      <w:r w:rsidR="00C27D09">
        <w:t xml:space="preserve"> a </w:t>
      </w:r>
      <w:r w:rsidR="00D544BF">
        <w:t>simple arithmetical calculation, and held</w:t>
      </w:r>
      <w:r w:rsidR="00C27D09">
        <w:t xml:space="preserve"> </w:t>
      </w:r>
      <w:r w:rsidR="00221318">
        <w:t>clauses that</w:t>
      </w:r>
      <w:r w:rsidR="00C27D09">
        <w:t xml:space="preserve"> did not involve a pre-estimate of loss </w:t>
      </w:r>
      <w:r w:rsidR="003C27D4">
        <w:t>as</w:t>
      </w:r>
      <w:r w:rsidR="00C27D09">
        <w:t xml:space="preserve"> justifiable</w:t>
      </w:r>
      <w:r w:rsidR="00D544BF">
        <w:t xml:space="preserve"> for other reasons, clutched at the proper test.</w:t>
      </w:r>
      <w:r w:rsidR="00C27D09">
        <w:rPr>
          <w:rStyle w:val="FootnoteReference"/>
        </w:rPr>
        <w:footnoteReference w:id="29"/>
      </w:r>
      <w:r w:rsidR="00C27D09">
        <w:t xml:space="preserve"> </w:t>
      </w:r>
      <w:r w:rsidR="005C5EF3">
        <w:t xml:space="preserve"> </w:t>
      </w:r>
    </w:p>
    <w:p w14:paraId="21DB6369" w14:textId="77777777" w:rsidR="005C5EF3" w:rsidRDefault="005C5EF3" w:rsidP="005C5EF3">
      <w:pPr>
        <w:jc w:val="both"/>
      </w:pPr>
    </w:p>
    <w:p w14:paraId="26441BD0" w14:textId="4BCDCA80" w:rsidR="00831F92" w:rsidRDefault="00D544BF" w:rsidP="005C5EF3">
      <w:pPr>
        <w:jc w:val="both"/>
      </w:pPr>
      <w:r>
        <w:t xml:space="preserve">That test, as reformulated by Lords Neuberger and </w:t>
      </w:r>
      <w:proofErr w:type="spellStart"/>
      <w:r>
        <w:t>Sumption</w:t>
      </w:r>
      <w:proofErr w:type="spellEnd"/>
      <w:r>
        <w:t>, was</w:t>
      </w:r>
      <w:r w:rsidR="00831F92">
        <w:t>:</w:t>
      </w:r>
    </w:p>
    <w:p w14:paraId="7886EE0F" w14:textId="77777777" w:rsidR="00831F92" w:rsidRDefault="00831F92" w:rsidP="00D544BF">
      <w:pPr>
        <w:ind w:left="720" w:firstLine="720"/>
        <w:jc w:val="both"/>
      </w:pPr>
    </w:p>
    <w:p w14:paraId="1B4CE544" w14:textId="17CB84BA" w:rsidR="005C5EF3" w:rsidRDefault="00831F92" w:rsidP="00831F92">
      <w:pPr>
        <w:ind w:left="720"/>
        <w:jc w:val="both"/>
      </w:pPr>
      <w:proofErr w:type="gramStart"/>
      <w:r>
        <w:t>whether</w:t>
      </w:r>
      <w:proofErr w:type="gramEnd"/>
      <w:r>
        <w:t xml:space="preserve"> the impugned provision is a secondary obligation which imposes a detriment </w:t>
      </w:r>
      <w:r w:rsidRPr="00807AC9">
        <w:t>out of all proportion to any legitimate interest of the innocent party</w:t>
      </w:r>
      <w:r>
        <w:t xml:space="preserve"> in the enforcement of the primary obligation.</w:t>
      </w:r>
      <w:r>
        <w:rPr>
          <w:rStyle w:val="FootnoteReference"/>
        </w:rPr>
        <w:footnoteReference w:id="30"/>
      </w:r>
    </w:p>
    <w:p w14:paraId="330FCF0F" w14:textId="77777777" w:rsidR="00831F92" w:rsidRDefault="00831F92" w:rsidP="00831F92">
      <w:pPr>
        <w:jc w:val="both"/>
      </w:pPr>
    </w:p>
    <w:p w14:paraId="1A95A089" w14:textId="77777777" w:rsidR="004814DF" w:rsidRDefault="00334C53" w:rsidP="004814DF">
      <w:pPr>
        <w:jc w:val="both"/>
        <w:rPr>
          <w:rFonts w:ascii="Times New Roman" w:hAnsi="Times New Roman" w:cs="Times New Roman"/>
          <w:lang w:eastAsia="en-GB"/>
        </w:rPr>
      </w:pPr>
      <w:r>
        <w:t>Each of their Lordships confirmed that the overriding test was one of extravagance or unconscionability.</w:t>
      </w:r>
      <w:r>
        <w:rPr>
          <w:rStyle w:val="FootnoteReference"/>
        </w:rPr>
        <w:footnoteReference w:id="31"/>
      </w:r>
      <w:r>
        <w:t xml:space="preserve"> The Dunedin formula was viewed as potentially still helpful in cases involving simple liquidated damages clauses,</w:t>
      </w:r>
      <w:r>
        <w:rPr>
          <w:rStyle w:val="FootnoteReference"/>
        </w:rPr>
        <w:footnoteReference w:id="32"/>
      </w:r>
      <w:r>
        <w:t xml:space="preserve"> but compensation was not the sole interest that an agreed damages clause may pursue legitimately.</w:t>
      </w:r>
      <w:r>
        <w:rPr>
          <w:rStyle w:val="FootnoteReference"/>
        </w:rPr>
        <w:footnoteReference w:id="33"/>
      </w:r>
      <w:r>
        <w:t xml:space="preserve"> </w:t>
      </w:r>
      <w:r w:rsidR="004814DF">
        <w:t>Moreover, that the sum stipulated must be “out of all proportion”</w:t>
      </w:r>
      <w:r w:rsidR="004814DF">
        <w:rPr>
          <w:rStyle w:val="FootnoteReference"/>
        </w:rPr>
        <w:footnoteReference w:id="34"/>
      </w:r>
      <w:r w:rsidR="004814DF">
        <w:t xml:space="preserve"> or “extravagant, exorbitant or unconscionable”</w:t>
      </w:r>
      <w:r w:rsidR="004814DF">
        <w:rPr>
          <w:rStyle w:val="FootnoteReference"/>
        </w:rPr>
        <w:footnoteReference w:id="35"/>
      </w:r>
      <w:r w:rsidR="004814DF">
        <w:t xml:space="preserve"> compared to those interests suggests a very light-touch doctrine.  </w:t>
      </w:r>
    </w:p>
    <w:p w14:paraId="0D580800" w14:textId="77777777" w:rsidR="00D544BF" w:rsidRDefault="00D544BF" w:rsidP="00831F92">
      <w:pPr>
        <w:jc w:val="both"/>
      </w:pPr>
    </w:p>
    <w:p w14:paraId="387003EF" w14:textId="77777777" w:rsidR="00E34E97" w:rsidRPr="00752A3D" w:rsidRDefault="00E34E97" w:rsidP="005C5EF3">
      <w:pPr>
        <w:jc w:val="both"/>
        <w:rPr>
          <w:b/>
        </w:rPr>
      </w:pPr>
    </w:p>
    <w:p w14:paraId="387003F1" w14:textId="346D7A20" w:rsidR="002B55C1" w:rsidRPr="00752A3D" w:rsidRDefault="00E34E97" w:rsidP="005C5EF3">
      <w:pPr>
        <w:jc w:val="both"/>
        <w:rPr>
          <w:b/>
        </w:rPr>
      </w:pPr>
      <w:r w:rsidRPr="00752A3D">
        <w:rPr>
          <w:b/>
        </w:rPr>
        <w:t>D. THE DECISION</w:t>
      </w:r>
      <w:r w:rsidR="00F708FD" w:rsidRPr="00752A3D">
        <w:rPr>
          <w:b/>
        </w:rPr>
        <w:t>S</w:t>
      </w:r>
      <w:r w:rsidRPr="00752A3D">
        <w:rPr>
          <w:b/>
        </w:rPr>
        <w:t>: APPLICATION</w:t>
      </w:r>
    </w:p>
    <w:p w14:paraId="387003F2" w14:textId="77777777" w:rsidR="002B55C1" w:rsidRPr="00752A3D" w:rsidRDefault="002B55C1" w:rsidP="005C5EF3">
      <w:pPr>
        <w:jc w:val="both"/>
        <w:rPr>
          <w:b/>
        </w:rPr>
      </w:pPr>
    </w:p>
    <w:p w14:paraId="3FF741C8" w14:textId="0BA374AB" w:rsidR="00AB530A" w:rsidRDefault="00AB530A" w:rsidP="005C5EF3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Cavendish</w:t>
      </w:r>
    </w:p>
    <w:p w14:paraId="4FEDB017" w14:textId="77777777" w:rsidR="00DE6841" w:rsidRDefault="00DE6841" w:rsidP="005C5EF3">
      <w:pPr>
        <w:jc w:val="both"/>
        <w:rPr>
          <w:i/>
        </w:rPr>
      </w:pPr>
    </w:p>
    <w:p w14:paraId="64586D15" w14:textId="0421DEC9" w:rsidR="00DE6841" w:rsidRPr="005C5EF3" w:rsidRDefault="00DE6841" w:rsidP="005C5EF3">
      <w:pPr>
        <w:jc w:val="both"/>
      </w:pPr>
      <w:r>
        <w:t xml:space="preserve">The Supreme Court </w:t>
      </w:r>
      <w:r w:rsidR="004814DF">
        <w:t>was divided</w:t>
      </w:r>
      <w:r>
        <w:t xml:space="preserve"> over whether </w:t>
      </w:r>
      <w:r w:rsidR="004814DF">
        <w:t xml:space="preserve">or not </w:t>
      </w:r>
      <w:r>
        <w:t>clause</w:t>
      </w:r>
      <w:r w:rsidR="004814DF">
        <w:t>s</w:t>
      </w:r>
      <w:r>
        <w:t xml:space="preserve"> 5.1 </w:t>
      </w:r>
      <w:r w:rsidR="00210373">
        <w:t>and 5.6 were even</w:t>
      </w:r>
      <w:r>
        <w:t xml:space="preserve"> subject to the rule against penalties. Unfortunately, however, the exact division is unclear. </w:t>
      </w:r>
      <w:r w:rsidR="005C5EF3">
        <w:t xml:space="preserve"> </w:t>
      </w:r>
      <w:r>
        <w:t xml:space="preserve">Clause 5.1, removing Mr Makdessi’s entitlement to </w:t>
      </w:r>
      <w:r w:rsidR="007C3D7B">
        <w:t xml:space="preserve">the final two payments, was characterised as forming part of the consideration paid by </w:t>
      </w:r>
      <w:r w:rsidR="007C3D7B">
        <w:lastRenderedPageBreak/>
        <w:t>Cavendish for the company, and thus as a primary</w:t>
      </w:r>
      <w:r w:rsidR="00646937">
        <w:t xml:space="preserve"> obligation, by Lords Neuberger and</w:t>
      </w:r>
      <w:r w:rsidR="007C3D7B">
        <w:t xml:space="preserve"> Sumption.</w:t>
      </w:r>
      <w:r w:rsidR="00221318">
        <w:rPr>
          <w:rStyle w:val="FootnoteReference"/>
        </w:rPr>
        <w:footnoteReference w:id="36"/>
      </w:r>
      <w:r w:rsidR="007C3D7B">
        <w:t xml:space="preserve"> Lord Hodge saw the force of that argument,</w:t>
      </w:r>
      <w:r w:rsidR="00221318">
        <w:rPr>
          <w:rStyle w:val="FootnoteReference"/>
        </w:rPr>
        <w:footnoteReference w:id="37"/>
      </w:r>
      <w:r w:rsidR="007C3D7B">
        <w:t xml:space="preserve"> but he and Lord Clarke JSC</w:t>
      </w:r>
      <w:r w:rsidR="00221318">
        <w:rPr>
          <w:rStyle w:val="FootnoteReference"/>
        </w:rPr>
        <w:footnoteReference w:id="38"/>
      </w:r>
      <w:r w:rsidR="007C3D7B">
        <w:t xml:space="preserve"> </w:t>
      </w:r>
      <w:r w:rsidR="00B55C30">
        <w:t>preferred to keep</w:t>
      </w:r>
      <w:r w:rsidR="007C3D7B">
        <w:t xml:space="preserve"> an open mind</w:t>
      </w:r>
      <w:r w:rsidR="00221318">
        <w:t xml:space="preserve">. </w:t>
      </w:r>
      <w:r w:rsidR="00B55C30">
        <w:t>As for Lord Mance, his Lordship</w:t>
      </w:r>
      <w:r w:rsidR="00221318">
        <w:t xml:space="preserve"> </w:t>
      </w:r>
      <w:r w:rsidR="00646937">
        <w:t>appeared</w:t>
      </w:r>
      <w:r w:rsidR="00221318">
        <w:t xml:space="preserve"> inclined to categorise</w:t>
      </w:r>
      <w:r w:rsidR="00B55C30">
        <w:t xml:space="preserve"> clause</w:t>
      </w:r>
      <w:r w:rsidR="00221318">
        <w:t xml:space="preserve"> 5.1 as a se</w:t>
      </w:r>
      <w:r w:rsidR="00FC70A1">
        <w:t>condary obligation, because</w:t>
      </w:r>
      <w:r w:rsidR="00B55C30">
        <w:t xml:space="preserve"> he </w:t>
      </w:r>
      <w:r w:rsidR="00FC70A1">
        <w:t>subjects it</w:t>
      </w:r>
      <w:r w:rsidR="00B55C30">
        <w:t xml:space="preserve"> to the </w:t>
      </w:r>
      <w:r w:rsidR="004002B1">
        <w:t>penal test</w:t>
      </w:r>
      <w:r w:rsidR="00FC70A1">
        <w:t xml:space="preserve"> </w:t>
      </w:r>
      <w:r w:rsidR="00FC70A1">
        <w:rPr>
          <w:rFonts w:ascii="Cambria" w:eastAsia="Times New Roman" w:hAnsi="Cambria" w:cs="Times New Roman"/>
        </w:rPr>
        <w:t>that</w:t>
      </w:r>
      <w:r w:rsidR="00221318">
        <w:rPr>
          <w:rFonts w:ascii="Cambria" w:eastAsia="Times New Roman" w:hAnsi="Cambria" w:cs="Times New Roman"/>
        </w:rPr>
        <w:t xml:space="preserve"> </w:t>
      </w:r>
      <w:r w:rsidR="00B55C30">
        <w:rPr>
          <w:rFonts w:ascii="Cambria" w:eastAsia="Times New Roman" w:hAnsi="Cambria" w:cs="Times New Roman"/>
        </w:rPr>
        <w:t>would</w:t>
      </w:r>
      <w:r w:rsidR="00221318">
        <w:rPr>
          <w:rFonts w:ascii="Cambria" w:eastAsia="Times New Roman" w:hAnsi="Cambria" w:cs="Times New Roman"/>
        </w:rPr>
        <w:t xml:space="preserve"> not arise if </w:t>
      </w:r>
      <w:r w:rsidR="00B55C30">
        <w:rPr>
          <w:rFonts w:ascii="Cambria" w:eastAsia="Times New Roman" w:hAnsi="Cambria" w:cs="Times New Roman"/>
        </w:rPr>
        <w:t>it</w:t>
      </w:r>
      <w:r w:rsidR="00221318">
        <w:rPr>
          <w:rFonts w:ascii="Cambria" w:eastAsia="Times New Roman" w:hAnsi="Cambria" w:cs="Times New Roman"/>
        </w:rPr>
        <w:t xml:space="preserve"> embodied a primary obligation.</w:t>
      </w:r>
      <w:r w:rsidR="00FC70A1" w:rsidRPr="00FC70A1">
        <w:rPr>
          <w:rStyle w:val="FootnoteReference"/>
          <w:rFonts w:ascii="Cambria" w:eastAsia="Times New Roman" w:hAnsi="Cambria" w:cs="Times New Roman"/>
        </w:rPr>
        <w:t xml:space="preserve"> </w:t>
      </w:r>
      <w:r w:rsidR="00FC70A1" w:rsidRPr="004A1CB7">
        <w:rPr>
          <w:rStyle w:val="FootnoteReference"/>
          <w:rFonts w:ascii="Cambria" w:eastAsia="Times New Roman" w:hAnsi="Cambria" w:cs="Times New Roman"/>
        </w:rPr>
        <w:footnoteReference w:id="39"/>
      </w:r>
      <w:r w:rsidR="00FC70A1">
        <w:rPr>
          <w:rFonts w:ascii="Cambria" w:eastAsia="Times New Roman" w:hAnsi="Cambria" w:cs="Times New Roman"/>
        </w:rPr>
        <w:t xml:space="preserve"> </w:t>
      </w:r>
      <w:r w:rsidR="00221318">
        <w:rPr>
          <w:rFonts w:ascii="Cambria" w:eastAsia="Times New Roman" w:hAnsi="Cambria" w:cs="Times New Roman"/>
        </w:rPr>
        <w:t xml:space="preserve"> However, further on, </w:t>
      </w:r>
      <w:r w:rsidR="00B55C30">
        <w:rPr>
          <w:rFonts w:ascii="Cambria" w:eastAsia="Times New Roman" w:hAnsi="Cambria" w:cs="Times New Roman"/>
        </w:rPr>
        <w:t>the clause is described as amounting “to a reshaping of the parties’ primary relationship”,</w:t>
      </w:r>
      <w:r w:rsidR="00B55C30">
        <w:rPr>
          <w:rStyle w:val="FootnoteReference"/>
          <w:rFonts w:ascii="Cambria" w:eastAsia="Times New Roman" w:hAnsi="Cambria" w:cs="Times New Roman"/>
        </w:rPr>
        <w:footnoteReference w:id="40"/>
      </w:r>
      <w:r w:rsidR="00B55C30">
        <w:rPr>
          <w:rFonts w:ascii="Cambria" w:eastAsia="Times New Roman" w:hAnsi="Cambria" w:cs="Times New Roman"/>
        </w:rPr>
        <w:t xml:space="preserve"> which suggests a primary </w:t>
      </w:r>
      <w:r w:rsidR="00FC70A1">
        <w:rPr>
          <w:rFonts w:ascii="Cambria" w:eastAsia="Times New Roman" w:hAnsi="Cambria" w:cs="Times New Roman"/>
        </w:rPr>
        <w:t xml:space="preserve">obligation </w:t>
      </w:r>
      <w:r w:rsidR="00B55C30">
        <w:rPr>
          <w:rFonts w:ascii="Cambria" w:eastAsia="Times New Roman" w:hAnsi="Cambria" w:cs="Times New Roman"/>
        </w:rPr>
        <w:t xml:space="preserve">classification.  </w:t>
      </w:r>
      <w:r w:rsidR="00FC70A1">
        <w:rPr>
          <w:rFonts w:ascii="Cambria" w:eastAsia="Times New Roman" w:hAnsi="Cambria" w:cs="Times New Roman"/>
        </w:rPr>
        <w:t xml:space="preserve">This ambiguity is not resolved by </w:t>
      </w:r>
      <w:r w:rsidR="00B55C30">
        <w:rPr>
          <w:rFonts w:ascii="Cambria" w:eastAsia="Times New Roman" w:hAnsi="Cambria" w:cs="Times New Roman"/>
        </w:rPr>
        <w:t xml:space="preserve">Lord </w:t>
      </w:r>
      <w:proofErr w:type="spellStart"/>
      <w:r w:rsidR="00B55C30">
        <w:rPr>
          <w:rFonts w:ascii="Cambria" w:eastAsia="Times New Roman" w:hAnsi="Cambria" w:cs="Times New Roman"/>
        </w:rPr>
        <w:t>Toulson</w:t>
      </w:r>
      <w:proofErr w:type="spellEnd"/>
      <w:r w:rsidR="00B55C30">
        <w:rPr>
          <w:rFonts w:ascii="Cambria" w:eastAsia="Times New Roman" w:hAnsi="Cambria" w:cs="Times New Roman"/>
        </w:rPr>
        <w:t xml:space="preserve"> JSC, who expresses agreement with the judgments of </w:t>
      </w:r>
      <w:r w:rsidR="00646937">
        <w:rPr>
          <w:rFonts w:ascii="Cambria" w:eastAsia="Times New Roman" w:hAnsi="Cambria" w:cs="Times New Roman"/>
        </w:rPr>
        <w:t xml:space="preserve">both </w:t>
      </w:r>
      <w:r w:rsidR="00B55C30">
        <w:rPr>
          <w:rFonts w:ascii="Cambria" w:eastAsia="Times New Roman" w:hAnsi="Cambria" w:cs="Times New Roman"/>
        </w:rPr>
        <w:t>Lord</w:t>
      </w:r>
      <w:r w:rsidR="00646937">
        <w:rPr>
          <w:rFonts w:ascii="Cambria" w:eastAsia="Times New Roman" w:hAnsi="Cambria" w:cs="Times New Roman"/>
        </w:rPr>
        <w:t>s</w:t>
      </w:r>
      <w:r w:rsidR="00B55C30">
        <w:rPr>
          <w:rFonts w:ascii="Cambria" w:eastAsia="Times New Roman" w:hAnsi="Cambria" w:cs="Times New Roman"/>
        </w:rPr>
        <w:t xml:space="preserve"> Hodge and </w:t>
      </w:r>
      <w:r w:rsidR="00FC70A1">
        <w:rPr>
          <w:rFonts w:ascii="Cambria" w:eastAsia="Times New Roman" w:hAnsi="Cambria" w:cs="Times New Roman"/>
        </w:rPr>
        <w:t>Mance.</w:t>
      </w:r>
      <w:r w:rsidR="00FC70A1">
        <w:rPr>
          <w:rStyle w:val="FootnoteReference"/>
          <w:rFonts w:ascii="Cambria" w:eastAsia="Times New Roman" w:hAnsi="Cambria" w:cs="Times New Roman"/>
        </w:rPr>
        <w:footnoteReference w:id="41"/>
      </w:r>
      <w:r w:rsidR="00FC70A1">
        <w:rPr>
          <w:rFonts w:ascii="Cambria" w:eastAsia="Times New Roman" w:hAnsi="Cambria" w:cs="Times New Roman"/>
        </w:rPr>
        <w:t xml:space="preserve"> </w:t>
      </w:r>
    </w:p>
    <w:p w14:paraId="05E883D2" w14:textId="77777777" w:rsidR="00FC70A1" w:rsidRDefault="00FC70A1" w:rsidP="005C5EF3">
      <w:pPr>
        <w:jc w:val="both"/>
        <w:rPr>
          <w:rFonts w:ascii="Cambria" w:eastAsia="Times New Roman" w:hAnsi="Cambria" w:cs="Times New Roman"/>
        </w:rPr>
      </w:pPr>
    </w:p>
    <w:p w14:paraId="4415C876" w14:textId="53A11A0A" w:rsidR="00FC70A1" w:rsidRDefault="00FC70A1" w:rsidP="005C5EF3">
      <w:pPr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Clause 5.6, the forced share-sale provision, was again c</w:t>
      </w:r>
      <w:r w:rsidR="00646937">
        <w:rPr>
          <w:rFonts w:ascii="Cambria" w:eastAsia="Times New Roman" w:hAnsi="Cambria" w:cs="Times New Roman"/>
        </w:rPr>
        <w:t xml:space="preserve">haracterised by Lords Neuberger and Sumption </w:t>
      </w:r>
      <w:r>
        <w:rPr>
          <w:rFonts w:ascii="Cambria" w:eastAsia="Times New Roman" w:hAnsi="Cambria" w:cs="Times New Roman"/>
        </w:rPr>
        <w:t>as forming part of the parties’ primary obligations.</w:t>
      </w:r>
      <w:r>
        <w:rPr>
          <w:rStyle w:val="FootnoteReference"/>
          <w:rFonts w:ascii="Cambria" w:eastAsia="Times New Roman" w:hAnsi="Cambria" w:cs="Times New Roman"/>
        </w:rPr>
        <w:footnoteReference w:id="42"/>
      </w:r>
      <w:r w:rsidR="009531B6">
        <w:rPr>
          <w:rFonts w:ascii="Cambria" w:eastAsia="Times New Roman" w:hAnsi="Cambria" w:cs="Times New Roman"/>
        </w:rPr>
        <w:t xml:space="preserve"> This is because it </w:t>
      </w:r>
      <w:r w:rsidR="002C7E39">
        <w:rPr>
          <w:rFonts w:ascii="Cambria" w:eastAsia="Times New Roman" w:hAnsi="Cambria" w:cs="Times New Roman"/>
        </w:rPr>
        <w:t>reflected</w:t>
      </w:r>
      <w:r w:rsidR="009531B6">
        <w:rPr>
          <w:rFonts w:ascii="Cambria" w:eastAsia="Times New Roman" w:hAnsi="Cambria" w:cs="Times New Roman"/>
        </w:rPr>
        <w:t xml:space="preserve"> </w:t>
      </w:r>
      <w:r w:rsidR="002C7E39">
        <w:rPr>
          <w:rFonts w:ascii="Cambria" w:eastAsia="Times New Roman" w:hAnsi="Cambria" w:cs="Times New Roman"/>
        </w:rPr>
        <w:t>the</w:t>
      </w:r>
      <w:r w:rsidR="009531B6">
        <w:rPr>
          <w:rFonts w:ascii="Cambria" w:eastAsia="Times New Roman" w:hAnsi="Cambria" w:cs="Times New Roman"/>
        </w:rPr>
        <w:t xml:space="preserve"> diminution </w:t>
      </w:r>
      <w:r w:rsidR="002C7E39">
        <w:rPr>
          <w:rFonts w:ascii="Cambria" w:eastAsia="Times New Roman" w:hAnsi="Cambria" w:cs="Times New Roman"/>
        </w:rPr>
        <w:t>in</w:t>
      </w:r>
      <w:r w:rsidR="009531B6">
        <w:rPr>
          <w:rFonts w:ascii="Cambria" w:eastAsia="Times New Roman" w:hAnsi="Cambria" w:cs="Times New Roman"/>
        </w:rPr>
        <w:t xml:space="preserve"> the consideration C</w:t>
      </w:r>
      <w:r w:rsidR="002C7E39">
        <w:rPr>
          <w:rFonts w:ascii="Cambria" w:eastAsia="Times New Roman" w:hAnsi="Cambria" w:cs="Times New Roman"/>
        </w:rPr>
        <w:t xml:space="preserve">avendish would be willing to pay in the circumstances of Mr Makdessi’s disloyalty. </w:t>
      </w:r>
      <w:r w:rsidR="003213D6">
        <w:rPr>
          <w:rFonts w:ascii="Cambria" w:eastAsia="Times New Roman" w:hAnsi="Cambria" w:cs="Times New Roman"/>
        </w:rPr>
        <w:t xml:space="preserve">Lord Hodge again saw </w:t>
      </w:r>
      <w:r w:rsidR="0058335E">
        <w:rPr>
          <w:rFonts w:ascii="Cambria" w:eastAsia="Times New Roman" w:hAnsi="Cambria" w:cs="Times New Roman"/>
        </w:rPr>
        <w:t>this</w:t>
      </w:r>
      <w:r w:rsidR="003213D6">
        <w:rPr>
          <w:rFonts w:ascii="Cambria" w:eastAsia="Times New Roman" w:hAnsi="Cambria" w:cs="Times New Roman"/>
        </w:rPr>
        <w:t xml:space="preserve"> as a strong argument, but preferred to </w:t>
      </w:r>
      <w:r w:rsidR="0058335E">
        <w:rPr>
          <w:rFonts w:ascii="Cambria" w:eastAsia="Times New Roman" w:hAnsi="Cambria" w:cs="Times New Roman"/>
        </w:rPr>
        <w:t>conceive</w:t>
      </w:r>
      <w:r w:rsidR="003213D6">
        <w:rPr>
          <w:rFonts w:ascii="Cambria" w:eastAsia="Times New Roman" w:hAnsi="Cambria" w:cs="Times New Roman"/>
        </w:rPr>
        <w:t xml:space="preserve"> clause 5.6 a</w:t>
      </w:r>
      <w:r w:rsidR="0058335E">
        <w:rPr>
          <w:rFonts w:ascii="Cambria" w:eastAsia="Times New Roman" w:hAnsi="Cambria" w:cs="Times New Roman"/>
        </w:rPr>
        <w:t>s a secondary obligation,</w:t>
      </w:r>
      <w:r w:rsidR="0058335E">
        <w:rPr>
          <w:rStyle w:val="FootnoteReference"/>
          <w:rFonts w:ascii="Cambria" w:eastAsia="Times New Roman" w:hAnsi="Cambria" w:cs="Times New Roman"/>
        </w:rPr>
        <w:footnoteReference w:id="43"/>
      </w:r>
      <w:r w:rsidR="0058335E">
        <w:rPr>
          <w:rFonts w:ascii="Cambria" w:eastAsia="Times New Roman" w:hAnsi="Cambria" w:cs="Times New Roman"/>
        </w:rPr>
        <w:t xml:space="preserve"> a contention with which Lord Clarke agreed.</w:t>
      </w:r>
      <w:r w:rsidR="0058335E">
        <w:rPr>
          <w:rStyle w:val="FootnoteReference"/>
          <w:rFonts w:ascii="Cambria" w:eastAsia="Times New Roman" w:hAnsi="Cambria" w:cs="Times New Roman"/>
        </w:rPr>
        <w:footnoteReference w:id="44"/>
      </w:r>
      <w:r w:rsidR="007B2A12">
        <w:rPr>
          <w:rFonts w:ascii="Cambria" w:eastAsia="Times New Roman" w:hAnsi="Cambria" w:cs="Times New Roman"/>
        </w:rPr>
        <w:t xml:space="preserve"> Lord Mance is again uncharacteristically opaque, describing 5.6 as also part of the parties’ primary relationship but yet again going on to </w:t>
      </w:r>
      <w:r w:rsidR="004002B1">
        <w:rPr>
          <w:rFonts w:ascii="Cambria" w:eastAsia="Times New Roman" w:hAnsi="Cambria" w:cs="Times New Roman"/>
        </w:rPr>
        <w:t xml:space="preserve">assess its </w:t>
      </w:r>
      <w:r w:rsidR="004A690F">
        <w:rPr>
          <w:rFonts w:ascii="Cambria" w:eastAsia="Times New Roman" w:hAnsi="Cambria" w:cs="Times New Roman"/>
        </w:rPr>
        <w:t>proportionality</w:t>
      </w:r>
      <w:r w:rsidR="004002B1">
        <w:rPr>
          <w:rFonts w:ascii="Cambria" w:eastAsia="Times New Roman" w:hAnsi="Cambria" w:cs="Times New Roman"/>
        </w:rPr>
        <w:t xml:space="preserve"> </w:t>
      </w:r>
      <w:r w:rsidR="00982D26">
        <w:rPr>
          <w:rFonts w:ascii="Cambria" w:eastAsia="Times New Roman" w:hAnsi="Cambria" w:cs="Times New Roman"/>
        </w:rPr>
        <w:t xml:space="preserve">in relation </w:t>
      </w:r>
      <w:r w:rsidR="004002B1">
        <w:rPr>
          <w:rFonts w:ascii="Cambria" w:eastAsia="Times New Roman" w:hAnsi="Cambria" w:cs="Times New Roman"/>
        </w:rPr>
        <w:t>to any legitimate interest.</w:t>
      </w:r>
      <w:r w:rsidR="00210373">
        <w:rPr>
          <w:rStyle w:val="FootnoteReference"/>
          <w:rFonts w:ascii="Cambria" w:eastAsia="Times New Roman" w:hAnsi="Cambria" w:cs="Times New Roman"/>
        </w:rPr>
        <w:footnoteReference w:id="45"/>
      </w:r>
      <w:r w:rsidR="004002B1">
        <w:rPr>
          <w:rFonts w:ascii="Cambria" w:eastAsia="Times New Roman" w:hAnsi="Cambria" w:cs="Times New Roman"/>
        </w:rPr>
        <w:t xml:space="preserve"> </w:t>
      </w:r>
      <w:r w:rsidR="00210373">
        <w:rPr>
          <w:rFonts w:ascii="Cambria" w:eastAsia="Times New Roman" w:hAnsi="Cambria" w:cs="Times New Roman"/>
        </w:rPr>
        <w:t xml:space="preserve"> Lord Toulson again simply concurs with both Lords Hodge and</w:t>
      </w:r>
      <w:r w:rsidR="000B060F">
        <w:rPr>
          <w:rFonts w:ascii="Cambria" w:eastAsia="Times New Roman" w:hAnsi="Cambria" w:cs="Times New Roman"/>
        </w:rPr>
        <w:t xml:space="preserve"> Mance without alluding to their</w:t>
      </w:r>
      <w:r w:rsidR="00210373">
        <w:rPr>
          <w:rFonts w:ascii="Cambria" w:eastAsia="Times New Roman" w:hAnsi="Cambria" w:cs="Times New Roman"/>
        </w:rPr>
        <w:t xml:space="preserve"> </w:t>
      </w:r>
      <w:proofErr w:type="gramStart"/>
      <w:r w:rsidR="000B060F">
        <w:rPr>
          <w:rFonts w:ascii="Cambria" w:eastAsia="Times New Roman" w:hAnsi="Cambria" w:cs="Times New Roman"/>
        </w:rPr>
        <w:t xml:space="preserve">dissensus </w:t>
      </w:r>
      <w:r w:rsidR="00210373">
        <w:rPr>
          <w:rFonts w:ascii="Cambria" w:eastAsia="Times New Roman" w:hAnsi="Cambria" w:cs="Times New Roman"/>
        </w:rPr>
        <w:t xml:space="preserve"> on</w:t>
      </w:r>
      <w:proofErr w:type="gramEnd"/>
      <w:r w:rsidR="00210373">
        <w:rPr>
          <w:rFonts w:ascii="Cambria" w:eastAsia="Times New Roman" w:hAnsi="Cambria" w:cs="Times New Roman"/>
        </w:rPr>
        <w:t xml:space="preserve"> this point.</w:t>
      </w:r>
      <w:r w:rsidR="003103C3">
        <w:rPr>
          <w:rStyle w:val="FootnoteReference"/>
          <w:rFonts w:ascii="Cambria" w:eastAsia="Times New Roman" w:hAnsi="Cambria" w:cs="Times New Roman"/>
        </w:rPr>
        <w:footnoteReference w:id="46"/>
      </w:r>
    </w:p>
    <w:p w14:paraId="3BFB1EDA" w14:textId="77777777" w:rsidR="00E27B5A" w:rsidRDefault="00E27B5A" w:rsidP="005C5EF3">
      <w:pPr>
        <w:jc w:val="both"/>
        <w:rPr>
          <w:rFonts w:ascii="Cambria" w:eastAsia="Times New Roman" w:hAnsi="Cambria" w:cs="Times New Roman"/>
        </w:rPr>
      </w:pPr>
    </w:p>
    <w:p w14:paraId="2A86DD7E" w14:textId="4BE703BD" w:rsidR="004002B1" w:rsidRDefault="00646937" w:rsidP="005C5EF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This uncertainty is </w:t>
      </w:r>
      <w:r w:rsidR="00E27B5A" w:rsidRPr="004A1CB7">
        <w:rPr>
          <w:rFonts w:ascii="Cambria" w:hAnsi="Cambria"/>
        </w:rPr>
        <w:t>deeply unhelpful for future cases, where the delineation between primary and secondary obligation m</w:t>
      </w:r>
      <w:r w:rsidR="00E27B5A">
        <w:rPr>
          <w:rFonts w:ascii="Cambria" w:hAnsi="Cambria"/>
        </w:rPr>
        <w:t>a</w:t>
      </w:r>
      <w:r>
        <w:rPr>
          <w:rFonts w:ascii="Cambria" w:hAnsi="Cambria"/>
        </w:rPr>
        <w:t xml:space="preserve">y be key. </w:t>
      </w:r>
      <w:r w:rsidR="005C5EF3">
        <w:rPr>
          <w:rFonts w:ascii="Cambria" w:hAnsi="Cambria"/>
        </w:rPr>
        <w:t xml:space="preserve">It would have been preferable for Lords Hodge and Clarke to express a concluded view on Clause 5.1, for Lord Mance to be more explicit in his treatment of the two clauses, </w:t>
      </w:r>
      <w:r w:rsidR="00D544BF">
        <w:rPr>
          <w:rFonts w:ascii="Cambria" w:hAnsi="Cambria"/>
        </w:rPr>
        <w:t xml:space="preserve">and for Lord </w:t>
      </w:r>
      <w:proofErr w:type="spellStart"/>
      <w:r w:rsidR="00D544BF">
        <w:rPr>
          <w:rFonts w:ascii="Cambria" w:hAnsi="Cambria"/>
        </w:rPr>
        <w:t>Toulson</w:t>
      </w:r>
      <w:proofErr w:type="spellEnd"/>
      <w:r w:rsidR="00D544BF">
        <w:rPr>
          <w:rFonts w:ascii="Cambria" w:hAnsi="Cambria"/>
        </w:rPr>
        <w:t xml:space="preserve"> to express a view on the differences between the judgments of Lord Hodge and Lord </w:t>
      </w:r>
      <w:proofErr w:type="spellStart"/>
      <w:r w:rsidR="00D544BF">
        <w:rPr>
          <w:rFonts w:ascii="Cambria" w:hAnsi="Cambria"/>
        </w:rPr>
        <w:t>Mance</w:t>
      </w:r>
      <w:proofErr w:type="spellEnd"/>
      <w:r w:rsidR="00D544BF">
        <w:rPr>
          <w:rFonts w:ascii="Cambria" w:hAnsi="Cambria"/>
        </w:rPr>
        <w:t>.</w:t>
      </w:r>
    </w:p>
    <w:p w14:paraId="0D995F88" w14:textId="77777777" w:rsidR="005C5EF3" w:rsidRDefault="005C5EF3" w:rsidP="005C5EF3">
      <w:pPr>
        <w:jc w:val="both"/>
        <w:rPr>
          <w:rFonts w:ascii="Cambria" w:hAnsi="Cambria"/>
        </w:rPr>
      </w:pPr>
    </w:p>
    <w:p w14:paraId="77BBBA4C" w14:textId="313DCA4E" w:rsidR="00E27B5A" w:rsidRDefault="005C5EF3" w:rsidP="005C5EF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Precise characterisation of the clauses was, however, </w:t>
      </w:r>
      <w:r w:rsidR="0040103F">
        <w:rPr>
          <w:rFonts w:ascii="Cambria" w:hAnsi="Cambria"/>
        </w:rPr>
        <w:t>ultimately not necessary to dispose of the case,</w:t>
      </w:r>
      <w:r>
        <w:rPr>
          <w:rFonts w:ascii="Cambria" w:hAnsi="Cambria"/>
        </w:rPr>
        <w:t xml:space="preserve"> </w:t>
      </w:r>
      <w:r w:rsidR="0040103F">
        <w:rPr>
          <w:rFonts w:ascii="Cambria" w:hAnsi="Cambria"/>
        </w:rPr>
        <w:t>as</w:t>
      </w:r>
      <w:r>
        <w:rPr>
          <w:rFonts w:ascii="Cambria" w:hAnsi="Cambria"/>
        </w:rPr>
        <w:t xml:space="preserve"> each of their Lordships viewed the clauses as justifiable. </w:t>
      </w:r>
      <w:r w:rsidR="005F3B8E">
        <w:rPr>
          <w:rFonts w:ascii="Cambria" w:hAnsi="Cambria"/>
        </w:rPr>
        <w:t xml:space="preserve">As for Clause 5.1, </w:t>
      </w:r>
      <w:r w:rsidR="00807AC9">
        <w:rPr>
          <w:rFonts w:ascii="Cambria" w:hAnsi="Cambria"/>
        </w:rPr>
        <w:t>Cavendish</w:t>
      </w:r>
      <w:r w:rsidR="005F3B8E">
        <w:rPr>
          <w:rFonts w:ascii="Cambria" w:hAnsi="Cambria"/>
        </w:rPr>
        <w:t xml:space="preserve"> had </w:t>
      </w:r>
      <w:r w:rsidR="0040103F">
        <w:rPr>
          <w:rFonts w:ascii="Cambria" w:hAnsi="Cambria"/>
        </w:rPr>
        <w:t>“a very substantial legitimate</w:t>
      </w:r>
      <w:r w:rsidR="005F3B8E">
        <w:rPr>
          <w:rFonts w:ascii="Cambria" w:hAnsi="Cambria"/>
        </w:rPr>
        <w:t xml:space="preserve"> interest</w:t>
      </w:r>
      <w:r w:rsidR="0040103F">
        <w:rPr>
          <w:rFonts w:ascii="Cambria" w:hAnsi="Cambria"/>
        </w:rPr>
        <w:t>”</w:t>
      </w:r>
      <w:r w:rsidR="0040103F">
        <w:rPr>
          <w:rStyle w:val="FootnoteReference"/>
          <w:rFonts w:ascii="Cambria" w:hAnsi="Cambria"/>
        </w:rPr>
        <w:footnoteReference w:id="47"/>
      </w:r>
      <w:r w:rsidR="005F3B8E">
        <w:rPr>
          <w:rFonts w:ascii="Cambria" w:hAnsi="Cambria"/>
        </w:rPr>
        <w:t xml:space="preserve"> in ensuring that </w:t>
      </w:r>
      <w:r w:rsidR="004002B1">
        <w:rPr>
          <w:rFonts w:ascii="Cambria" w:hAnsi="Cambria"/>
        </w:rPr>
        <w:t xml:space="preserve">the </w:t>
      </w:r>
      <w:r w:rsidR="005F3B8E">
        <w:rPr>
          <w:rFonts w:ascii="Cambria" w:hAnsi="Cambria"/>
        </w:rPr>
        <w:t>price paid for the business was commensurate with its value, and the clause was a mechanism that ensured the value of the business reflected the fact that Mr Makdessi’s loyalty could no longer be counted on.</w:t>
      </w:r>
      <w:r w:rsidR="005F3B8E">
        <w:rPr>
          <w:rStyle w:val="FootnoteReference"/>
          <w:rFonts w:ascii="Cambria" w:hAnsi="Cambria"/>
        </w:rPr>
        <w:footnoteReference w:id="48"/>
      </w:r>
      <w:r w:rsidR="005F3B8E">
        <w:rPr>
          <w:rFonts w:ascii="Cambria" w:hAnsi="Cambria"/>
        </w:rPr>
        <w:t xml:space="preserve"> The centrality of his co-operation to the goodwill of the company meant that it was irrelevant that a relatively minor breach of a restrictive covenant might trigger </w:t>
      </w:r>
      <w:r w:rsidR="005F3B8E">
        <w:rPr>
          <w:rFonts w:ascii="Cambria" w:hAnsi="Cambria"/>
        </w:rPr>
        <w:lastRenderedPageBreak/>
        <w:t>Clause 5.1.</w:t>
      </w:r>
      <w:r w:rsidR="005F3B8E">
        <w:rPr>
          <w:rStyle w:val="FootnoteReference"/>
          <w:rFonts w:ascii="Cambria" w:hAnsi="Cambria"/>
        </w:rPr>
        <w:footnoteReference w:id="49"/>
      </w:r>
      <w:r w:rsidR="005F3B8E">
        <w:rPr>
          <w:rFonts w:ascii="Cambria" w:hAnsi="Cambria"/>
        </w:rPr>
        <w:t xml:space="preserve"> </w:t>
      </w:r>
      <w:r w:rsidR="0040103F">
        <w:rPr>
          <w:rFonts w:ascii="Cambria" w:hAnsi="Cambria"/>
        </w:rPr>
        <w:t xml:space="preserve"> Similar reasons justified Clause 5.6:</w:t>
      </w:r>
      <w:r w:rsidR="00316D63">
        <w:rPr>
          <w:rFonts w:ascii="Cambria" w:hAnsi="Cambria"/>
        </w:rPr>
        <w:t xml:space="preserve"> Cavendish </w:t>
      </w:r>
      <w:proofErr w:type="gramStart"/>
      <w:r w:rsidR="00316D63">
        <w:rPr>
          <w:rFonts w:ascii="Cambria" w:hAnsi="Cambria"/>
        </w:rPr>
        <w:t>were</w:t>
      </w:r>
      <w:proofErr w:type="gramEnd"/>
      <w:r w:rsidR="00316D63">
        <w:rPr>
          <w:rFonts w:ascii="Cambria" w:hAnsi="Cambria"/>
        </w:rPr>
        <w:t xml:space="preserve"> entitled to provide that, after his attempts to undermine the business, they would not pay for Mr Makdessi’s shares at a value which did not reflect actuality.</w:t>
      </w:r>
      <w:r w:rsidR="00316D63">
        <w:rPr>
          <w:rStyle w:val="FootnoteReference"/>
          <w:rFonts w:ascii="Cambria" w:hAnsi="Cambria"/>
        </w:rPr>
        <w:footnoteReference w:id="50"/>
      </w:r>
      <w:r w:rsidR="00FA4406">
        <w:rPr>
          <w:rFonts w:ascii="Cambria" w:hAnsi="Cambria"/>
        </w:rPr>
        <w:t xml:space="preserve"> This was a perfectly legitimate way of attempting to secure compliance with the restrictive covenants.</w:t>
      </w:r>
      <w:r w:rsidR="00FA4406">
        <w:rPr>
          <w:rStyle w:val="FootnoteReference"/>
          <w:rFonts w:ascii="Cambria" w:hAnsi="Cambria"/>
        </w:rPr>
        <w:footnoteReference w:id="51"/>
      </w:r>
      <w:r w:rsidR="00FA4406">
        <w:rPr>
          <w:rFonts w:ascii="Cambria" w:hAnsi="Cambria"/>
        </w:rPr>
        <w:t xml:space="preserve"> </w:t>
      </w:r>
      <w:r w:rsidR="005F3B8E">
        <w:rPr>
          <w:rFonts w:ascii="Cambria" w:hAnsi="Cambria"/>
        </w:rPr>
        <w:t xml:space="preserve">Moreover, for each clause, it was </w:t>
      </w:r>
      <w:r w:rsidR="00646937">
        <w:rPr>
          <w:rFonts w:ascii="Cambria" w:hAnsi="Cambria"/>
        </w:rPr>
        <w:t>important</w:t>
      </w:r>
      <w:r w:rsidR="005F3B8E">
        <w:rPr>
          <w:rFonts w:ascii="Cambria" w:hAnsi="Cambria"/>
        </w:rPr>
        <w:t xml:space="preserve"> that both were </w:t>
      </w:r>
      <w:r w:rsidR="00316D63">
        <w:rPr>
          <w:rFonts w:ascii="Cambria" w:hAnsi="Cambria"/>
        </w:rPr>
        <w:t>the product</w:t>
      </w:r>
      <w:r w:rsidR="005F3B8E">
        <w:rPr>
          <w:rFonts w:ascii="Cambria" w:hAnsi="Cambria"/>
        </w:rPr>
        <w:t xml:space="preserve"> of a “carefully negotiated agreement between informed and legally advised parties at arms’ length”.</w:t>
      </w:r>
      <w:r w:rsidR="005F3B8E">
        <w:rPr>
          <w:rStyle w:val="FootnoteReference"/>
          <w:rFonts w:ascii="Cambria" w:hAnsi="Cambria"/>
        </w:rPr>
        <w:footnoteReference w:id="52"/>
      </w:r>
    </w:p>
    <w:p w14:paraId="43587AD8" w14:textId="77777777" w:rsidR="00AB530A" w:rsidRDefault="00AB530A" w:rsidP="005C5EF3">
      <w:pPr>
        <w:pStyle w:val="ListParagraph"/>
        <w:jc w:val="both"/>
        <w:rPr>
          <w:i/>
        </w:rPr>
      </w:pPr>
    </w:p>
    <w:p w14:paraId="387003F3" w14:textId="18BF83E3" w:rsidR="00F708FD" w:rsidRPr="00AB530A" w:rsidRDefault="00E2416E" w:rsidP="005C5EF3">
      <w:pPr>
        <w:pStyle w:val="ListParagraph"/>
        <w:numPr>
          <w:ilvl w:val="0"/>
          <w:numId w:val="5"/>
        </w:numPr>
        <w:jc w:val="both"/>
        <w:rPr>
          <w:i/>
        </w:rPr>
      </w:pPr>
      <w:r w:rsidRPr="00AB530A">
        <w:rPr>
          <w:i/>
        </w:rPr>
        <w:t xml:space="preserve">Beavis </w:t>
      </w:r>
    </w:p>
    <w:p w14:paraId="6D686493" w14:textId="77777777" w:rsidR="003C6870" w:rsidRDefault="003C6870" w:rsidP="005C5EF3">
      <w:pPr>
        <w:jc w:val="both"/>
        <w:rPr>
          <w:i/>
        </w:rPr>
      </w:pPr>
    </w:p>
    <w:p w14:paraId="10B74752" w14:textId="107E7907" w:rsidR="009F150D" w:rsidRPr="003C6870" w:rsidRDefault="00265696" w:rsidP="005C5EF3">
      <w:pPr>
        <w:jc w:val="both"/>
      </w:pPr>
      <w:r>
        <w:t>The</w:t>
      </w:r>
      <w:r w:rsidR="00FA4406">
        <w:t xml:space="preserve"> Supreme Court </w:t>
      </w:r>
      <w:r w:rsidR="004002B1">
        <w:t>concluded</w:t>
      </w:r>
      <w:r w:rsidR="00FA4406">
        <w:t xml:space="preserve"> </w:t>
      </w:r>
      <w:r>
        <w:t>that a contract had been formed between Mr Beavis and ParkingEye</w:t>
      </w:r>
      <w:r w:rsidR="00FA4406">
        <w:t>,</w:t>
      </w:r>
      <w:r w:rsidR="00FA4406">
        <w:rPr>
          <w:rStyle w:val="FootnoteReference"/>
        </w:rPr>
        <w:footnoteReference w:id="53"/>
      </w:r>
      <w:r w:rsidR="00FA4406">
        <w:t xml:space="preserve"> and </w:t>
      </w:r>
      <w:r w:rsidR="003C6870">
        <w:t>ParkingEye accepted that the charge was operable on breach</w:t>
      </w:r>
      <w:r w:rsidR="00FA4406">
        <w:t>.</w:t>
      </w:r>
      <w:r w:rsidR="00F84654">
        <w:t xml:space="preserve"> Lords Neuberger and Sumption held that the scheme had two legitimate purposes: to free the car park from congestion to allow</w:t>
      </w:r>
      <w:r w:rsidR="0050322A">
        <w:t xml:space="preserve"> a steady stream of customers to park and have access to the retail park; and to provide ParkingEye with its sole stream of revenue.</w:t>
      </w:r>
      <w:r w:rsidR="0050322A">
        <w:rPr>
          <w:rStyle w:val="FootnoteReference"/>
        </w:rPr>
        <w:footnoteReference w:id="54"/>
      </w:r>
      <w:r w:rsidR="0050322A">
        <w:t xml:space="preserve"> Importantly, their Lordships noted that, despite </w:t>
      </w:r>
      <w:r w:rsidR="004002B1">
        <w:t>the way in which it had formulated</w:t>
      </w:r>
      <w:r w:rsidR="0050322A">
        <w:t xml:space="preserve"> the test,</w:t>
      </w:r>
      <w:r w:rsidR="0050322A">
        <w:rPr>
          <w:rStyle w:val="FootnoteReference"/>
        </w:rPr>
        <w:footnoteReference w:id="55"/>
      </w:r>
      <w:r w:rsidR="0050322A">
        <w:t xml:space="preserve"> it was not restricted to </w:t>
      </w:r>
      <w:r w:rsidR="00C737E2">
        <w:t>a consideration of the interests of the innocent party.</w:t>
      </w:r>
      <w:r w:rsidR="00C737E2">
        <w:rPr>
          <w:rStyle w:val="FootnoteReference"/>
        </w:rPr>
        <w:footnoteReference w:id="56"/>
      </w:r>
      <w:r w:rsidR="00C737E2">
        <w:t xml:space="preserve"> Instead, the interests of not just ParkingEye, but also of the landowners, the retailer-tenants, and the wider public, could be pressed into action to justify the operation of this clause. While it may be difficult, or artificial, sometimes </w:t>
      </w:r>
      <w:r w:rsidR="004002B1">
        <w:t xml:space="preserve">to </w:t>
      </w:r>
      <w:r w:rsidR="00213749">
        <w:t xml:space="preserve">separate the interests of the innocent party from its client or principal, the wide range of </w:t>
      </w:r>
      <w:r w:rsidR="009F150D">
        <w:t>interests that</w:t>
      </w:r>
      <w:r w:rsidR="00213749">
        <w:t xml:space="preserve"> may be taken into account when justifying a clause indicates the difficulty of impugning a clause as penal</w:t>
      </w:r>
      <w:r w:rsidR="009F150D">
        <w:t xml:space="preserve">. It is therefore unsurprising that their Lordships held that an £85 charge was not exorbitant or unconscionable in light of all those interests. </w:t>
      </w:r>
    </w:p>
    <w:p w14:paraId="387003F4" w14:textId="42000094" w:rsidR="00F708FD" w:rsidRPr="00752A3D" w:rsidRDefault="00807AC9" w:rsidP="005C5EF3">
      <w:pPr>
        <w:jc w:val="both"/>
        <w:rPr>
          <w:b/>
        </w:rPr>
      </w:pPr>
      <w:r>
        <w:rPr>
          <w:b/>
        </w:rPr>
        <w:br/>
        <w:t>E</w:t>
      </w:r>
      <w:r w:rsidR="00F708FD" w:rsidRPr="00752A3D">
        <w:rPr>
          <w:b/>
        </w:rPr>
        <w:t>: CONCLUSION</w:t>
      </w:r>
      <w:r w:rsidR="00265696">
        <w:rPr>
          <w:b/>
        </w:rPr>
        <w:t>S</w:t>
      </w:r>
    </w:p>
    <w:p w14:paraId="387003F5" w14:textId="77777777" w:rsidR="006C64B8" w:rsidRDefault="006C64B8" w:rsidP="005C5EF3">
      <w:pPr>
        <w:jc w:val="both"/>
        <w:rPr>
          <w:b/>
        </w:rPr>
      </w:pPr>
    </w:p>
    <w:p w14:paraId="39C6D950" w14:textId="19E9FBD7" w:rsidR="00265696" w:rsidRDefault="001D300F" w:rsidP="005C5EF3">
      <w:pPr>
        <w:jc w:val="both"/>
      </w:pPr>
      <w:r>
        <w:t xml:space="preserve">Despite the Supreme Court’s refusal to abolish the penalty doctrine, those who would like to see the rule against penalties </w:t>
      </w:r>
      <w:r w:rsidR="006D34DA">
        <w:t xml:space="preserve">meet its quietus may draw some solace from the decision. </w:t>
      </w:r>
      <w:r>
        <w:t>The</w:t>
      </w:r>
      <w:r w:rsidR="006D34DA">
        <w:t xml:space="preserve"> retention of the breach limitation, and the adoption of a broader app</w:t>
      </w:r>
      <w:r w:rsidR="00ED3739">
        <w:t xml:space="preserve">roach to the aims and </w:t>
      </w:r>
      <w:r w:rsidR="000D5ED8">
        <w:t>interests that</w:t>
      </w:r>
      <w:r w:rsidR="006D34DA">
        <w:t xml:space="preserve"> a clause may legitimately safeguard, </w:t>
      </w:r>
      <w:r w:rsidR="004002B1">
        <w:t xml:space="preserve">severely attenuates the scope for judicial intervention in the context of agreed remedy clauses. </w:t>
      </w:r>
      <w:r w:rsidR="006D34DA">
        <w:t xml:space="preserve">Sophisticated parties, </w:t>
      </w:r>
      <w:r w:rsidR="0054649A">
        <w:t xml:space="preserve">previously able to avoid its operation by flouting the breach limitation, now also </w:t>
      </w:r>
      <w:r w:rsidR="004002B1">
        <w:t>are</w:t>
      </w:r>
      <w:r w:rsidR="0054649A">
        <w:t xml:space="preserve"> able to insulate clauses by identifying some legitimate objective that they may </w:t>
      </w:r>
      <w:r w:rsidR="004002B1">
        <w:t>pursue</w:t>
      </w:r>
      <w:r w:rsidR="0054649A">
        <w:t>. So long as the stipulated sum is not outrageous</w:t>
      </w:r>
      <w:r w:rsidR="004002B1">
        <w:t xml:space="preserve"> in relation to that interest</w:t>
      </w:r>
      <w:r w:rsidR="0054649A">
        <w:t>, it is difficult to conceive of a case where a court would intervene in such a scenario.</w:t>
      </w:r>
    </w:p>
    <w:p w14:paraId="7A9118B2" w14:textId="77777777" w:rsidR="0054649A" w:rsidRDefault="0054649A" w:rsidP="005C5EF3">
      <w:pPr>
        <w:jc w:val="both"/>
      </w:pPr>
    </w:p>
    <w:p w14:paraId="1C004A36" w14:textId="19A066FE" w:rsidR="0054649A" w:rsidRPr="00703780" w:rsidRDefault="009F150D" w:rsidP="00DD2260">
      <w:pPr>
        <w:jc w:val="both"/>
      </w:pPr>
      <w:r>
        <w:lastRenderedPageBreak/>
        <w:t>The</w:t>
      </w:r>
      <w:r w:rsidR="0054649A">
        <w:t xml:space="preserve"> Scottish Law Commission is (re-)considering</w:t>
      </w:r>
      <w:r w:rsidR="00DD2260">
        <w:rPr>
          <w:rStyle w:val="FootnoteReference"/>
        </w:rPr>
        <w:footnoteReference w:id="57"/>
      </w:r>
      <w:r w:rsidR="00DA791F">
        <w:t xml:space="preserve"> the law on</w:t>
      </w:r>
      <w:r w:rsidR="0054649A">
        <w:t xml:space="preserve"> penalty clauses</w:t>
      </w:r>
      <w:r w:rsidR="00226B78">
        <w:t xml:space="preserve"> </w:t>
      </w:r>
      <w:r w:rsidR="0054649A">
        <w:t xml:space="preserve">as part of its </w:t>
      </w:r>
      <w:r w:rsidR="00DD2260">
        <w:t xml:space="preserve">project on “Contract Law in Light of the Draft Common Frame of Reference”. The </w:t>
      </w:r>
      <w:r w:rsidR="00DA791F">
        <w:t xml:space="preserve">equivalent test in the </w:t>
      </w:r>
      <w:r w:rsidR="00DD2260">
        <w:t>DCFR is whether the clause is “grossly excessive in relation to the loss resulting from the non-performance and the other circumstances.”</w:t>
      </w:r>
      <w:r w:rsidR="00DD2260">
        <w:rPr>
          <w:rStyle w:val="FootnoteReference"/>
        </w:rPr>
        <w:footnoteReference w:id="58"/>
      </w:r>
      <w:r w:rsidR="00703780">
        <w:t xml:space="preserve"> The difference between this and the </w:t>
      </w:r>
      <w:r w:rsidR="00703780">
        <w:rPr>
          <w:i/>
        </w:rPr>
        <w:t xml:space="preserve">Cavendish </w:t>
      </w:r>
      <w:r w:rsidR="00703780">
        <w:t>test may be imperc</w:t>
      </w:r>
      <w:r w:rsidR="00DA791F">
        <w:t xml:space="preserve">eptible. The </w:t>
      </w:r>
      <w:r w:rsidR="000A0EAC">
        <w:t>more interesting</w:t>
      </w:r>
      <w:r w:rsidR="00DA791F">
        <w:t xml:space="preserve"> question</w:t>
      </w:r>
      <w:r w:rsidR="0007199F">
        <w:t xml:space="preserve"> may</w:t>
      </w:r>
      <w:r w:rsidR="00703780">
        <w:t xml:space="preserve"> </w:t>
      </w:r>
      <w:r w:rsidR="0007199F">
        <w:t xml:space="preserve">therefore </w:t>
      </w:r>
      <w:r w:rsidR="00703780">
        <w:t>be whether the Scottish Law Commission will step where the Supreme Court did not dare to tread: either by removing the breach limitation,</w:t>
      </w:r>
      <w:r w:rsidR="00703780">
        <w:rPr>
          <w:rStyle w:val="FootnoteReference"/>
        </w:rPr>
        <w:footnoteReference w:id="59"/>
      </w:r>
      <w:r>
        <w:t xml:space="preserve"> or by jettisoning the penalty</w:t>
      </w:r>
      <w:r w:rsidR="00703780">
        <w:t xml:space="preserve"> doctrine in its entirety. </w:t>
      </w:r>
    </w:p>
    <w:p w14:paraId="7AAAE820" w14:textId="77777777" w:rsidR="00E20A45" w:rsidRPr="00752A3D" w:rsidRDefault="00E20A45" w:rsidP="005C5EF3">
      <w:pPr>
        <w:jc w:val="right"/>
      </w:pPr>
    </w:p>
    <w:p w14:paraId="387003FA" w14:textId="77777777" w:rsidR="002B55C1" w:rsidRPr="00752A3D" w:rsidRDefault="002B55C1" w:rsidP="005C5EF3">
      <w:pPr>
        <w:jc w:val="right"/>
        <w:rPr>
          <w:i/>
        </w:rPr>
      </w:pPr>
      <w:r w:rsidRPr="00752A3D">
        <w:rPr>
          <w:i/>
        </w:rPr>
        <w:t>Bobby Lindsay</w:t>
      </w:r>
    </w:p>
    <w:p w14:paraId="387003FB" w14:textId="77777777" w:rsidR="002B55C1" w:rsidRPr="00752A3D" w:rsidRDefault="002B55C1" w:rsidP="005C5EF3">
      <w:pPr>
        <w:jc w:val="right"/>
        <w:rPr>
          <w:i/>
        </w:rPr>
      </w:pPr>
      <w:r w:rsidRPr="00752A3D">
        <w:rPr>
          <w:i/>
        </w:rPr>
        <w:t>University of Glasgow</w:t>
      </w:r>
    </w:p>
    <w:sectPr w:rsidR="002B55C1" w:rsidRPr="00752A3D" w:rsidSect="002952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25367" w14:textId="77777777" w:rsidR="001D1587" w:rsidRDefault="001D1587" w:rsidP="0097386C">
      <w:r>
        <w:separator/>
      </w:r>
    </w:p>
  </w:endnote>
  <w:endnote w:type="continuationSeparator" w:id="0">
    <w:p w14:paraId="5880AB31" w14:textId="77777777" w:rsidR="001D1587" w:rsidRDefault="001D1587" w:rsidP="0097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A7AF8" w14:textId="77777777" w:rsidR="001D1587" w:rsidRDefault="001D1587" w:rsidP="0097386C">
      <w:r>
        <w:separator/>
      </w:r>
    </w:p>
  </w:footnote>
  <w:footnote w:type="continuationSeparator" w:id="0">
    <w:p w14:paraId="5D89B528" w14:textId="77777777" w:rsidR="001D1587" w:rsidRDefault="001D1587" w:rsidP="0097386C">
      <w:r>
        <w:continuationSeparator/>
      </w:r>
    </w:p>
  </w:footnote>
  <w:footnote w:id="1">
    <w:p w14:paraId="7C41E163" w14:textId="24143B27" w:rsidR="007233A4" w:rsidRPr="007233A4" w:rsidRDefault="007233A4">
      <w:pPr>
        <w:pStyle w:val="FootnoteText"/>
        <w:rPr>
          <w:sz w:val="20"/>
          <w:szCs w:val="20"/>
        </w:rPr>
      </w:pPr>
      <w:r w:rsidRPr="007233A4">
        <w:rPr>
          <w:rStyle w:val="FootnoteReference"/>
          <w:sz w:val="20"/>
          <w:szCs w:val="20"/>
        </w:rPr>
        <w:t>*</w:t>
      </w:r>
      <w:r w:rsidRPr="007233A4">
        <w:rPr>
          <w:sz w:val="20"/>
          <w:szCs w:val="20"/>
        </w:rPr>
        <w:t xml:space="preserve"> A final version of this case note will appear </w:t>
      </w:r>
      <w:r>
        <w:rPr>
          <w:sz w:val="20"/>
          <w:szCs w:val="20"/>
        </w:rPr>
        <w:t>as</w:t>
      </w:r>
      <w:bookmarkStart w:id="0" w:name="_GoBack"/>
      <w:bookmarkEnd w:id="0"/>
      <w:r w:rsidRPr="007233A4">
        <w:rPr>
          <w:sz w:val="20"/>
          <w:szCs w:val="20"/>
        </w:rPr>
        <w:t xml:space="preserve"> (2016) 20(2) </w:t>
      </w:r>
      <w:r w:rsidRPr="007233A4">
        <w:rPr>
          <w:i/>
          <w:sz w:val="20"/>
          <w:szCs w:val="20"/>
        </w:rPr>
        <w:t xml:space="preserve">Edinburgh Law Review </w:t>
      </w:r>
      <w:r w:rsidRPr="007233A4">
        <w:rPr>
          <w:sz w:val="20"/>
          <w:szCs w:val="20"/>
        </w:rPr>
        <w:t>204-210.</w:t>
      </w:r>
    </w:p>
  </w:footnote>
  <w:footnote w:id="2">
    <w:p w14:paraId="38700400" w14:textId="2A1FFED8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[2015] UKSC 67; [2015] 3 WLR 1373.</w:t>
      </w:r>
      <w:proofErr w:type="gramEnd"/>
      <w:r w:rsidRPr="007233A4">
        <w:rPr>
          <w:rFonts w:ascii="Cambria" w:hAnsi="Cambria"/>
          <w:sz w:val="20"/>
          <w:szCs w:val="20"/>
          <w:lang w:val="en-US"/>
        </w:rPr>
        <w:t xml:space="preserve"> </w:t>
      </w:r>
    </w:p>
  </w:footnote>
  <w:footnote w:id="3">
    <w:p w14:paraId="5D1C0BCD" w14:textId="5309C241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[1915] AC 79.</w:t>
      </w:r>
      <w:proofErr w:type="gramEnd"/>
    </w:p>
  </w:footnote>
  <w:footnote w:id="4">
    <w:p w14:paraId="6CA8ADFF" w14:textId="202C487A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Confirmed in </w:t>
      </w:r>
      <w:r w:rsidRPr="007233A4">
        <w:rPr>
          <w:rFonts w:ascii="Cambria" w:hAnsi="Cambria"/>
          <w:i/>
          <w:sz w:val="20"/>
          <w:szCs w:val="20"/>
        </w:rPr>
        <w:t xml:space="preserve">Export Credits Guarantee Department v Universal Oil Co </w:t>
      </w:r>
      <w:r w:rsidRPr="007233A4">
        <w:rPr>
          <w:rFonts w:ascii="Cambria" w:hAnsi="Cambria"/>
          <w:sz w:val="20"/>
          <w:szCs w:val="20"/>
        </w:rPr>
        <w:t>[1983] 1 WLR 399.</w:t>
      </w:r>
    </w:p>
  </w:footnote>
  <w:footnote w:id="5">
    <w:p w14:paraId="38700401" w14:textId="355C333F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[2012] EWHC 3582 (Comm); [2013] 1 All ER (Comm) 787.</w:t>
      </w:r>
      <w:proofErr w:type="gramEnd"/>
    </w:p>
  </w:footnote>
  <w:footnote w:id="6">
    <w:p w14:paraId="49DE3ED2" w14:textId="6C13620B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[2013] EWCA Civ 1539; [2014] 2 All ER (Comm) 125.</w:t>
      </w:r>
      <w:proofErr w:type="gramEnd"/>
    </w:p>
  </w:footnote>
  <w:footnote w:id="7">
    <w:p w14:paraId="38700402" w14:textId="77777777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[2015] EWCA Civ 402.</w:t>
      </w:r>
      <w:proofErr w:type="gramEnd"/>
    </w:p>
  </w:footnote>
  <w:footnote w:id="8">
    <w:p w14:paraId="6A8CDCAE" w14:textId="797AE3A1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>Beavis</w:t>
      </w:r>
      <w:r w:rsidRPr="007233A4">
        <w:rPr>
          <w:i/>
          <w:sz w:val="20"/>
          <w:szCs w:val="20"/>
          <w:lang w:val="en-US"/>
        </w:rPr>
        <w:t xml:space="preserve"> </w:t>
      </w:r>
      <w:r w:rsidRPr="007233A4">
        <w:rPr>
          <w:sz w:val="20"/>
          <w:szCs w:val="20"/>
          <w:lang w:val="en-US"/>
        </w:rPr>
        <w:t xml:space="preserve">also </w:t>
      </w:r>
      <w:r w:rsidR="006E3E22" w:rsidRPr="007233A4">
        <w:rPr>
          <w:sz w:val="20"/>
          <w:szCs w:val="20"/>
        </w:rPr>
        <w:t>c</w:t>
      </w:r>
      <w:proofErr w:type="spellStart"/>
      <w:r w:rsidRPr="007233A4">
        <w:rPr>
          <w:sz w:val="20"/>
          <w:szCs w:val="20"/>
          <w:lang w:val="en-US"/>
        </w:rPr>
        <w:t>halleng</w:t>
      </w:r>
      <w:r w:rsidR="006E3E22" w:rsidRPr="007233A4">
        <w:rPr>
          <w:sz w:val="20"/>
          <w:szCs w:val="20"/>
        </w:rPr>
        <w:t>ed</w:t>
      </w:r>
      <w:proofErr w:type="spellEnd"/>
      <w:r w:rsidR="006E3E22" w:rsidRPr="007233A4">
        <w:rPr>
          <w:sz w:val="20"/>
          <w:szCs w:val="20"/>
        </w:rPr>
        <w:t xml:space="preserve"> the </w:t>
      </w:r>
      <w:proofErr w:type="spellStart"/>
      <w:r w:rsidR="006E3E22" w:rsidRPr="007233A4">
        <w:rPr>
          <w:sz w:val="20"/>
          <w:szCs w:val="20"/>
        </w:rPr>
        <w:t>charg</w:t>
      </w:r>
      <w:proofErr w:type="spellEnd"/>
      <w:r w:rsidRPr="007233A4">
        <w:rPr>
          <w:sz w:val="20"/>
          <w:szCs w:val="20"/>
          <w:lang w:val="en-US"/>
        </w:rPr>
        <w:t xml:space="preserve">e under the </w:t>
      </w:r>
      <w:r w:rsidRPr="007233A4">
        <w:rPr>
          <w:sz w:val="20"/>
          <w:szCs w:val="20"/>
        </w:rPr>
        <w:t xml:space="preserve">Unfair Terms in Consumer Contract Regulations 1999 (SI </w:t>
      </w:r>
      <w:r w:rsidRPr="007233A4">
        <w:rPr>
          <w:rFonts w:ascii="Cambria" w:hAnsi="Cambria"/>
          <w:sz w:val="20"/>
          <w:szCs w:val="20"/>
          <w:lang w:val="en-US"/>
        </w:rPr>
        <w:t xml:space="preserve">1999/2083). That issue will not be discussed </w:t>
      </w:r>
      <w:r w:rsidR="00935A19" w:rsidRPr="007233A4">
        <w:rPr>
          <w:rFonts w:ascii="Cambria" w:hAnsi="Cambria"/>
          <w:sz w:val="20"/>
          <w:szCs w:val="20"/>
        </w:rPr>
        <w:t>here</w:t>
      </w:r>
      <w:r w:rsidR="00063732" w:rsidRPr="007233A4">
        <w:rPr>
          <w:rFonts w:ascii="Cambria" w:hAnsi="Cambria"/>
          <w:sz w:val="20"/>
          <w:szCs w:val="20"/>
          <w:lang w:val="en-US"/>
        </w:rPr>
        <w:t xml:space="preserve">; save for noting </w:t>
      </w:r>
      <w:r w:rsidRPr="007233A4">
        <w:rPr>
          <w:rFonts w:ascii="Cambria" w:hAnsi="Cambria"/>
          <w:sz w:val="20"/>
          <w:szCs w:val="20"/>
          <w:lang w:val="en-US"/>
        </w:rPr>
        <w:t>that there is much to be said for the minority view of Lord Toulson JSC.</w:t>
      </w:r>
    </w:p>
  </w:footnote>
  <w:footnote w:id="9">
    <w:p w14:paraId="2B36BB7F" w14:textId="0BC845F1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r w:rsidRPr="007233A4">
        <w:rPr>
          <w:rFonts w:ascii="Cambria" w:hAnsi="Cambria"/>
          <w:sz w:val="20"/>
          <w:szCs w:val="20"/>
          <w:lang w:val="en-US"/>
        </w:rPr>
        <w:t>With which Lord Carnwarth JSC concurred.</w:t>
      </w:r>
    </w:p>
  </w:footnote>
  <w:footnote w:id="10">
    <w:p w14:paraId="0D442420" w14:textId="3F3F6B97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36.</w:t>
      </w:r>
      <w:proofErr w:type="gramEnd"/>
    </w:p>
  </w:footnote>
  <w:footnote w:id="11">
    <w:p w14:paraId="2444DE41" w14:textId="0BB72A6A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Paras 162-163.</w:t>
      </w:r>
    </w:p>
  </w:footnote>
  <w:footnote w:id="12">
    <w:p w14:paraId="51E34BAB" w14:textId="77777777" w:rsidR="0066727E" w:rsidRPr="007233A4" w:rsidRDefault="0066727E" w:rsidP="0066727E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165.</w:t>
      </w:r>
      <w:proofErr w:type="gramEnd"/>
    </w:p>
  </w:footnote>
  <w:footnote w:id="13">
    <w:p w14:paraId="51F0DC44" w14:textId="77777777" w:rsidR="0066727E" w:rsidRPr="007233A4" w:rsidRDefault="0066727E" w:rsidP="0066727E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166.</w:t>
      </w:r>
      <w:proofErr w:type="gramEnd"/>
      <w:r w:rsidRPr="007233A4">
        <w:rPr>
          <w:rFonts w:ascii="Cambria" w:hAnsi="Cambria"/>
          <w:sz w:val="20"/>
          <w:szCs w:val="20"/>
        </w:rPr>
        <w:t xml:space="preserve"> His Lordship included Scotland within this category.</w:t>
      </w:r>
    </w:p>
  </w:footnote>
  <w:footnote w:id="14">
    <w:p w14:paraId="72217AB6" w14:textId="77777777" w:rsidR="0066727E" w:rsidRPr="007233A4" w:rsidRDefault="0066727E" w:rsidP="0066727E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164.</w:t>
      </w:r>
      <w:proofErr w:type="gramEnd"/>
    </w:p>
  </w:footnote>
  <w:footnote w:id="15">
    <w:p w14:paraId="0AD7C05B" w14:textId="29926F18" w:rsidR="0066727E" w:rsidRPr="007233A4" w:rsidRDefault="0066727E">
      <w:pPr>
        <w:pStyle w:val="FootnoteText"/>
        <w:rPr>
          <w:sz w:val="20"/>
          <w:szCs w:val="20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</w:rPr>
        <w:t>Para 166.</w:t>
      </w:r>
      <w:proofErr w:type="gramEnd"/>
    </w:p>
  </w:footnote>
  <w:footnote w:id="16">
    <w:p w14:paraId="438E3A4B" w14:textId="02C06644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Paras 263 and 265.</w:t>
      </w:r>
      <w:proofErr w:type="gramEnd"/>
    </w:p>
  </w:footnote>
  <w:footnote w:id="17">
    <w:p w14:paraId="706BE1D9" w14:textId="7EED43BB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Paras 167.</w:t>
      </w:r>
      <w:proofErr w:type="gramEnd"/>
    </w:p>
  </w:footnote>
  <w:footnote w:id="18">
    <w:p w14:paraId="7F2A79B8" w14:textId="0C7F690F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Paras 260-262.</w:t>
      </w:r>
    </w:p>
  </w:footnote>
  <w:footnote w:id="19">
    <w:p w14:paraId="5B30E970" w14:textId="56395D47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[2012] HCA 30; (2012) 247 CLR.</w:t>
      </w:r>
      <w:proofErr w:type="gramEnd"/>
    </w:p>
  </w:footnote>
  <w:footnote w:id="20">
    <w:p w14:paraId="4DE4B0DF" w14:textId="77777777" w:rsidR="004814DF" w:rsidRPr="007233A4" w:rsidRDefault="004814DF" w:rsidP="004814DF">
      <w:pPr>
        <w:pStyle w:val="FootnoteText"/>
        <w:rPr>
          <w:sz w:val="20"/>
          <w:szCs w:val="20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</w:rPr>
        <w:t>Para 42.</w:t>
      </w:r>
      <w:proofErr w:type="gramEnd"/>
      <w:r w:rsidRPr="007233A4">
        <w:rPr>
          <w:sz w:val="20"/>
          <w:szCs w:val="20"/>
        </w:rPr>
        <w:t xml:space="preserve"> </w:t>
      </w:r>
    </w:p>
  </w:footnote>
  <w:footnote w:id="21">
    <w:p w14:paraId="739863A2" w14:textId="176BF9B5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r w:rsidR="004814DF" w:rsidRPr="007233A4">
        <w:rPr>
          <w:rFonts w:ascii="Cambria" w:hAnsi="Cambria"/>
          <w:sz w:val="20"/>
          <w:szCs w:val="20"/>
          <w:lang w:val="en-US"/>
        </w:rPr>
        <w:t>Ibid.</w:t>
      </w:r>
    </w:p>
  </w:footnote>
  <w:footnote w:id="22">
    <w:p w14:paraId="3BE15841" w14:textId="49D4B62D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241.</w:t>
      </w:r>
      <w:proofErr w:type="gramEnd"/>
    </w:p>
  </w:footnote>
  <w:footnote w:id="23">
    <w:p w14:paraId="1DDFEA08" w14:textId="2A2B7C8A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130.</w:t>
      </w:r>
      <w:proofErr w:type="gramEnd"/>
    </w:p>
  </w:footnote>
  <w:footnote w:id="24">
    <w:p w14:paraId="6ECE68B8" w14:textId="10F7EC35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r w:rsidRPr="007233A4">
        <w:rPr>
          <w:rFonts w:ascii="Cambria" w:hAnsi="Cambria"/>
          <w:sz w:val="20"/>
          <w:szCs w:val="20"/>
          <w:lang w:val="en-US"/>
        </w:rPr>
        <w:t>Ibid.</w:t>
      </w:r>
    </w:p>
  </w:footnote>
  <w:footnote w:id="25">
    <w:p w14:paraId="5AF96533" w14:textId="0EA6DA65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See e.g. Paras 13-14. </w:t>
      </w:r>
    </w:p>
  </w:footnote>
  <w:footnote w:id="26">
    <w:p w14:paraId="742CCA3C" w14:textId="4F2FA45D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22.</w:t>
      </w:r>
      <w:proofErr w:type="gramEnd"/>
    </w:p>
  </w:footnote>
  <w:footnote w:id="27">
    <w:p w14:paraId="380B7C08" w14:textId="292E4A54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Para</w:t>
      </w:r>
      <w:r w:rsidRPr="007233A4">
        <w:rPr>
          <w:rFonts w:ascii="Cambria" w:hAnsi="Cambria"/>
          <w:sz w:val="20"/>
          <w:szCs w:val="20"/>
          <w:lang w:val="en-US"/>
        </w:rPr>
        <w:t xml:space="preserve"> 22-24.</w:t>
      </w:r>
    </w:p>
  </w:footnote>
  <w:footnote w:id="28">
    <w:p w14:paraId="57BB5B38" w14:textId="46E7F2A5" w:rsidR="00646937" w:rsidRPr="007233A4" w:rsidRDefault="00646937">
      <w:pPr>
        <w:pStyle w:val="FootnoteTex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 xml:space="preserve">Ibid, quoting </w:t>
      </w:r>
      <w:r w:rsidRPr="007233A4">
        <w:rPr>
          <w:i/>
          <w:sz w:val="20"/>
          <w:szCs w:val="20"/>
          <w:lang w:val="en-US"/>
        </w:rPr>
        <w:t xml:space="preserve">Dunlop, </w:t>
      </w:r>
      <w:r w:rsidRPr="007233A4">
        <w:rPr>
          <w:sz w:val="20"/>
          <w:szCs w:val="20"/>
          <w:lang w:val="en-US"/>
        </w:rPr>
        <w:t>87.</w:t>
      </w:r>
      <w:proofErr w:type="gramEnd"/>
    </w:p>
  </w:footnote>
  <w:footnote w:id="29">
    <w:p w14:paraId="6EEFA4B5" w14:textId="5CD45A2D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Paras 26-28. </w:t>
      </w:r>
    </w:p>
  </w:footnote>
  <w:footnote w:id="30">
    <w:p w14:paraId="75AF80F9" w14:textId="53647C67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r w:rsidRPr="007233A4">
        <w:rPr>
          <w:rFonts w:ascii="Cambria" w:hAnsi="Cambria"/>
          <w:sz w:val="20"/>
          <w:szCs w:val="20"/>
          <w:lang w:val="en-US"/>
        </w:rPr>
        <w:t>P</w:t>
      </w:r>
      <w:r w:rsidR="00334C53" w:rsidRPr="007233A4">
        <w:rPr>
          <w:rFonts w:ascii="Cambria" w:hAnsi="Cambria"/>
          <w:sz w:val="20"/>
          <w:szCs w:val="20"/>
          <w:lang w:val="en-US"/>
        </w:rPr>
        <w:t xml:space="preserve">ara 32 (emphasis added). </w:t>
      </w:r>
    </w:p>
  </w:footnote>
  <w:footnote w:id="31">
    <w:p w14:paraId="637DB61E" w14:textId="4BDE4C9A" w:rsidR="00334C53" w:rsidRPr="007233A4" w:rsidRDefault="00334C53" w:rsidP="00334C53">
      <w:pPr>
        <w:spacing w:line="240" w:lineRule="exact"/>
        <w:rPr>
          <w:rFonts w:ascii="Cambria" w:eastAsia="Times New Roman" w:hAnsi="Cambria" w:cs="Times New Roman"/>
          <w:sz w:val="20"/>
          <w:szCs w:val="20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r w:rsidR="004814DF" w:rsidRPr="007233A4">
        <w:rPr>
          <w:rFonts w:ascii="Cambria" w:hAnsi="Cambria"/>
          <w:sz w:val="20"/>
          <w:szCs w:val="20"/>
          <w:lang w:val="en-US"/>
        </w:rPr>
        <w:t>Harking back to, e.g,</w:t>
      </w:r>
      <w:r w:rsidRPr="007233A4">
        <w:rPr>
          <w:rFonts w:ascii="Cambria" w:hAnsi="Cambria"/>
          <w:sz w:val="20"/>
          <w:szCs w:val="20"/>
          <w:lang w:val="en-US"/>
        </w:rPr>
        <w:t xml:space="preserve"> </w:t>
      </w:r>
      <w:r w:rsidRPr="007233A4">
        <w:rPr>
          <w:rFonts w:ascii="Cambria" w:eastAsia="Times New Roman" w:hAnsi="Cambria" w:cs="Times New Roman"/>
          <w:i/>
          <w:iCs/>
          <w:color w:val="000000"/>
          <w:sz w:val="20"/>
          <w:szCs w:val="20"/>
          <w:shd w:val="clear" w:color="auto" w:fill="FFFFFF"/>
        </w:rPr>
        <w:t>Forrest and Barr</w:t>
      </w:r>
      <w:r w:rsidRPr="007233A4">
        <w:rPr>
          <w:rFonts w:ascii="Cambria" w:eastAsia="Times New Roman" w:hAnsi="Cambria" w:cs="Times New Roman"/>
          <w:color w:val="000000"/>
          <w:sz w:val="20"/>
          <w:szCs w:val="20"/>
          <w:shd w:val="clear" w:color="auto" w:fill="FFFFFF"/>
        </w:rPr>
        <w:t> v. </w:t>
      </w:r>
      <w:r w:rsidRPr="007233A4">
        <w:rPr>
          <w:rFonts w:ascii="Cambria" w:eastAsia="Times New Roman" w:hAnsi="Cambria" w:cs="Times New Roman"/>
          <w:i/>
          <w:iCs/>
          <w:color w:val="000000"/>
          <w:sz w:val="20"/>
          <w:szCs w:val="20"/>
          <w:shd w:val="clear" w:color="auto" w:fill="FFFFFF"/>
        </w:rPr>
        <w:t xml:space="preserve">Henderson, </w:t>
      </w:r>
      <w:proofErr w:type="spellStart"/>
      <w:r w:rsidRPr="007233A4">
        <w:rPr>
          <w:rFonts w:ascii="Cambria" w:eastAsia="Times New Roman" w:hAnsi="Cambria" w:cs="Times New Roman"/>
          <w:i/>
          <w:iCs/>
          <w:color w:val="000000"/>
          <w:sz w:val="20"/>
          <w:szCs w:val="20"/>
          <w:shd w:val="clear" w:color="auto" w:fill="FFFFFF"/>
        </w:rPr>
        <w:t>Coulborn</w:t>
      </w:r>
      <w:proofErr w:type="spellEnd"/>
      <w:r w:rsidRPr="007233A4">
        <w:rPr>
          <w:rFonts w:ascii="Cambria" w:eastAsia="Times New Roman" w:hAnsi="Cambria" w:cs="Times New Roman"/>
          <w:i/>
          <w:iCs/>
          <w:color w:val="000000"/>
          <w:sz w:val="20"/>
          <w:szCs w:val="20"/>
          <w:shd w:val="clear" w:color="auto" w:fill="FFFFFF"/>
        </w:rPr>
        <w:t xml:space="preserve"> &amp; Co</w:t>
      </w:r>
      <w:r w:rsidRPr="007233A4">
        <w:rPr>
          <w:rFonts w:ascii="Cambria" w:eastAsia="Times New Roman" w:hAnsi="Cambria" w:cs="Times New Roman"/>
          <w:color w:val="000000"/>
          <w:sz w:val="20"/>
          <w:szCs w:val="20"/>
          <w:shd w:val="clear" w:color="auto" w:fill="FFFFFF"/>
        </w:rPr>
        <w:t>. (1869) 8 M 187.</w:t>
      </w:r>
    </w:p>
  </w:footnote>
  <w:footnote w:id="32">
    <w:p w14:paraId="68C07C94" w14:textId="77777777" w:rsidR="00334C53" w:rsidRPr="007233A4" w:rsidRDefault="00334C53" w:rsidP="00334C53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22.</w:t>
      </w:r>
      <w:proofErr w:type="gramEnd"/>
      <w:r w:rsidRPr="007233A4">
        <w:rPr>
          <w:rFonts w:ascii="Cambria" w:hAnsi="Cambria"/>
          <w:sz w:val="20"/>
          <w:szCs w:val="20"/>
          <w:lang w:val="en-US"/>
        </w:rPr>
        <w:t xml:space="preserve"> </w:t>
      </w:r>
    </w:p>
  </w:footnote>
  <w:footnote w:id="33">
    <w:p w14:paraId="3B78383F" w14:textId="77777777" w:rsidR="00334C53" w:rsidRPr="007233A4" w:rsidRDefault="00334C53" w:rsidP="00334C53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7233A4">
        <w:rPr>
          <w:rFonts w:ascii="Cambria" w:hAnsi="Cambria"/>
          <w:sz w:val="20"/>
          <w:szCs w:val="20"/>
          <w:lang w:val="en-US"/>
        </w:rPr>
        <w:t>cf</w:t>
      </w:r>
      <w:proofErr w:type="spellEnd"/>
      <w:r w:rsidRPr="007233A4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7233A4">
        <w:rPr>
          <w:rFonts w:ascii="Cambria" w:hAnsi="Cambria"/>
          <w:i/>
          <w:sz w:val="20"/>
          <w:szCs w:val="20"/>
          <w:lang w:val="en-US"/>
        </w:rPr>
        <w:t>Ringrow</w:t>
      </w:r>
      <w:proofErr w:type="spellEnd"/>
      <w:r w:rsidRPr="007233A4">
        <w:rPr>
          <w:rFonts w:ascii="Cambria" w:hAnsi="Cambria"/>
          <w:i/>
          <w:sz w:val="20"/>
          <w:szCs w:val="20"/>
          <w:lang w:val="en-US"/>
        </w:rPr>
        <w:t xml:space="preserve"> v BP Australia </w:t>
      </w:r>
      <w:r w:rsidRPr="007233A4">
        <w:rPr>
          <w:rFonts w:ascii="Cambria" w:hAnsi="Cambria"/>
          <w:sz w:val="20"/>
          <w:szCs w:val="20"/>
          <w:lang w:val="en-US"/>
        </w:rPr>
        <w:t>[2005] HCA 71; (2005) 224 CLR 656, para 27.</w:t>
      </w:r>
      <w:proofErr w:type="gramEnd"/>
    </w:p>
  </w:footnote>
  <w:footnote w:id="34">
    <w:p w14:paraId="793C79AA" w14:textId="77777777" w:rsidR="004814DF" w:rsidRPr="007233A4" w:rsidRDefault="004814DF" w:rsidP="004814DF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32.</w:t>
      </w:r>
      <w:proofErr w:type="gramEnd"/>
    </w:p>
  </w:footnote>
  <w:footnote w:id="35">
    <w:p w14:paraId="20145D0E" w14:textId="2B6E87F9" w:rsidR="004814DF" w:rsidRPr="007233A4" w:rsidRDefault="004814DF" w:rsidP="004814DF">
      <w:pPr>
        <w:pStyle w:val="FootnoteTex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 xml:space="preserve">Para 152 (Lord </w:t>
      </w:r>
      <w:proofErr w:type="spellStart"/>
      <w:r w:rsidRPr="007233A4">
        <w:rPr>
          <w:sz w:val="20"/>
          <w:szCs w:val="20"/>
          <w:lang w:val="en-US"/>
        </w:rPr>
        <w:t>Mance</w:t>
      </w:r>
      <w:proofErr w:type="spellEnd"/>
      <w:r w:rsidRPr="007233A4">
        <w:rPr>
          <w:sz w:val="20"/>
          <w:szCs w:val="20"/>
          <w:lang w:val="en-US"/>
        </w:rPr>
        <w:t>); see too Para 255 (Lord Hodge: “exorbitant or unconscionable”.</w:t>
      </w:r>
    </w:p>
  </w:footnote>
  <w:footnote w:id="36">
    <w:p w14:paraId="10F477D4" w14:textId="3D6F1AEB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74.</w:t>
      </w:r>
      <w:proofErr w:type="gramEnd"/>
    </w:p>
  </w:footnote>
  <w:footnote w:id="37">
    <w:p w14:paraId="413DE1E2" w14:textId="483EEC1D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270.</w:t>
      </w:r>
      <w:proofErr w:type="gramEnd"/>
    </w:p>
  </w:footnote>
  <w:footnote w:id="38">
    <w:p w14:paraId="00143B06" w14:textId="40BCDB49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291.</w:t>
      </w:r>
      <w:proofErr w:type="gramEnd"/>
    </w:p>
  </w:footnote>
  <w:footnote w:id="39">
    <w:p w14:paraId="4302A213" w14:textId="237DDB67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181.</w:t>
      </w:r>
      <w:proofErr w:type="gramEnd"/>
    </w:p>
  </w:footnote>
  <w:footnote w:id="40">
    <w:p w14:paraId="7E489BB2" w14:textId="66CDCBE5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</w:t>
      </w:r>
      <w:r w:rsidRPr="007233A4">
        <w:rPr>
          <w:rFonts w:ascii="Cambria" w:hAnsi="Cambria"/>
          <w:i/>
          <w:sz w:val="20"/>
          <w:szCs w:val="20"/>
          <w:lang w:val="en-US"/>
        </w:rPr>
        <w:t xml:space="preserve"> </w:t>
      </w:r>
      <w:r w:rsidRPr="007233A4">
        <w:rPr>
          <w:rFonts w:ascii="Cambria" w:hAnsi="Cambria"/>
          <w:sz w:val="20"/>
          <w:szCs w:val="20"/>
          <w:lang w:val="en-US"/>
        </w:rPr>
        <w:t>183.</w:t>
      </w:r>
      <w:proofErr w:type="gramEnd"/>
    </w:p>
  </w:footnote>
  <w:footnote w:id="41">
    <w:p w14:paraId="68D505AB" w14:textId="0966E13D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292.</w:t>
      </w:r>
      <w:proofErr w:type="gramEnd"/>
    </w:p>
  </w:footnote>
  <w:footnote w:id="42">
    <w:p w14:paraId="6F7AD97E" w14:textId="1B30769A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83.</w:t>
      </w:r>
      <w:proofErr w:type="gramEnd"/>
    </w:p>
  </w:footnote>
  <w:footnote w:id="43">
    <w:p w14:paraId="675EC9A1" w14:textId="7197569E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280.</w:t>
      </w:r>
      <w:proofErr w:type="gramEnd"/>
    </w:p>
  </w:footnote>
  <w:footnote w:id="44">
    <w:p w14:paraId="2CAEBE44" w14:textId="42CEFC5C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</w:rPr>
        <w:t>Para 291.</w:t>
      </w:r>
      <w:proofErr w:type="gramEnd"/>
    </w:p>
  </w:footnote>
  <w:footnote w:id="45">
    <w:p w14:paraId="32FA541C" w14:textId="67AE8038" w:rsidR="00646937" w:rsidRPr="007233A4" w:rsidRDefault="00646937" w:rsidP="00F84654">
      <w:pPr>
        <w:pStyle w:val="FootnoteText"/>
        <w:spacing w:line="240" w:lineRule="exact"/>
        <w:rPr>
          <w:rFonts w:ascii="Cambria" w:hAnsi="Cambria"/>
          <w:sz w:val="20"/>
          <w:szCs w:val="20"/>
          <w:lang w:val="en-US"/>
        </w:rPr>
      </w:pPr>
      <w:r w:rsidRPr="007233A4">
        <w:rPr>
          <w:rStyle w:val="FootnoteReference"/>
          <w:rFonts w:ascii="Cambria" w:hAnsi="Cambria"/>
          <w:sz w:val="20"/>
          <w:szCs w:val="20"/>
        </w:rPr>
        <w:footnoteRef/>
      </w:r>
      <w:r w:rsidRPr="007233A4">
        <w:rPr>
          <w:rFonts w:ascii="Cambria" w:hAnsi="Cambria"/>
          <w:sz w:val="20"/>
          <w:szCs w:val="20"/>
        </w:rPr>
        <w:t xml:space="preserve"> </w:t>
      </w:r>
      <w:proofErr w:type="gramStart"/>
      <w:r w:rsidRPr="007233A4">
        <w:rPr>
          <w:rFonts w:ascii="Cambria" w:hAnsi="Cambria"/>
          <w:sz w:val="20"/>
          <w:szCs w:val="20"/>
          <w:lang w:val="en-US"/>
        </w:rPr>
        <w:t>Para 183.</w:t>
      </w:r>
      <w:proofErr w:type="gramEnd"/>
    </w:p>
  </w:footnote>
  <w:footnote w:id="46">
    <w:p w14:paraId="2021A826" w14:textId="0E9F68D0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292.</w:t>
      </w:r>
      <w:proofErr w:type="gramEnd"/>
    </w:p>
  </w:footnote>
  <w:footnote w:id="47">
    <w:p w14:paraId="27C615E9" w14:textId="64FB6101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278 (Lord Hodge).</w:t>
      </w:r>
      <w:proofErr w:type="gramEnd"/>
    </w:p>
  </w:footnote>
  <w:footnote w:id="48">
    <w:p w14:paraId="3AA4B55A" w14:textId="28669289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Para 75; see too para 274.</w:t>
      </w:r>
    </w:p>
  </w:footnote>
  <w:footnote w:id="49">
    <w:p w14:paraId="677F7D3B" w14:textId="69D83319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>Para 180; see too paras 275-276.</w:t>
      </w:r>
    </w:p>
  </w:footnote>
  <w:footnote w:id="50">
    <w:p w14:paraId="5AD6DA8A" w14:textId="6A18801B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82.</w:t>
      </w:r>
      <w:proofErr w:type="gramEnd"/>
    </w:p>
  </w:footnote>
  <w:footnote w:id="51">
    <w:p w14:paraId="192770EC" w14:textId="50EBF32B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282.</w:t>
      </w:r>
      <w:proofErr w:type="gramEnd"/>
    </w:p>
  </w:footnote>
  <w:footnote w:id="52">
    <w:p w14:paraId="532BA157" w14:textId="6294D87D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 xml:space="preserve">Para 181 (Lord </w:t>
      </w:r>
      <w:proofErr w:type="spellStart"/>
      <w:r w:rsidRPr="007233A4">
        <w:rPr>
          <w:sz w:val="20"/>
          <w:szCs w:val="20"/>
          <w:lang w:val="en-US"/>
        </w:rPr>
        <w:t>Mance</w:t>
      </w:r>
      <w:proofErr w:type="spellEnd"/>
      <w:r w:rsidRPr="007233A4">
        <w:rPr>
          <w:sz w:val="20"/>
          <w:szCs w:val="20"/>
          <w:lang w:val="en-US"/>
        </w:rPr>
        <w:t>); see too para 35 (Lords Neuberger and Sumption); para 282 (Lord Hodge).</w:t>
      </w:r>
    </w:p>
  </w:footnote>
  <w:footnote w:id="53">
    <w:p w14:paraId="6009DE74" w14:textId="3213DE90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 xml:space="preserve">See similarly for Scots law </w:t>
      </w:r>
      <w:r w:rsidRPr="007233A4">
        <w:rPr>
          <w:i/>
          <w:sz w:val="20"/>
          <w:szCs w:val="20"/>
          <w:lang w:val="en-US"/>
        </w:rPr>
        <w:t xml:space="preserve">University of Edinburgh v </w:t>
      </w:r>
      <w:proofErr w:type="spellStart"/>
      <w:r w:rsidRPr="007233A4">
        <w:rPr>
          <w:i/>
          <w:sz w:val="20"/>
          <w:szCs w:val="20"/>
          <w:lang w:val="en-US"/>
        </w:rPr>
        <w:t>Onifade</w:t>
      </w:r>
      <w:proofErr w:type="spellEnd"/>
      <w:r w:rsidRPr="007233A4">
        <w:rPr>
          <w:i/>
          <w:sz w:val="20"/>
          <w:szCs w:val="20"/>
          <w:lang w:val="en-US"/>
        </w:rPr>
        <w:t xml:space="preserve"> </w:t>
      </w:r>
      <w:r w:rsidRPr="007233A4">
        <w:rPr>
          <w:sz w:val="20"/>
          <w:szCs w:val="20"/>
          <w:lang w:val="en-US"/>
        </w:rPr>
        <w:t>2005 SLT (</w:t>
      </w:r>
      <w:proofErr w:type="spellStart"/>
      <w:r w:rsidRPr="007233A4">
        <w:rPr>
          <w:sz w:val="20"/>
          <w:szCs w:val="20"/>
          <w:lang w:val="en-US"/>
        </w:rPr>
        <w:t>Sh</w:t>
      </w:r>
      <w:proofErr w:type="spellEnd"/>
      <w:r w:rsidRPr="007233A4">
        <w:rPr>
          <w:sz w:val="20"/>
          <w:szCs w:val="20"/>
          <w:lang w:val="en-US"/>
        </w:rPr>
        <w:t xml:space="preserve"> Ct) 63.</w:t>
      </w:r>
    </w:p>
  </w:footnote>
  <w:footnote w:id="54">
    <w:p w14:paraId="2DE56A5E" w14:textId="11D74FB2" w:rsidR="00646937" w:rsidRPr="007233A4" w:rsidRDefault="00646937">
      <w:pPr>
        <w:pStyle w:val="FootnoteTex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98.</w:t>
      </w:r>
      <w:proofErr w:type="gramEnd"/>
    </w:p>
  </w:footnote>
  <w:footnote w:id="55">
    <w:p w14:paraId="48261D90" w14:textId="223D094B" w:rsidR="00646937" w:rsidRPr="007233A4" w:rsidRDefault="00646937">
      <w:pPr>
        <w:pStyle w:val="FootnoteTex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>Para 33 explicitly limits this to the interests of the “innocent party”.</w:t>
      </w:r>
    </w:p>
  </w:footnote>
  <w:footnote w:id="56">
    <w:p w14:paraId="5492AEF1" w14:textId="5273237F" w:rsidR="00646937" w:rsidRPr="007233A4" w:rsidRDefault="00646937">
      <w:pPr>
        <w:pStyle w:val="FootnoteTex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Para 99.</w:t>
      </w:r>
      <w:proofErr w:type="gramEnd"/>
      <w:r w:rsidRPr="007233A4">
        <w:rPr>
          <w:sz w:val="20"/>
          <w:szCs w:val="20"/>
          <w:lang w:val="en-US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 xml:space="preserve">See also para 197 (Lord </w:t>
      </w:r>
      <w:proofErr w:type="spellStart"/>
      <w:r w:rsidRPr="007233A4">
        <w:rPr>
          <w:sz w:val="20"/>
          <w:szCs w:val="20"/>
          <w:lang w:val="en-US"/>
        </w:rPr>
        <w:t>Mance</w:t>
      </w:r>
      <w:proofErr w:type="spellEnd"/>
      <w:r w:rsidRPr="007233A4">
        <w:rPr>
          <w:sz w:val="20"/>
          <w:szCs w:val="20"/>
          <w:lang w:val="en-US"/>
        </w:rPr>
        <w:t>).</w:t>
      </w:r>
      <w:proofErr w:type="gramEnd"/>
    </w:p>
  </w:footnote>
  <w:footnote w:id="57">
    <w:p w14:paraId="2D68EEC7" w14:textId="7EFB73D5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It previously turned to the subject in </w:t>
      </w:r>
      <w:r w:rsidRPr="007233A4">
        <w:rPr>
          <w:rFonts w:ascii="Cambria" w:hAnsi="Cambria"/>
          <w:sz w:val="20"/>
          <w:szCs w:val="20"/>
        </w:rPr>
        <w:t>SLC Discussion Paper 103 on Penalty Clauses (1997) and SLC Report 171 (1999).</w:t>
      </w:r>
    </w:p>
  </w:footnote>
  <w:footnote w:id="58">
    <w:p w14:paraId="192BF96F" w14:textId="7BF692F8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r w:rsidRPr="007233A4">
        <w:rPr>
          <w:sz w:val="20"/>
          <w:szCs w:val="20"/>
          <w:lang w:val="en-US"/>
        </w:rPr>
        <w:t>Book III, 3.712.</w:t>
      </w:r>
    </w:p>
  </w:footnote>
  <w:footnote w:id="59">
    <w:p w14:paraId="61CEFB33" w14:textId="18E22268" w:rsidR="00646937" w:rsidRPr="007233A4" w:rsidRDefault="00646937" w:rsidP="00F84654">
      <w:pPr>
        <w:pStyle w:val="FootnoteText"/>
        <w:spacing w:line="240" w:lineRule="exact"/>
        <w:rPr>
          <w:sz w:val="20"/>
          <w:szCs w:val="20"/>
          <w:lang w:val="en-US"/>
        </w:rPr>
      </w:pPr>
      <w:r w:rsidRPr="007233A4">
        <w:rPr>
          <w:rStyle w:val="FootnoteReference"/>
          <w:sz w:val="20"/>
          <w:szCs w:val="20"/>
        </w:rPr>
        <w:footnoteRef/>
      </w:r>
      <w:r w:rsidRPr="007233A4">
        <w:rPr>
          <w:sz w:val="20"/>
          <w:szCs w:val="20"/>
        </w:rPr>
        <w:t xml:space="preserve"> </w:t>
      </w:r>
      <w:proofErr w:type="gramStart"/>
      <w:r w:rsidRPr="007233A4">
        <w:rPr>
          <w:sz w:val="20"/>
          <w:szCs w:val="20"/>
          <w:lang w:val="en-US"/>
        </w:rPr>
        <w:t>As it was so minded in 1999: SLC Report 171, Recommendation 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CB7"/>
    <w:multiLevelType w:val="hybridMultilevel"/>
    <w:tmpl w:val="52DAE692"/>
    <w:lvl w:ilvl="0" w:tplc="A66E7CC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B01E5"/>
    <w:multiLevelType w:val="hybridMultilevel"/>
    <w:tmpl w:val="D2C0B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F65A6"/>
    <w:multiLevelType w:val="hybridMultilevel"/>
    <w:tmpl w:val="52DAE692"/>
    <w:lvl w:ilvl="0" w:tplc="A66E7CC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A26C4"/>
    <w:multiLevelType w:val="hybridMultilevel"/>
    <w:tmpl w:val="52DAE692"/>
    <w:lvl w:ilvl="0" w:tplc="A66E7CC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45AB6"/>
    <w:multiLevelType w:val="hybridMultilevel"/>
    <w:tmpl w:val="52DAE692"/>
    <w:lvl w:ilvl="0" w:tplc="A66E7CC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97"/>
    <w:rsid w:val="00004C52"/>
    <w:rsid w:val="00017D37"/>
    <w:rsid w:val="0003077E"/>
    <w:rsid w:val="00034673"/>
    <w:rsid w:val="0003516C"/>
    <w:rsid w:val="0004417C"/>
    <w:rsid w:val="00050351"/>
    <w:rsid w:val="00060F43"/>
    <w:rsid w:val="00062681"/>
    <w:rsid w:val="00063732"/>
    <w:rsid w:val="00071553"/>
    <w:rsid w:val="0007199F"/>
    <w:rsid w:val="000772BC"/>
    <w:rsid w:val="00080524"/>
    <w:rsid w:val="000904E1"/>
    <w:rsid w:val="00092818"/>
    <w:rsid w:val="000A0EAC"/>
    <w:rsid w:val="000A273A"/>
    <w:rsid w:val="000A5303"/>
    <w:rsid w:val="000B060F"/>
    <w:rsid w:val="000B1A0A"/>
    <w:rsid w:val="000B33BB"/>
    <w:rsid w:val="000C30E2"/>
    <w:rsid w:val="000C54D6"/>
    <w:rsid w:val="000D1526"/>
    <w:rsid w:val="000D4861"/>
    <w:rsid w:val="000D5ED8"/>
    <w:rsid w:val="000E245D"/>
    <w:rsid w:val="000E2D5A"/>
    <w:rsid w:val="000E3964"/>
    <w:rsid w:val="000E5848"/>
    <w:rsid w:val="000F33E9"/>
    <w:rsid w:val="0010204F"/>
    <w:rsid w:val="00117A00"/>
    <w:rsid w:val="001203CE"/>
    <w:rsid w:val="00120944"/>
    <w:rsid w:val="00140150"/>
    <w:rsid w:val="00144474"/>
    <w:rsid w:val="00146B1F"/>
    <w:rsid w:val="001603BA"/>
    <w:rsid w:val="00164915"/>
    <w:rsid w:val="0017477D"/>
    <w:rsid w:val="001779A5"/>
    <w:rsid w:val="00180612"/>
    <w:rsid w:val="001A195A"/>
    <w:rsid w:val="001A2829"/>
    <w:rsid w:val="001A391D"/>
    <w:rsid w:val="001C2049"/>
    <w:rsid w:val="001D1587"/>
    <w:rsid w:val="001D20D4"/>
    <w:rsid w:val="001D300F"/>
    <w:rsid w:val="001D319B"/>
    <w:rsid w:val="001F15BB"/>
    <w:rsid w:val="001F505F"/>
    <w:rsid w:val="00210373"/>
    <w:rsid w:val="00211C0A"/>
    <w:rsid w:val="00212738"/>
    <w:rsid w:val="00213749"/>
    <w:rsid w:val="00221318"/>
    <w:rsid w:val="002263BD"/>
    <w:rsid w:val="00226B78"/>
    <w:rsid w:val="00237E68"/>
    <w:rsid w:val="00252A72"/>
    <w:rsid w:val="00265696"/>
    <w:rsid w:val="00274626"/>
    <w:rsid w:val="0027574A"/>
    <w:rsid w:val="00284562"/>
    <w:rsid w:val="00292856"/>
    <w:rsid w:val="0029520A"/>
    <w:rsid w:val="002B2DA3"/>
    <w:rsid w:val="002B55C1"/>
    <w:rsid w:val="002C0765"/>
    <w:rsid w:val="002C2B4A"/>
    <w:rsid w:val="002C7E39"/>
    <w:rsid w:val="002F26AA"/>
    <w:rsid w:val="002F72D7"/>
    <w:rsid w:val="003018FC"/>
    <w:rsid w:val="00303F8D"/>
    <w:rsid w:val="00306384"/>
    <w:rsid w:val="003103C3"/>
    <w:rsid w:val="00313FD7"/>
    <w:rsid w:val="00316D63"/>
    <w:rsid w:val="003213D6"/>
    <w:rsid w:val="003226F9"/>
    <w:rsid w:val="00326872"/>
    <w:rsid w:val="00334C53"/>
    <w:rsid w:val="003374F2"/>
    <w:rsid w:val="00344741"/>
    <w:rsid w:val="00346720"/>
    <w:rsid w:val="00350B57"/>
    <w:rsid w:val="00374CA9"/>
    <w:rsid w:val="003A59FC"/>
    <w:rsid w:val="003C22FE"/>
    <w:rsid w:val="003C27D4"/>
    <w:rsid w:val="003C3745"/>
    <w:rsid w:val="003C6870"/>
    <w:rsid w:val="003D21E2"/>
    <w:rsid w:val="003D3EDF"/>
    <w:rsid w:val="003D42EE"/>
    <w:rsid w:val="003D5ABF"/>
    <w:rsid w:val="003D5BE0"/>
    <w:rsid w:val="003F3B7C"/>
    <w:rsid w:val="004002B1"/>
    <w:rsid w:val="0040103F"/>
    <w:rsid w:val="004064DE"/>
    <w:rsid w:val="00423AD0"/>
    <w:rsid w:val="0043187E"/>
    <w:rsid w:val="00432A43"/>
    <w:rsid w:val="0044344C"/>
    <w:rsid w:val="004570AA"/>
    <w:rsid w:val="00467112"/>
    <w:rsid w:val="004743A4"/>
    <w:rsid w:val="004808D9"/>
    <w:rsid w:val="004814DF"/>
    <w:rsid w:val="004A690F"/>
    <w:rsid w:val="004C5E4D"/>
    <w:rsid w:val="004E6F4A"/>
    <w:rsid w:val="00501799"/>
    <w:rsid w:val="00501F07"/>
    <w:rsid w:val="0050322A"/>
    <w:rsid w:val="00514B3E"/>
    <w:rsid w:val="00530816"/>
    <w:rsid w:val="0053156F"/>
    <w:rsid w:val="0054649A"/>
    <w:rsid w:val="005469DC"/>
    <w:rsid w:val="00551E1D"/>
    <w:rsid w:val="005521BA"/>
    <w:rsid w:val="00552873"/>
    <w:rsid w:val="00552EA7"/>
    <w:rsid w:val="0055773E"/>
    <w:rsid w:val="005657A3"/>
    <w:rsid w:val="005722C3"/>
    <w:rsid w:val="00573716"/>
    <w:rsid w:val="00574F45"/>
    <w:rsid w:val="00576579"/>
    <w:rsid w:val="0058335E"/>
    <w:rsid w:val="00591B3F"/>
    <w:rsid w:val="005A1B78"/>
    <w:rsid w:val="005B421E"/>
    <w:rsid w:val="005C2062"/>
    <w:rsid w:val="005C5EF3"/>
    <w:rsid w:val="005D2490"/>
    <w:rsid w:val="005E1496"/>
    <w:rsid w:val="005F3B8E"/>
    <w:rsid w:val="005F3F3D"/>
    <w:rsid w:val="00622207"/>
    <w:rsid w:val="00636C5D"/>
    <w:rsid w:val="00646937"/>
    <w:rsid w:val="00655458"/>
    <w:rsid w:val="00657236"/>
    <w:rsid w:val="0066727E"/>
    <w:rsid w:val="0066796B"/>
    <w:rsid w:val="006718F1"/>
    <w:rsid w:val="00681F66"/>
    <w:rsid w:val="00693905"/>
    <w:rsid w:val="006B187C"/>
    <w:rsid w:val="006C09C7"/>
    <w:rsid w:val="006C1310"/>
    <w:rsid w:val="006C2F2D"/>
    <w:rsid w:val="006C64B8"/>
    <w:rsid w:val="006D34DA"/>
    <w:rsid w:val="006E0496"/>
    <w:rsid w:val="006E2ADC"/>
    <w:rsid w:val="006E3705"/>
    <w:rsid w:val="006E3E22"/>
    <w:rsid w:val="00703780"/>
    <w:rsid w:val="007233A4"/>
    <w:rsid w:val="00743D24"/>
    <w:rsid w:val="007474AF"/>
    <w:rsid w:val="00750761"/>
    <w:rsid w:val="00752A3D"/>
    <w:rsid w:val="00757C55"/>
    <w:rsid w:val="007A4475"/>
    <w:rsid w:val="007A5B17"/>
    <w:rsid w:val="007B2A12"/>
    <w:rsid w:val="007C2840"/>
    <w:rsid w:val="007C3D7B"/>
    <w:rsid w:val="007C3E1B"/>
    <w:rsid w:val="007D50E6"/>
    <w:rsid w:val="007D717C"/>
    <w:rsid w:val="007E3EB6"/>
    <w:rsid w:val="007F1B0F"/>
    <w:rsid w:val="007F4BC1"/>
    <w:rsid w:val="00804B4B"/>
    <w:rsid w:val="00807AC9"/>
    <w:rsid w:val="008140BF"/>
    <w:rsid w:val="00831F92"/>
    <w:rsid w:val="00842CE2"/>
    <w:rsid w:val="008456BE"/>
    <w:rsid w:val="00850778"/>
    <w:rsid w:val="00863FD4"/>
    <w:rsid w:val="008838FE"/>
    <w:rsid w:val="00886AC6"/>
    <w:rsid w:val="008A584B"/>
    <w:rsid w:val="008B1F4F"/>
    <w:rsid w:val="008D0048"/>
    <w:rsid w:val="008D7BF0"/>
    <w:rsid w:val="008E240C"/>
    <w:rsid w:val="008F0FFE"/>
    <w:rsid w:val="008F4DCA"/>
    <w:rsid w:val="008F7E13"/>
    <w:rsid w:val="0092101B"/>
    <w:rsid w:val="00925B01"/>
    <w:rsid w:val="00930408"/>
    <w:rsid w:val="00933364"/>
    <w:rsid w:val="00935A19"/>
    <w:rsid w:val="009531B6"/>
    <w:rsid w:val="009537B5"/>
    <w:rsid w:val="00960CC7"/>
    <w:rsid w:val="009627BF"/>
    <w:rsid w:val="00964857"/>
    <w:rsid w:val="0097386C"/>
    <w:rsid w:val="0098209B"/>
    <w:rsid w:val="00982D26"/>
    <w:rsid w:val="00994808"/>
    <w:rsid w:val="009B2CE9"/>
    <w:rsid w:val="009B5DB1"/>
    <w:rsid w:val="009D20E1"/>
    <w:rsid w:val="009E3D1C"/>
    <w:rsid w:val="009E6FE5"/>
    <w:rsid w:val="009F150D"/>
    <w:rsid w:val="009F5313"/>
    <w:rsid w:val="009F5A9E"/>
    <w:rsid w:val="00A12C67"/>
    <w:rsid w:val="00A15285"/>
    <w:rsid w:val="00A24FA0"/>
    <w:rsid w:val="00A27089"/>
    <w:rsid w:val="00A3178C"/>
    <w:rsid w:val="00A3606A"/>
    <w:rsid w:val="00A430EA"/>
    <w:rsid w:val="00A5195D"/>
    <w:rsid w:val="00A840D5"/>
    <w:rsid w:val="00A84B39"/>
    <w:rsid w:val="00AA3DFB"/>
    <w:rsid w:val="00AA507A"/>
    <w:rsid w:val="00AB29A4"/>
    <w:rsid w:val="00AB530A"/>
    <w:rsid w:val="00AC7A50"/>
    <w:rsid w:val="00AF08F8"/>
    <w:rsid w:val="00B03783"/>
    <w:rsid w:val="00B077BB"/>
    <w:rsid w:val="00B16678"/>
    <w:rsid w:val="00B349B2"/>
    <w:rsid w:val="00B54A29"/>
    <w:rsid w:val="00B55C30"/>
    <w:rsid w:val="00B64051"/>
    <w:rsid w:val="00B75621"/>
    <w:rsid w:val="00B851F2"/>
    <w:rsid w:val="00B858D0"/>
    <w:rsid w:val="00B937FC"/>
    <w:rsid w:val="00BA44FE"/>
    <w:rsid w:val="00BB0DF3"/>
    <w:rsid w:val="00BC0D25"/>
    <w:rsid w:val="00BC47C7"/>
    <w:rsid w:val="00BC56D1"/>
    <w:rsid w:val="00BD1766"/>
    <w:rsid w:val="00BE73C6"/>
    <w:rsid w:val="00BF6653"/>
    <w:rsid w:val="00C019E7"/>
    <w:rsid w:val="00C06DE1"/>
    <w:rsid w:val="00C07373"/>
    <w:rsid w:val="00C07D8A"/>
    <w:rsid w:val="00C14865"/>
    <w:rsid w:val="00C27D09"/>
    <w:rsid w:val="00C42973"/>
    <w:rsid w:val="00C4577F"/>
    <w:rsid w:val="00C55136"/>
    <w:rsid w:val="00C61311"/>
    <w:rsid w:val="00C629F0"/>
    <w:rsid w:val="00C737E2"/>
    <w:rsid w:val="00C76535"/>
    <w:rsid w:val="00C94AF0"/>
    <w:rsid w:val="00CA4856"/>
    <w:rsid w:val="00CB07BE"/>
    <w:rsid w:val="00CC46BC"/>
    <w:rsid w:val="00CD244D"/>
    <w:rsid w:val="00CD3A79"/>
    <w:rsid w:val="00CD4C57"/>
    <w:rsid w:val="00CD7D59"/>
    <w:rsid w:val="00CD7EF0"/>
    <w:rsid w:val="00CE549D"/>
    <w:rsid w:val="00D17643"/>
    <w:rsid w:val="00D30F2B"/>
    <w:rsid w:val="00D3405F"/>
    <w:rsid w:val="00D444CA"/>
    <w:rsid w:val="00D46523"/>
    <w:rsid w:val="00D52830"/>
    <w:rsid w:val="00D544BF"/>
    <w:rsid w:val="00D5490F"/>
    <w:rsid w:val="00D56313"/>
    <w:rsid w:val="00D627A5"/>
    <w:rsid w:val="00D73D9B"/>
    <w:rsid w:val="00D835E4"/>
    <w:rsid w:val="00D873E4"/>
    <w:rsid w:val="00D91F61"/>
    <w:rsid w:val="00D93E4A"/>
    <w:rsid w:val="00DA25B6"/>
    <w:rsid w:val="00DA791F"/>
    <w:rsid w:val="00DB196F"/>
    <w:rsid w:val="00DC1657"/>
    <w:rsid w:val="00DD2260"/>
    <w:rsid w:val="00DE6841"/>
    <w:rsid w:val="00DF05CB"/>
    <w:rsid w:val="00E07994"/>
    <w:rsid w:val="00E15EEB"/>
    <w:rsid w:val="00E20A45"/>
    <w:rsid w:val="00E2416E"/>
    <w:rsid w:val="00E24CBA"/>
    <w:rsid w:val="00E27B5A"/>
    <w:rsid w:val="00E34AA7"/>
    <w:rsid w:val="00E34E97"/>
    <w:rsid w:val="00E43A4D"/>
    <w:rsid w:val="00E46E3B"/>
    <w:rsid w:val="00E60234"/>
    <w:rsid w:val="00E7517C"/>
    <w:rsid w:val="00E822A9"/>
    <w:rsid w:val="00E82B36"/>
    <w:rsid w:val="00E83887"/>
    <w:rsid w:val="00E92F9C"/>
    <w:rsid w:val="00ED3739"/>
    <w:rsid w:val="00EE118F"/>
    <w:rsid w:val="00EF5370"/>
    <w:rsid w:val="00EF582A"/>
    <w:rsid w:val="00EF7855"/>
    <w:rsid w:val="00F1592C"/>
    <w:rsid w:val="00F1797D"/>
    <w:rsid w:val="00F2124B"/>
    <w:rsid w:val="00F2300D"/>
    <w:rsid w:val="00F41C93"/>
    <w:rsid w:val="00F4328F"/>
    <w:rsid w:val="00F4455B"/>
    <w:rsid w:val="00F4771A"/>
    <w:rsid w:val="00F66541"/>
    <w:rsid w:val="00F708FD"/>
    <w:rsid w:val="00F726DF"/>
    <w:rsid w:val="00F7371E"/>
    <w:rsid w:val="00F82EB7"/>
    <w:rsid w:val="00F84654"/>
    <w:rsid w:val="00F8613C"/>
    <w:rsid w:val="00F94886"/>
    <w:rsid w:val="00F96908"/>
    <w:rsid w:val="00FA4406"/>
    <w:rsid w:val="00FB3ABE"/>
    <w:rsid w:val="00FB57F9"/>
    <w:rsid w:val="00FC70A1"/>
    <w:rsid w:val="00FC79C3"/>
    <w:rsid w:val="00FC7F2E"/>
    <w:rsid w:val="00FD2AE1"/>
    <w:rsid w:val="00FE0A0A"/>
    <w:rsid w:val="00FF2279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00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7386C"/>
  </w:style>
  <w:style w:type="character" w:customStyle="1" w:styleId="FootnoteTextChar">
    <w:name w:val="Footnote Text Char"/>
    <w:basedOn w:val="DefaultParagraphFont"/>
    <w:link w:val="FootnoteText"/>
    <w:uiPriority w:val="99"/>
    <w:rsid w:val="0097386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9738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AA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AA7"/>
    <w:rPr>
      <w:lang w:val="en-GB"/>
    </w:rPr>
  </w:style>
  <w:style w:type="character" w:customStyle="1" w:styleId="apple-converted-space">
    <w:name w:val="apple-converted-space"/>
    <w:basedOn w:val="DefaultParagraphFont"/>
    <w:rsid w:val="000D1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7386C"/>
  </w:style>
  <w:style w:type="character" w:customStyle="1" w:styleId="FootnoteTextChar">
    <w:name w:val="Footnote Text Char"/>
    <w:basedOn w:val="DefaultParagraphFont"/>
    <w:link w:val="FootnoteText"/>
    <w:uiPriority w:val="99"/>
    <w:rsid w:val="0097386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9738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AA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AA7"/>
    <w:rPr>
      <w:lang w:val="en-GB"/>
    </w:rPr>
  </w:style>
  <w:style w:type="character" w:customStyle="1" w:styleId="apple-converted-space">
    <w:name w:val="apple-converted-space"/>
    <w:basedOn w:val="DefaultParagraphFont"/>
    <w:rsid w:val="000D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FE1D1-B678-43E4-AE19-8E1BECC4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Lindsay</dc:creator>
  <cp:lastModifiedBy>Bobby William Milroy Lindsay</cp:lastModifiedBy>
  <cp:revision>25</cp:revision>
  <cp:lastPrinted>2016-01-18T22:10:00Z</cp:lastPrinted>
  <dcterms:created xsi:type="dcterms:W3CDTF">2016-02-02T17:15:00Z</dcterms:created>
  <dcterms:modified xsi:type="dcterms:W3CDTF">2016-03-29T16:18:00Z</dcterms:modified>
</cp:coreProperties>
</file>