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06C9C7" w14:textId="6AF54A67" w:rsidR="00411C26" w:rsidRPr="00E92D4A" w:rsidRDefault="00816DD8" w:rsidP="00E92D4A">
      <w:pPr>
        <w:jc w:val="center"/>
        <w:rPr>
          <w:rFonts w:ascii="Arial" w:hAnsi="Arial" w:cs="Arial"/>
          <w:b/>
          <w:sz w:val="20"/>
          <w:szCs w:val="20"/>
        </w:rPr>
      </w:pPr>
      <w:r>
        <w:rPr>
          <w:rFonts w:ascii="Arial" w:hAnsi="Arial" w:cs="Arial"/>
          <w:b/>
          <w:sz w:val="20"/>
          <w:szCs w:val="20"/>
          <w:u w:val="single"/>
        </w:rPr>
        <w:t xml:space="preserve">Research Memo:  limitation in </w:t>
      </w:r>
      <w:r w:rsidR="00756A91">
        <w:rPr>
          <w:rFonts w:ascii="Arial" w:hAnsi="Arial" w:cs="Arial"/>
          <w:b/>
          <w:sz w:val="20"/>
          <w:szCs w:val="20"/>
          <w:u w:val="single"/>
        </w:rPr>
        <w:t>HHH</w:t>
      </w:r>
      <w:r>
        <w:rPr>
          <w:rFonts w:ascii="Arial" w:hAnsi="Arial" w:cs="Arial"/>
          <w:b/>
          <w:sz w:val="20"/>
          <w:szCs w:val="20"/>
          <w:u w:val="single"/>
        </w:rPr>
        <w:t xml:space="preserve"> dispute</w:t>
      </w:r>
    </w:p>
    <w:p w14:paraId="4D06C9C8" w14:textId="77777777" w:rsidR="00E92D4A" w:rsidRDefault="00E92D4A" w:rsidP="00E92D4A">
      <w:pPr>
        <w:spacing w:after="0" w:line="290" w:lineRule="auto"/>
        <w:ind w:left="720" w:hanging="720"/>
        <w:jc w:val="both"/>
        <w:rPr>
          <w:rFonts w:ascii="Arial" w:eastAsia="SimSun" w:hAnsi="Arial" w:cs="Arial"/>
          <w:b/>
          <w:sz w:val="20"/>
          <w:szCs w:val="20"/>
          <w:u w:val="single"/>
          <w:lang w:val="en-GB" w:eastAsia="zh-SG"/>
        </w:rPr>
      </w:pPr>
      <w:r w:rsidRPr="00E92D4A">
        <w:rPr>
          <w:rFonts w:ascii="Arial" w:eastAsia="SimSun" w:hAnsi="Arial" w:cs="Arial"/>
          <w:b/>
          <w:sz w:val="20"/>
          <w:szCs w:val="20"/>
          <w:lang w:val="en-GB"/>
        </w:rPr>
        <w:t>I.</w:t>
      </w:r>
      <w:r w:rsidRPr="00E92D4A">
        <w:rPr>
          <w:rFonts w:ascii="Arial" w:eastAsia="SimSun" w:hAnsi="Arial" w:cs="Arial"/>
          <w:b/>
          <w:sz w:val="20"/>
          <w:szCs w:val="20"/>
          <w:lang w:val="en-GB"/>
        </w:rPr>
        <w:tab/>
      </w:r>
      <w:r w:rsidR="00816DD8">
        <w:rPr>
          <w:rFonts w:ascii="Arial" w:eastAsia="SimSun" w:hAnsi="Arial" w:cs="Arial"/>
          <w:b/>
          <w:sz w:val="20"/>
          <w:szCs w:val="20"/>
          <w:u w:val="single"/>
          <w:lang w:val="en-GB" w:eastAsia="zh-SG"/>
        </w:rPr>
        <w:t>Issue</w:t>
      </w:r>
    </w:p>
    <w:p w14:paraId="4D06C9C9" w14:textId="77777777" w:rsidR="00E92D4A" w:rsidRPr="00E92D4A" w:rsidRDefault="00E92D4A" w:rsidP="00E92D4A">
      <w:pPr>
        <w:spacing w:after="0" w:line="290" w:lineRule="auto"/>
        <w:jc w:val="both"/>
        <w:rPr>
          <w:rFonts w:ascii="Arial" w:eastAsia="SimSun" w:hAnsi="Arial" w:cs="Arial"/>
          <w:b/>
          <w:sz w:val="20"/>
          <w:szCs w:val="20"/>
          <w:lang w:val="en-GB"/>
        </w:rPr>
      </w:pPr>
    </w:p>
    <w:p w14:paraId="4D06C9CA" w14:textId="77777777" w:rsidR="00E92D4A" w:rsidRDefault="00816DD8" w:rsidP="00E92D4A">
      <w:pPr>
        <w:numPr>
          <w:ilvl w:val="0"/>
          <w:numId w:val="2"/>
        </w:numPr>
        <w:tabs>
          <w:tab w:val="left" w:pos="720"/>
        </w:tabs>
        <w:spacing w:after="0" w:line="290" w:lineRule="auto"/>
        <w:ind w:hanging="720"/>
        <w:jc w:val="both"/>
        <w:rPr>
          <w:rFonts w:ascii="Arial" w:eastAsia="SimSun" w:hAnsi="Arial" w:cs="Arial"/>
          <w:sz w:val="20"/>
          <w:szCs w:val="20"/>
          <w:lang w:val="en-GB" w:eastAsia="zh-SG"/>
        </w:rPr>
      </w:pPr>
      <w:r>
        <w:rPr>
          <w:rFonts w:ascii="Arial" w:eastAsia="SimSun" w:hAnsi="Arial" w:cs="Arial"/>
          <w:sz w:val="20"/>
          <w:szCs w:val="20"/>
          <w:lang w:val="en-GB" w:eastAsia="zh-SG"/>
        </w:rPr>
        <w:t>This memo w</w:t>
      </w:r>
      <w:r w:rsidR="00465E1C">
        <w:rPr>
          <w:rFonts w:ascii="Arial" w:eastAsia="SimSun" w:hAnsi="Arial" w:cs="Arial"/>
          <w:sz w:val="20"/>
          <w:szCs w:val="20"/>
          <w:lang w:val="en-GB" w:eastAsia="zh-SG"/>
        </w:rPr>
        <w:t>ill address the following issue</w:t>
      </w:r>
      <w:r>
        <w:rPr>
          <w:rFonts w:ascii="Arial" w:eastAsia="SimSun" w:hAnsi="Arial" w:cs="Arial"/>
          <w:sz w:val="20"/>
          <w:szCs w:val="20"/>
          <w:lang w:val="en-GB" w:eastAsia="zh-SG"/>
        </w:rPr>
        <w:t>:</w:t>
      </w:r>
    </w:p>
    <w:p w14:paraId="4D06C9CB" w14:textId="77777777" w:rsidR="00816DD8" w:rsidRDefault="00816DD8" w:rsidP="00816DD8">
      <w:pPr>
        <w:spacing w:after="0" w:line="290" w:lineRule="auto"/>
        <w:ind w:left="720"/>
        <w:jc w:val="both"/>
        <w:rPr>
          <w:rFonts w:ascii="Arial" w:eastAsia="SimSun" w:hAnsi="Arial" w:cs="Arial"/>
          <w:sz w:val="20"/>
          <w:szCs w:val="20"/>
          <w:lang w:val="en-GB" w:eastAsia="zh-SG"/>
        </w:rPr>
      </w:pPr>
    </w:p>
    <w:p w14:paraId="4D06C9CC" w14:textId="7299D032" w:rsidR="00816DD8" w:rsidRDefault="00816DD8" w:rsidP="00816DD8">
      <w:pPr>
        <w:numPr>
          <w:ilvl w:val="1"/>
          <w:numId w:val="2"/>
        </w:numPr>
        <w:tabs>
          <w:tab w:val="left" w:pos="720"/>
        </w:tabs>
        <w:spacing w:after="0" w:line="290" w:lineRule="auto"/>
        <w:ind w:hanging="720"/>
        <w:jc w:val="both"/>
        <w:rPr>
          <w:rFonts w:ascii="Arial" w:eastAsia="SimSun" w:hAnsi="Arial" w:cs="Arial"/>
          <w:sz w:val="20"/>
          <w:szCs w:val="20"/>
          <w:lang w:val="en-GB" w:eastAsia="zh-SG"/>
        </w:rPr>
      </w:pPr>
      <w:r>
        <w:rPr>
          <w:rFonts w:ascii="Arial" w:eastAsia="SimSun" w:hAnsi="Arial" w:cs="Arial"/>
          <w:sz w:val="20"/>
          <w:szCs w:val="20"/>
          <w:lang w:val="en-GB" w:eastAsia="zh-SG"/>
        </w:rPr>
        <w:t xml:space="preserve">The applicable law in determining the issue of whether the counter-claims that may be brought by </w:t>
      </w:r>
      <w:r w:rsidR="00756A91">
        <w:rPr>
          <w:rFonts w:ascii="Arial" w:eastAsia="SimSun" w:hAnsi="Arial" w:cs="Arial"/>
          <w:sz w:val="20"/>
          <w:szCs w:val="20"/>
          <w:lang w:val="en-GB" w:eastAsia="zh-SG"/>
        </w:rPr>
        <w:t>HHH</w:t>
      </w:r>
      <w:r>
        <w:rPr>
          <w:rFonts w:ascii="Arial" w:eastAsia="SimSun" w:hAnsi="Arial" w:cs="Arial"/>
          <w:sz w:val="20"/>
          <w:szCs w:val="20"/>
          <w:lang w:val="en-GB" w:eastAsia="zh-SG"/>
        </w:rPr>
        <w:t xml:space="preserve"> (either the Singapore or Indian Entity) are time barred (the “</w:t>
      </w:r>
      <w:r>
        <w:rPr>
          <w:rFonts w:ascii="Arial" w:eastAsia="SimSun" w:hAnsi="Arial" w:cs="Arial"/>
          <w:b/>
          <w:sz w:val="20"/>
          <w:szCs w:val="20"/>
          <w:lang w:val="en-GB" w:eastAsia="zh-SG"/>
        </w:rPr>
        <w:t>Limitation Issue</w:t>
      </w:r>
      <w:r>
        <w:rPr>
          <w:rFonts w:ascii="Arial" w:eastAsia="SimSun" w:hAnsi="Arial" w:cs="Arial"/>
          <w:sz w:val="20"/>
          <w:szCs w:val="20"/>
          <w:lang w:val="en-GB" w:eastAsia="zh-SG"/>
        </w:rPr>
        <w:t>”);</w:t>
      </w:r>
    </w:p>
    <w:p w14:paraId="4D06C9CD" w14:textId="77777777" w:rsidR="00816DD8" w:rsidRDefault="00816DD8" w:rsidP="00816DD8">
      <w:pPr>
        <w:spacing w:after="0" w:line="290" w:lineRule="auto"/>
        <w:ind w:left="1440"/>
        <w:jc w:val="both"/>
        <w:rPr>
          <w:rFonts w:ascii="Arial" w:eastAsia="SimSun" w:hAnsi="Arial" w:cs="Arial"/>
          <w:sz w:val="20"/>
          <w:szCs w:val="20"/>
          <w:lang w:val="en-GB" w:eastAsia="zh-SG"/>
        </w:rPr>
      </w:pPr>
    </w:p>
    <w:p w14:paraId="4D06C9CE" w14:textId="77777777" w:rsidR="00816DD8" w:rsidRDefault="00816DD8" w:rsidP="00816DD8">
      <w:pPr>
        <w:numPr>
          <w:ilvl w:val="0"/>
          <w:numId w:val="2"/>
        </w:numPr>
        <w:tabs>
          <w:tab w:val="left" w:pos="720"/>
        </w:tabs>
        <w:spacing w:after="0" w:line="290" w:lineRule="auto"/>
        <w:ind w:hanging="720"/>
        <w:jc w:val="both"/>
        <w:rPr>
          <w:rFonts w:ascii="Arial" w:eastAsia="SimSun" w:hAnsi="Arial" w:cs="Arial"/>
          <w:sz w:val="20"/>
          <w:szCs w:val="20"/>
          <w:lang w:val="en-GB" w:eastAsia="zh-SG"/>
        </w:rPr>
      </w:pPr>
      <w:r>
        <w:rPr>
          <w:rFonts w:ascii="Arial" w:eastAsia="SimSun" w:hAnsi="Arial" w:cs="Arial"/>
          <w:sz w:val="20"/>
          <w:szCs w:val="20"/>
          <w:lang w:val="en-GB" w:eastAsia="zh-SG"/>
        </w:rPr>
        <w:t xml:space="preserve">The applicable law in </w:t>
      </w:r>
      <w:r w:rsidR="00465E1C">
        <w:rPr>
          <w:rFonts w:ascii="Arial" w:eastAsia="SimSun" w:hAnsi="Arial" w:cs="Arial"/>
          <w:sz w:val="20"/>
          <w:szCs w:val="20"/>
          <w:lang w:val="en-GB" w:eastAsia="zh-SG"/>
        </w:rPr>
        <w:t>determining the</w:t>
      </w:r>
      <w:r>
        <w:rPr>
          <w:rFonts w:ascii="Arial" w:eastAsia="SimSun" w:hAnsi="Arial" w:cs="Arial"/>
          <w:sz w:val="20"/>
          <w:szCs w:val="20"/>
          <w:lang w:val="en-GB" w:eastAsia="zh-SG"/>
        </w:rPr>
        <w:t xml:space="preserve"> Limitation Issue is likely to be Singapore law.  </w:t>
      </w:r>
    </w:p>
    <w:p w14:paraId="4D06C9CF" w14:textId="77777777" w:rsidR="00816DD8" w:rsidRDefault="00816DD8" w:rsidP="00816DD8">
      <w:pPr>
        <w:spacing w:after="0" w:line="290" w:lineRule="auto"/>
        <w:ind w:left="720"/>
        <w:jc w:val="both"/>
        <w:rPr>
          <w:rFonts w:ascii="Arial" w:eastAsia="SimSun" w:hAnsi="Arial" w:cs="Arial"/>
          <w:sz w:val="20"/>
          <w:szCs w:val="20"/>
          <w:lang w:val="en-GB" w:eastAsia="zh-SG"/>
        </w:rPr>
      </w:pPr>
    </w:p>
    <w:p w14:paraId="4D06C9D0" w14:textId="77777777" w:rsidR="00E92D4A" w:rsidRPr="00E92D4A" w:rsidRDefault="00E92D4A" w:rsidP="00E92D4A">
      <w:pPr>
        <w:spacing w:after="0" w:line="290" w:lineRule="auto"/>
        <w:ind w:left="720" w:hanging="720"/>
        <w:jc w:val="both"/>
        <w:rPr>
          <w:rFonts w:ascii="Arial" w:eastAsia="SimSun" w:hAnsi="Arial" w:cs="Arial"/>
          <w:b/>
          <w:sz w:val="20"/>
          <w:szCs w:val="20"/>
          <w:u w:val="single"/>
          <w:lang w:val="en-GB" w:eastAsia="zh-SG"/>
        </w:rPr>
      </w:pPr>
      <w:r>
        <w:rPr>
          <w:rFonts w:ascii="Arial" w:eastAsia="SimSun" w:hAnsi="Arial" w:cs="Arial"/>
          <w:b/>
          <w:sz w:val="20"/>
          <w:szCs w:val="20"/>
          <w:lang w:val="en-GB"/>
        </w:rPr>
        <w:t>I</w:t>
      </w:r>
      <w:r w:rsidRPr="00E92D4A">
        <w:rPr>
          <w:rFonts w:ascii="Arial" w:eastAsia="SimSun" w:hAnsi="Arial" w:cs="Arial"/>
          <w:b/>
          <w:sz w:val="20"/>
          <w:szCs w:val="20"/>
          <w:lang w:val="en-GB"/>
        </w:rPr>
        <w:t>I.</w:t>
      </w:r>
      <w:r w:rsidRPr="00E92D4A">
        <w:rPr>
          <w:rFonts w:ascii="Arial" w:eastAsia="SimSun" w:hAnsi="Arial" w:cs="Arial"/>
          <w:b/>
          <w:sz w:val="20"/>
          <w:szCs w:val="20"/>
          <w:lang w:val="en-GB"/>
        </w:rPr>
        <w:tab/>
      </w:r>
      <w:r w:rsidR="00816DD8">
        <w:rPr>
          <w:rFonts w:ascii="Arial" w:eastAsia="SimSun" w:hAnsi="Arial" w:cs="Arial"/>
          <w:b/>
          <w:sz w:val="20"/>
          <w:szCs w:val="20"/>
          <w:u w:val="single"/>
          <w:lang w:val="en-GB" w:eastAsia="zh-SG"/>
        </w:rPr>
        <w:t>The Law</w:t>
      </w:r>
    </w:p>
    <w:p w14:paraId="4D06C9D1" w14:textId="77777777" w:rsidR="00E92D4A" w:rsidRPr="00E92D4A" w:rsidRDefault="00E92D4A" w:rsidP="00E92D4A">
      <w:pPr>
        <w:spacing w:after="0" w:line="290" w:lineRule="auto"/>
        <w:ind w:left="1260"/>
        <w:jc w:val="both"/>
        <w:rPr>
          <w:rFonts w:ascii="Arial" w:eastAsia="SimSun" w:hAnsi="Arial" w:cs="Arial"/>
          <w:i/>
          <w:sz w:val="20"/>
          <w:szCs w:val="20"/>
          <w:lang w:val="en-GB" w:eastAsia="zh-SG"/>
        </w:rPr>
      </w:pPr>
    </w:p>
    <w:p w14:paraId="4D06C9D2" w14:textId="02906471" w:rsidR="00E92D4A" w:rsidRDefault="00816DD8"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eastAsia="zh-SG"/>
        </w:rPr>
        <w:t xml:space="preserve">At the outset, it is not disputed that, given that the seat of the arbitration is Singapore, the </w:t>
      </w:r>
      <w:r>
        <w:rPr>
          <w:rFonts w:ascii="Arial" w:eastAsia="SimSun" w:hAnsi="Arial" w:cs="Arial"/>
          <w:i/>
          <w:sz w:val="20"/>
          <w:szCs w:val="20"/>
          <w:lang w:val="en-GB" w:eastAsia="zh-SG"/>
        </w:rPr>
        <w:t>lex arbitri</w:t>
      </w:r>
      <w:r>
        <w:rPr>
          <w:rFonts w:ascii="Arial" w:eastAsia="SimSun" w:hAnsi="Arial" w:cs="Arial"/>
          <w:sz w:val="20"/>
          <w:szCs w:val="20"/>
          <w:lang w:val="en-GB" w:eastAsia="zh-SG"/>
        </w:rPr>
        <w:t xml:space="preserve"> is Singapore law.  </w:t>
      </w:r>
      <w:r w:rsidRPr="00816DD8">
        <w:rPr>
          <w:rFonts w:ascii="Arial" w:eastAsia="SimSun" w:hAnsi="Arial" w:cs="Arial"/>
          <w:sz w:val="20"/>
          <w:szCs w:val="20"/>
          <w:lang w:val="en-GB" w:eastAsia="zh-SG"/>
        </w:rPr>
        <w:t>In turn, lex arbitri has been defined in the follo</w:t>
      </w:r>
      <w:r>
        <w:rPr>
          <w:rFonts w:ascii="Arial" w:eastAsia="SimSun" w:hAnsi="Arial" w:cs="Arial"/>
          <w:sz w:val="20"/>
          <w:szCs w:val="20"/>
          <w:lang w:val="en-GB" w:eastAsia="zh-SG"/>
        </w:rPr>
        <w:t xml:space="preserve">wing manner under Singapore law.  </w:t>
      </w:r>
      <w:r w:rsidRPr="00816DD8">
        <w:rPr>
          <w:rFonts w:ascii="Arial" w:eastAsia="SimSun" w:hAnsi="Arial" w:cs="Arial"/>
          <w:sz w:val="20"/>
          <w:szCs w:val="20"/>
          <w:lang w:val="en-GB" w:eastAsia="zh-SG"/>
        </w:rPr>
        <w:t xml:space="preserve">See </w:t>
      </w:r>
      <w:r w:rsidR="00756A91">
        <w:rPr>
          <w:rFonts w:ascii="Arial" w:eastAsia="SimSun" w:hAnsi="Arial" w:cs="Arial"/>
          <w:b/>
          <w:i/>
          <w:sz w:val="20"/>
          <w:szCs w:val="20"/>
          <w:u w:val="single"/>
          <w:lang w:val="en-GB" w:eastAsia="zh-SG"/>
        </w:rPr>
        <w:t>DermPro</w:t>
      </w:r>
      <w:r w:rsidRPr="00816DD8">
        <w:rPr>
          <w:rFonts w:ascii="Arial" w:eastAsia="SimSun" w:hAnsi="Arial" w:cs="Arial"/>
          <w:b/>
          <w:i/>
          <w:sz w:val="20"/>
          <w:szCs w:val="20"/>
          <w:u w:val="single"/>
          <w:lang w:val="en-GB" w:eastAsia="zh-SG"/>
        </w:rPr>
        <w:t xml:space="preserve"> v </w:t>
      </w:r>
      <w:r w:rsidR="00756A91">
        <w:rPr>
          <w:rFonts w:ascii="Arial" w:eastAsia="SimSun" w:hAnsi="Arial" w:cs="Arial"/>
          <w:b/>
          <w:i/>
          <w:sz w:val="20"/>
          <w:szCs w:val="20"/>
          <w:u w:val="single"/>
          <w:lang w:val="en-GB" w:eastAsia="zh-SG"/>
        </w:rPr>
        <w:t>PremPro</w:t>
      </w:r>
      <w:r w:rsidRPr="00816DD8">
        <w:rPr>
          <w:rFonts w:ascii="Arial" w:eastAsia="SimSun" w:hAnsi="Arial" w:cs="Arial"/>
          <w:b/>
          <w:i/>
          <w:sz w:val="20"/>
          <w:szCs w:val="20"/>
          <w:u w:val="single"/>
          <w:lang w:val="en-GB" w:eastAsia="zh-SG"/>
        </w:rPr>
        <w:t xml:space="preserve"> Sdn Bhd and Another</w:t>
      </w:r>
      <w:r w:rsidRPr="00816DD8">
        <w:rPr>
          <w:rFonts w:ascii="Arial" w:eastAsia="SimSun" w:hAnsi="Arial" w:cs="Arial"/>
          <w:sz w:val="20"/>
          <w:szCs w:val="20"/>
          <w:lang w:val="en-GB" w:eastAsia="zh-SG"/>
        </w:rPr>
        <w:t xml:space="preserve"> [2002] 2 SLR 164 (citing Redfern and Hunter):</w:t>
      </w:r>
    </w:p>
    <w:p w14:paraId="4D06C9D3" w14:textId="77777777" w:rsidR="00816DD8" w:rsidRDefault="00816DD8" w:rsidP="00816DD8">
      <w:pPr>
        <w:spacing w:after="0" w:line="290" w:lineRule="auto"/>
        <w:ind w:left="720"/>
        <w:jc w:val="both"/>
        <w:rPr>
          <w:rFonts w:ascii="Arial" w:eastAsia="SimSun" w:hAnsi="Arial" w:cs="Arial"/>
          <w:sz w:val="20"/>
          <w:szCs w:val="20"/>
          <w:lang w:val="en-GB" w:eastAsia="zh-SG"/>
        </w:rPr>
      </w:pPr>
    </w:p>
    <w:p w14:paraId="4D06C9D4" w14:textId="77777777" w:rsidR="00816DD8" w:rsidRPr="00816DD8" w:rsidRDefault="00816DD8" w:rsidP="00816DD8">
      <w:pPr>
        <w:autoSpaceDE w:val="0"/>
        <w:autoSpaceDN w:val="0"/>
        <w:adjustRightInd w:val="0"/>
        <w:spacing w:line="290" w:lineRule="auto"/>
        <w:ind w:left="1440" w:right="746"/>
        <w:jc w:val="both"/>
        <w:rPr>
          <w:rFonts w:ascii="Arial" w:hAnsi="Arial" w:cs="Arial"/>
          <w:sz w:val="20"/>
          <w:szCs w:val="20"/>
        </w:rPr>
      </w:pPr>
      <w:r w:rsidRPr="00816DD8">
        <w:rPr>
          <w:rFonts w:ascii="Arial" w:hAnsi="Arial" w:cs="Arial"/>
          <w:i/>
          <w:sz w:val="20"/>
          <w:szCs w:val="20"/>
        </w:rPr>
        <w:t xml:space="preserve">“It is sometimes said that the lex arbitri is a law of procedure. It is true that the lex arbitri may deal with </w:t>
      </w:r>
      <w:r w:rsidRPr="00816DD8">
        <w:rPr>
          <w:rFonts w:ascii="Arial" w:hAnsi="Arial" w:cs="Arial"/>
          <w:b/>
          <w:i/>
          <w:sz w:val="20"/>
          <w:szCs w:val="20"/>
          <w:u w:val="single"/>
        </w:rPr>
        <w:t>procedural matters</w:t>
      </w:r>
      <w:r w:rsidRPr="00816DD8">
        <w:rPr>
          <w:rFonts w:ascii="Arial" w:hAnsi="Arial" w:cs="Arial"/>
          <w:i/>
          <w:sz w:val="20"/>
          <w:szCs w:val="20"/>
        </w:rPr>
        <w:t xml:space="preserve"> — such as the constitution of the arbitral tribunal where there is no relevant contractual provision — but the authors suggest that the lex arbitri is much more than a purely procedural law. </w:t>
      </w:r>
      <w:r w:rsidRPr="00816DD8">
        <w:rPr>
          <w:rFonts w:ascii="Arial" w:hAnsi="Arial" w:cs="Arial"/>
          <w:i/>
          <w:color w:val="000000"/>
          <w:sz w:val="20"/>
          <w:szCs w:val="20"/>
        </w:rPr>
        <w:t xml:space="preserve">It may stipulate, for instance, that a given type of dispute — over patent rights, for instance, or (as in some Arab states) over a local agency agreement — is not capable of settlement by arbitration under the local law. It is suggested that this is a matter of substance rather than of procedure. </w:t>
      </w:r>
      <w:r w:rsidRPr="00816DD8">
        <w:rPr>
          <w:rFonts w:ascii="Arial" w:hAnsi="Arial" w:cs="Arial"/>
          <w:b/>
          <w:bCs/>
          <w:i/>
          <w:color w:val="000000"/>
          <w:sz w:val="20"/>
          <w:szCs w:val="20"/>
          <w:u w:val="single"/>
        </w:rPr>
        <w:t>Or again by way of example, an award may be set aside on the basis that it is contrary to the public policy of the lex arbitri</w:t>
      </w:r>
      <w:r w:rsidRPr="00816DD8">
        <w:rPr>
          <w:rFonts w:ascii="Arial" w:hAnsi="Arial" w:cs="Arial"/>
          <w:i/>
          <w:color w:val="000000"/>
          <w:sz w:val="20"/>
          <w:szCs w:val="20"/>
        </w:rPr>
        <w:t>.</w:t>
      </w:r>
      <w:r w:rsidRPr="00816DD8">
        <w:rPr>
          <w:rFonts w:ascii="Arial" w:hAnsi="Arial" w:cs="Arial"/>
          <w:i/>
          <w:sz w:val="20"/>
          <w:szCs w:val="20"/>
        </w:rPr>
        <w:t>”</w:t>
      </w:r>
    </w:p>
    <w:p w14:paraId="4D06C9D5" w14:textId="77777777" w:rsidR="00816DD8" w:rsidRPr="00816DD8" w:rsidRDefault="00816DD8" w:rsidP="00816DD8">
      <w:pPr>
        <w:autoSpaceDE w:val="0"/>
        <w:autoSpaceDN w:val="0"/>
        <w:adjustRightInd w:val="0"/>
        <w:spacing w:line="290" w:lineRule="auto"/>
        <w:ind w:left="1440" w:right="746"/>
        <w:jc w:val="both"/>
        <w:rPr>
          <w:rFonts w:ascii="Arial" w:hAnsi="Arial" w:cs="Arial"/>
          <w:sz w:val="20"/>
          <w:szCs w:val="20"/>
        </w:rPr>
      </w:pPr>
      <w:r w:rsidRPr="00816DD8">
        <w:rPr>
          <w:rFonts w:ascii="Arial" w:hAnsi="Arial" w:cs="Arial"/>
          <w:sz w:val="20"/>
          <w:szCs w:val="20"/>
        </w:rPr>
        <w:t>[emphasis added]</w:t>
      </w:r>
    </w:p>
    <w:p w14:paraId="4D06C9D6" w14:textId="77777777" w:rsidR="00816DD8" w:rsidRDefault="00816DD8"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 xml:space="preserve">Thus, in deciding whether the defence of limitation is an issue that is to be determined by the law of the contract or the </w:t>
      </w:r>
      <w:r>
        <w:rPr>
          <w:rFonts w:ascii="Arial" w:eastAsia="SimSun" w:hAnsi="Arial" w:cs="Arial"/>
          <w:i/>
          <w:sz w:val="20"/>
          <w:szCs w:val="20"/>
          <w:lang w:val="en-GB"/>
        </w:rPr>
        <w:t>lex arbitri</w:t>
      </w:r>
      <w:r>
        <w:rPr>
          <w:rFonts w:ascii="Arial" w:eastAsia="SimSun" w:hAnsi="Arial" w:cs="Arial"/>
          <w:sz w:val="20"/>
          <w:szCs w:val="20"/>
          <w:lang w:val="en-GB"/>
        </w:rPr>
        <w:t xml:space="preserve">, one must first determine whether the issue of limitation is one that is described to be substantive or procedural under Singapore law. </w:t>
      </w:r>
    </w:p>
    <w:p w14:paraId="4D06C9D7" w14:textId="77777777" w:rsidR="00816DD8" w:rsidRDefault="00816DD8" w:rsidP="00816DD8">
      <w:pPr>
        <w:spacing w:after="0" w:line="290" w:lineRule="auto"/>
        <w:ind w:left="720"/>
        <w:jc w:val="both"/>
        <w:rPr>
          <w:rFonts w:ascii="Arial" w:eastAsia="SimSun" w:hAnsi="Arial" w:cs="Arial"/>
          <w:sz w:val="20"/>
          <w:szCs w:val="20"/>
          <w:lang w:val="en-GB"/>
        </w:rPr>
      </w:pPr>
    </w:p>
    <w:p w14:paraId="4D06C9D8" w14:textId="77777777" w:rsidR="00816DD8" w:rsidRDefault="00816DD8"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sidRPr="00816DD8">
        <w:rPr>
          <w:rFonts w:ascii="Arial" w:eastAsia="SimSun" w:hAnsi="Arial" w:cs="Arial"/>
          <w:sz w:val="20"/>
          <w:szCs w:val="20"/>
          <w:lang w:val="en-GB"/>
        </w:rPr>
        <w:t xml:space="preserve">The substance-procedure issue arose for consideration, in a different context, before the Singapore Court of Appeal in </w:t>
      </w:r>
      <w:r w:rsidRPr="005963D3">
        <w:rPr>
          <w:rFonts w:ascii="Arial" w:eastAsia="SimSun" w:hAnsi="Arial" w:cs="Arial"/>
          <w:b/>
          <w:i/>
          <w:sz w:val="20"/>
          <w:szCs w:val="20"/>
          <w:u w:val="single"/>
          <w:lang w:val="en-GB"/>
        </w:rPr>
        <w:t>Star City Pty Ltd (formerly known as Sydney Harbour Casino Pty Ltd) v Tan Hong Woon</w:t>
      </w:r>
      <w:r w:rsidRPr="00816DD8">
        <w:rPr>
          <w:rFonts w:ascii="Arial" w:eastAsia="SimSun" w:hAnsi="Arial" w:cs="Arial"/>
          <w:sz w:val="20"/>
          <w:szCs w:val="20"/>
          <w:lang w:val="en-GB"/>
        </w:rPr>
        <w:t xml:space="preserve"> [2002] 1 SLR(R) 306</w:t>
      </w:r>
      <w:r w:rsidR="005963D3">
        <w:rPr>
          <w:rFonts w:ascii="Arial" w:eastAsia="SimSun" w:hAnsi="Arial" w:cs="Arial"/>
          <w:sz w:val="20"/>
          <w:szCs w:val="20"/>
          <w:lang w:val="en-GB"/>
        </w:rPr>
        <w:t xml:space="preserve"> (“</w:t>
      </w:r>
      <w:r w:rsidR="005963D3">
        <w:rPr>
          <w:rFonts w:ascii="Arial" w:eastAsia="SimSun" w:hAnsi="Arial" w:cs="Arial"/>
          <w:b/>
          <w:i/>
          <w:sz w:val="20"/>
          <w:szCs w:val="20"/>
          <w:u w:val="single"/>
          <w:lang w:val="en-GB"/>
        </w:rPr>
        <w:t>Star City Pty Ltd</w:t>
      </w:r>
      <w:r w:rsidR="005963D3">
        <w:rPr>
          <w:rFonts w:ascii="Arial" w:eastAsia="SimSun" w:hAnsi="Arial" w:cs="Arial"/>
          <w:sz w:val="20"/>
          <w:szCs w:val="20"/>
          <w:lang w:val="en-GB"/>
        </w:rPr>
        <w:t>”):</w:t>
      </w:r>
    </w:p>
    <w:p w14:paraId="4D06C9D9" w14:textId="77777777" w:rsidR="005963D3" w:rsidRDefault="005963D3" w:rsidP="005963D3">
      <w:pPr>
        <w:pStyle w:val="ListParagraph"/>
        <w:rPr>
          <w:rFonts w:ascii="Arial" w:eastAsia="SimSun" w:hAnsi="Arial" w:cs="Arial"/>
          <w:sz w:val="20"/>
          <w:szCs w:val="20"/>
          <w:lang w:val="en-GB"/>
        </w:rPr>
      </w:pPr>
    </w:p>
    <w:p w14:paraId="4D06C9DA" w14:textId="77777777" w:rsidR="005963D3" w:rsidRPr="005963D3" w:rsidRDefault="005963D3" w:rsidP="005963D3">
      <w:pPr>
        <w:autoSpaceDE w:val="0"/>
        <w:autoSpaceDN w:val="0"/>
        <w:adjustRightInd w:val="0"/>
        <w:spacing w:line="290" w:lineRule="auto"/>
        <w:ind w:left="1440" w:right="746"/>
        <w:jc w:val="both"/>
        <w:rPr>
          <w:rFonts w:ascii="Arial" w:eastAsia="SimSun" w:hAnsi="Arial" w:cs="Arial"/>
          <w:i/>
          <w:sz w:val="20"/>
          <w:szCs w:val="20"/>
          <w:lang w:val="en-GB"/>
        </w:rPr>
      </w:pPr>
      <w:r>
        <w:rPr>
          <w:rFonts w:ascii="Arial" w:hAnsi="Arial" w:cs="Arial"/>
          <w:i/>
          <w:sz w:val="20"/>
          <w:szCs w:val="20"/>
        </w:rPr>
        <w:t>“</w:t>
      </w:r>
      <w:r w:rsidRPr="005963D3">
        <w:rPr>
          <w:rFonts w:ascii="Arial" w:hAnsi="Arial" w:cs="Arial"/>
          <w:i/>
          <w:sz w:val="20"/>
          <w:szCs w:val="20"/>
        </w:rPr>
        <w:t xml:space="preserve">in every case, to determine whether a provision is substantive or procedural, one must look at the effect and purpose of that </w:t>
      </w:r>
      <w:r w:rsidRPr="005963D3">
        <w:rPr>
          <w:rFonts w:ascii="Arial" w:hAnsi="Arial" w:cs="Arial"/>
          <w:i/>
          <w:color w:val="000000"/>
          <w:sz w:val="20"/>
          <w:szCs w:val="20"/>
        </w:rPr>
        <w:t>provision</w:t>
      </w:r>
      <w:r w:rsidRPr="005963D3">
        <w:rPr>
          <w:rFonts w:ascii="Arial" w:hAnsi="Arial" w:cs="Arial"/>
          <w:i/>
          <w:sz w:val="20"/>
          <w:szCs w:val="20"/>
        </w:rPr>
        <w:t>. If the provision regulates proceedings rather than affects the existence of a legal right, it is a procedural provision. A distinction is drawn between the essential validity of a right and its enforceability.</w:t>
      </w:r>
      <w:r>
        <w:rPr>
          <w:rFonts w:ascii="Arial" w:hAnsi="Arial" w:cs="Arial"/>
          <w:i/>
          <w:sz w:val="20"/>
          <w:szCs w:val="20"/>
        </w:rPr>
        <w:t>”</w:t>
      </w:r>
    </w:p>
    <w:p w14:paraId="4D06C9DB" w14:textId="77777777" w:rsidR="005963D3" w:rsidRDefault="005963D3"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 xml:space="preserve">In </w:t>
      </w:r>
      <w:r>
        <w:rPr>
          <w:rFonts w:ascii="Arial" w:eastAsia="SimSun" w:hAnsi="Arial" w:cs="Arial"/>
          <w:b/>
          <w:i/>
          <w:sz w:val="20"/>
          <w:szCs w:val="20"/>
          <w:u w:val="single"/>
          <w:lang w:val="en-GB"/>
        </w:rPr>
        <w:t>Star City</w:t>
      </w:r>
      <w:r>
        <w:rPr>
          <w:rFonts w:ascii="Arial" w:eastAsia="SimSun" w:hAnsi="Arial" w:cs="Arial"/>
          <w:sz w:val="20"/>
          <w:szCs w:val="20"/>
          <w:lang w:val="en-GB"/>
        </w:rPr>
        <w:t>, the Court of Appeal was considering the question of whether Section 5(2) of the Civil Law Act was substantive or procedural in nature.   Section 5(2) of the Civil law Act provides that:</w:t>
      </w:r>
    </w:p>
    <w:p w14:paraId="4D06C9DC" w14:textId="77777777" w:rsidR="005963D3" w:rsidRDefault="005963D3" w:rsidP="005963D3">
      <w:pPr>
        <w:spacing w:after="0" w:line="290" w:lineRule="auto"/>
        <w:ind w:left="720"/>
        <w:jc w:val="both"/>
        <w:rPr>
          <w:rFonts w:ascii="Arial" w:eastAsia="SimSun" w:hAnsi="Arial" w:cs="Arial"/>
          <w:sz w:val="20"/>
          <w:szCs w:val="20"/>
          <w:lang w:val="en-GB"/>
        </w:rPr>
      </w:pPr>
    </w:p>
    <w:p w14:paraId="4D06C9DD" w14:textId="77777777" w:rsidR="005963D3" w:rsidRPr="005963D3" w:rsidRDefault="005963D3" w:rsidP="005963D3">
      <w:pPr>
        <w:autoSpaceDE w:val="0"/>
        <w:autoSpaceDN w:val="0"/>
        <w:adjustRightInd w:val="0"/>
        <w:spacing w:line="290" w:lineRule="auto"/>
        <w:ind w:left="1440" w:right="746"/>
        <w:jc w:val="both"/>
        <w:rPr>
          <w:rFonts w:ascii="Arial" w:eastAsia="SimSun" w:hAnsi="Arial" w:cs="Arial"/>
          <w:i/>
          <w:sz w:val="20"/>
          <w:szCs w:val="20"/>
          <w:lang w:val="en-GB"/>
        </w:rPr>
      </w:pPr>
      <w:r>
        <w:rPr>
          <w:rFonts w:ascii="Arial" w:eastAsia="SimSun" w:hAnsi="Arial" w:cs="Arial"/>
          <w:i/>
          <w:sz w:val="20"/>
          <w:szCs w:val="20"/>
          <w:lang w:val="en-GB"/>
        </w:rPr>
        <w:lastRenderedPageBreak/>
        <w:t>“</w:t>
      </w:r>
      <w:r w:rsidRPr="005963D3">
        <w:rPr>
          <w:rFonts w:ascii="Arial" w:eastAsia="SimSun" w:hAnsi="Arial" w:cs="Arial"/>
          <w:i/>
          <w:sz w:val="20"/>
          <w:szCs w:val="20"/>
          <w:lang w:val="en-GB"/>
        </w:rPr>
        <w:t xml:space="preserve">(2)  No action shall be brought or maintained in the court for recovering any sum of money or valuable thing alleged to be won </w:t>
      </w:r>
      <w:r w:rsidRPr="005963D3">
        <w:rPr>
          <w:rFonts w:ascii="Arial" w:hAnsi="Arial" w:cs="Arial"/>
          <w:i/>
          <w:sz w:val="20"/>
          <w:szCs w:val="20"/>
        </w:rPr>
        <w:t>upon</w:t>
      </w:r>
      <w:r w:rsidRPr="005963D3">
        <w:rPr>
          <w:rFonts w:ascii="Arial" w:eastAsia="SimSun" w:hAnsi="Arial" w:cs="Arial"/>
          <w:i/>
          <w:sz w:val="20"/>
          <w:szCs w:val="20"/>
          <w:lang w:val="en-GB"/>
        </w:rPr>
        <w:t xml:space="preserve"> any wager or which has been deposited in the hands of any person to abide the event on which any wager has been made.</w:t>
      </w:r>
      <w:r>
        <w:rPr>
          <w:rFonts w:ascii="Arial" w:eastAsia="SimSun" w:hAnsi="Arial" w:cs="Arial"/>
          <w:i/>
          <w:sz w:val="20"/>
          <w:szCs w:val="20"/>
          <w:lang w:val="en-GB"/>
        </w:rPr>
        <w:t>”</w:t>
      </w:r>
    </w:p>
    <w:p w14:paraId="4D06C9DE" w14:textId="77777777" w:rsidR="005963D3" w:rsidRDefault="005963D3"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The Court held that the above provision to be procedural because of the “</w:t>
      </w:r>
      <w:r>
        <w:rPr>
          <w:rFonts w:ascii="Arial" w:eastAsia="SimSun" w:hAnsi="Arial" w:cs="Arial"/>
          <w:i/>
          <w:sz w:val="20"/>
          <w:szCs w:val="20"/>
          <w:lang w:val="en-GB"/>
        </w:rPr>
        <w:t>crucial words</w:t>
      </w:r>
      <w:r>
        <w:rPr>
          <w:rFonts w:ascii="Arial" w:eastAsia="SimSun" w:hAnsi="Arial" w:cs="Arial"/>
          <w:sz w:val="20"/>
          <w:szCs w:val="20"/>
          <w:lang w:val="en-GB"/>
        </w:rPr>
        <w:t>” of “</w:t>
      </w:r>
      <w:r>
        <w:rPr>
          <w:rFonts w:ascii="Arial" w:eastAsia="SimSun" w:hAnsi="Arial" w:cs="Arial"/>
          <w:i/>
          <w:sz w:val="20"/>
          <w:szCs w:val="20"/>
          <w:lang w:val="en-GB"/>
        </w:rPr>
        <w:t>no action shall be brought</w:t>
      </w:r>
      <w:r>
        <w:rPr>
          <w:rFonts w:ascii="Arial" w:eastAsia="SimSun" w:hAnsi="Arial" w:cs="Arial"/>
          <w:sz w:val="20"/>
          <w:szCs w:val="20"/>
          <w:lang w:val="en-GB"/>
        </w:rPr>
        <w:t xml:space="preserve">”.  Applying the Court’s reasoning to the limitation act, it is submitted that the limitation act is likely to be seen as a procedural matter, instead of a substantive </w:t>
      </w:r>
      <w:r w:rsidR="00454AE9">
        <w:rPr>
          <w:rFonts w:ascii="Arial" w:eastAsia="SimSun" w:hAnsi="Arial" w:cs="Arial"/>
          <w:sz w:val="20"/>
          <w:szCs w:val="20"/>
          <w:lang w:val="en-GB"/>
        </w:rPr>
        <w:t>right.  Section 6 of the Limitation Act provides that:</w:t>
      </w:r>
    </w:p>
    <w:p w14:paraId="4D06C9DF" w14:textId="77777777" w:rsidR="00454AE9" w:rsidRDefault="00454AE9" w:rsidP="00454AE9">
      <w:pPr>
        <w:spacing w:after="0" w:line="290" w:lineRule="auto"/>
        <w:ind w:left="720"/>
        <w:jc w:val="both"/>
        <w:rPr>
          <w:rFonts w:ascii="Arial" w:eastAsia="SimSun" w:hAnsi="Arial" w:cs="Arial"/>
          <w:sz w:val="20"/>
          <w:szCs w:val="20"/>
          <w:lang w:val="en-GB"/>
        </w:rPr>
      </w:pPr>
    </w:p>
    <w:p w14:paraId="4D06C9E0" w14:textId="77777777" w:rsidR="00454AE9" w:rsidRPr="00454AE9" w:rsidRDefault="00454AE9" w:rsidP="00454AE9">
      <w:pPr>
        <w:autoSpaceDE w:val="0"/>
        <w:autoSpaceDN w:val="0"/>
        <w:adjustRightInd w:val="0"/>
        <w:spacing w:line="290" w:lineRule="auto"/>
        <w:ind w:left="1440" w:right="746"/>
        <w:jc w:val="both"/>
        <w:rPr>
          <w:rFonts w:ascii="Arial" w:eastAsia="SimSun" w:hAnsi="Arial" w:cs="Arial"/>
          <w:i/>
          <w:sz w:val="20"/>
          <w:szCs w:val="20"/>
          <w:lang w:val="en-GB"/>
        </w:rPr>
      </w:pPr>
      <w:r>
        <w:rPr>
          <w:rFonts w:ascii="Arial" w:eastAsia="SimSun" w:hAnsi="Arial" w:cs="Arial"/>
          <w:i/>
          <w:sz w:val="20"/>
          <w:szCs w:val="20"/>
          <w:lang w:val="en-GB"/>
        </w:rPr>
        <w:t>“</w:t>
      </w:r>
      <w:r w:rsidRPr="00454AE9">
        <w:rPr>
          <w:rFonts w:ascii="Arial" w:eastAsia="SimSun" w:hAnsi="Arial" w:cs="Arial"/>
          <w:i/>
          <w:sz w:val="20"/>
          <w:szCs w:val="20"/>
          <w:lang w:val="en-GB"/>
        </w:rPr>
        <w:t>Subject to this Act, the following actions shall not be brought after the expiration of 6 years from the date on which the cause of action accrued:</w:t>
      </w:r>
      <w:r>
        <w:rPr>
          <w:rFonts w:ascii="Arial" w:eastAsia="SimSun" w:hAnsi="Arial" w:cs="Arial"/>
          <w:i/>
          <w:sz w:val="20"/>
          <w:szCs w:val="20"/>
          <w:lang w:val="en-GB"/>
        </w:rPr>
        <w:t>”</w:t>
      </w:r>
    </w:p>
    <w:p w14:paraId="4D06C9E1" w14:textId="77777777" w:rsidR="00454AE9" w:rsidRDefault="00454AE9"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 xml:space="preserve">The phrasing of Section 6 of the Limitation Act is essentially the same as Section 5(2) of the Civil Law Act.  Accordingly, it is likely that Section 6 of the Limitation Act is likely to be seen as part of the procedural law of Singapore, rather than a substantive law. </w:t>
      </w:r>
    </w:p>
    <w:p w14:paraId="4D06C9E2" w14:textId="77777777" w:rsidR="00465E1C" w:rsidRDefault="00465E1C" w:rsidP="00465E1C">
      <w:pPr>
        <w:spacing w:after="0" w:line="290" w:lineRule="auto"/>
        <w:ind w:left="720"/>
        <w:jc w:val="both"/>
        <w:rPr>
          <w:rFonts w:ascii="Arial" w:eastAsia="SimSun" w:hAnsi="Arial" w:cs="Arial"/>
          <w:sz w:val="20"/>
          <w:szCs w:val="20"/>
          <w:lang w:val="en-GB"/>
        </w:rPr>
      </w:pPr>
    </w:p>
    <w:p w14:paraId="4D06C9E3" w14:textId="77777777" w:rsidR="00465E1C" w:rsidRDefault="00465E1C" w:rsidP="00465E1C">
      <w:pPr>
        <w:numPr>
          <w:ilvl w:val="0"/>
          <w:numId w:val="2"/>
        </w:numPr>
        <w:tabs>
          <w:tab w:val="left" w:pos="720"/>
        </w:tabs>
        <w:spacing w:after="0" w:line="290" w:lineRule="auto"/>
        <w:ind w:hanging="720"/>
        <w:jc w:val="both"/>
        <w:rPr>
          <w:rFonts w:ascii="Arial" w:eastAsia="SimSun" w:hAnsi="Arial" w:cs="Arial"/>
          <w:sz w:val="20"/>
          <w:szCs w:val="20"/>
          <w:lang w:val="en-GB"/>
        </w:rPr>
      </w:pPr>
      <w:r w:rsidRPr="00465E1C">
        <w:rPr>
          <w:rFonts w:ascii="Arial" w:eastAsia="SimSun" w:hAnsi="Arial" w:cs="Arial"/>
          <w:sz w:val="20"/>
          <w:szCs w:val="20"/>
          <w:lang w:val="en-GB"/>
        </w:rPr>
        <w:t xml:space="preserve">This reading is also supported by the local decision of </w:t>
      </w:r>
      <w:r w:rsidRPr="00465E1C">
        <w:rPr>
          <w:rFonts w:ascii="Arial" w:eastAsia="SimSun" w:hAnsi="Arial" w:cs="Arial"/>
          <w:b/>
          <w:i/>
          <w:sz w:val="20"/>
          <w:szCs w:val="20"/>
          <w:u w:val="single"/>
          <w:lang w:val="en-GB"/>
        </w:rPr>
        <w:t>Hong Alvin v Chia Quee Khee</w:t>
      </w:r>
      <w:r w:rsidRPr="00465E1C">
        <w:rPr>
          <w:rFonts w:ascii="Arial" w:eastAsia="SimSun" w:hAnsi="Arial" w:cs="Arial"/>
          <w:sz w:val="20"/>
          <w:szCs w:val="20"/>
          <w:lang w:val="en-GB"/>
        </w:rPr>
        <w:t xml:space="preserve"> [2011] SGHC 249</w:t>
      </w:r>
      <w:r>
        <w:rPr>
          <w:rFonts w:ascii="Arial" w:eastAsia="SimSun" w:hAnsi="Arial" w:cs="Arial"/>
          <w:sz w:val="20"/>
          <w:szCs w:val="20"/>
          <w:lang w:val="en-GB"/>
        </w:rPr>
        <w:t xml:space="preserve"> where Quentin Loh J observed, (at [25]):-</w:t>
      </w:r>
    </w:p>
    <w:p w14:paraId="4D06C9E4" w14:textId="77777777" w:rsidR="00465E1C" w:rsidRDefault="00465E1C" w:rsidP="00465E1C">
      <w:pPr>
        <w:pStyle w:val="ListParagraph"/>
        <w:rPr>
          <w:rFonts w:ascii="Arial" w:eastAsia="SimSun" w:hAnsi="Arial" w:cs="Arial"/>
          <w:sz w:val="20"/>
          <w:szCs w:val="20"/>
          <w:lang w:val="en-GB"/>
        </w:rPr>
      </w:pPr>
    </w:p>
    <w:p w14:paraId="4D06C9E5" w14:textId="77777777" w:rsidR="00465E1C" w:rsidRPr="00465E1C" w:rsidRDefault="00465E1C" w:rsidP="00465E1C">
      <w:pPr>
        <w:autoSpaceDE w:val="0"/>
        <w:autoSpaceDN w:val="0"/>
        <w:adjustRightInd w:val="0"/>
        <w:spacing w:line="290" w:lineRule="auto"/>
        <w:ind w:left="1440" w:right="746"/>
        <w:jc w:val="both"/>
        <w:rPr>
          <w:rFonts w:ascii="Arial" w:eastAsia="SimSun" w:hAnsi="Arial" w:cs="Arial"/>
          <w:i/>
          <w:sz w:val="20"/>
          <w:szCs w:val="20"/>
          <w:lang w:val="en-GB"/>
        </w:rPr>
      </w:pPr>
      <w:r>
        <w:rPr>
          <w:rFonts w:ascii="Arial" w:eastAsia="SimSun" w:hAnsi="Arial" w:cs="Arial"/>
          <w:i/>
          <w:sz w:val="20"/>
          <w:szCs w:val="20"/>
          <w:lang w:val="en-GB"/>
        </w:rPr>
        <w:t>“</w:t>
      </w:r>
      <w:r w:rsidRPr="00465E1C">
        <w:rPr>
          <w:rFonts w:ascii="Arial" w:eastAsia="SimSun" w:hAnsi="Arial" w:cs="Arial"/>
          <w:i/>
          <w:sz w:val="20"/>
          <w:szCs w:val="20"/>
          <w:lang w:val="en-GB"/>
        </w:rPr>
        <w:t>However, under our Limitation Act (Cap 163 1996 Rev Ed) (“LimitationAct”), time bars are procedural in nature. The operative words under the statute – “…actions... shall not be brought…”–prohibitthe bringing of an action. They bar the remedy. As was aptly put by Donaldson LJ in Ronex Properties at 404: “…itis trite law that the English Limitation Acts bar the remedy and not the right; and furthermore they do not even have this effect unless and until pleaded.” The latter part of Donaldson LJ’s remark arises from the then equivalent English section to s 4 of the Limitation Act, which provides that nothing in the Limitation Act shall operate as a bar to an action unless the Limitation Act has been expressly pleaded as a defence thereto.</w:t>
      </w:r>
      <w:r>
        <w:rPr>
          <w:rFonts w:ascii="Arial" w:eastAsia="SimSun" w:hAnsi="Arial" w:cs="Arial"/>
          <w:i/>
          <w:sz w:val="20"/>
          <w:szCs w:val="20"/>
          <w:lang w:val="en-GB"/>
        </w:rPr>
        <w:t>”</w:t>
      </w:r>
      <w:r w:rsidRPr="00465E1C">
        <w:rPr>
          <w:rFonts w:ascii="Arial" w:eastAsia="SimSun" w:hAnsi="Arial" w:cs="Arial"/>
          <w:i/>
          <w:sz w:val="20"/>
          <w:szCs w:val="20"/>
          <w:lang w:val="en-GB"/>
        </w:rPr>
        <w:t xml:space="preserve"> </w:t>
      </w:r>
    </w:p>
    <w:p w14:paraId="4D06C9E6" w14:textId="77777777" w:rsidR="00454AE9" w:rsidRDefault="00454AE9" w:rsidP="00454AE9">
      <w:pPr>
        <w:spacing w:after="0" w:line="290" w:lineRule="auto"/>
        <w:ind w:left="720"/>
        <w:jc w:val="both"/>
        <w:rPr>
          <w:rFonts w:ascii="Arial" w:eastAsia="SimSun" w:hAnsi="Arial" w:cs="Arial"/>
          <w:sz w:val="20"/>
          <w:szCs w:val="20"/>
          <w:lang w:val="en-GB"/>
        </w:rPr>
      </w:pPr>
    </w:p>
    <w:p w14:paraId="4D06C9E7" w14:textId="77777777" w:rsidR="00454AE9" w:rsidRDefault="00465E1C" w:rsidP="00816DD8">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Finally, r</w:t>
      </w:r>
      <w:r w:rsidR="00454AE9">
        <w:rPr>
          <w:rFonts w:ascii="Arial" w:eastAsia="SimSun" w:hAnsi="Arial" w:cs="Arial"/>
          <w:sz w:val="20"/>
          <w:szCs w:val="20"/>
          <w:lang w:val="en-GB"/>
        </w:rPr>
        <w:t>egard could also be paid to the statements made by the Report of the Law Reform Committee in its report on Limitation Periods in Private International Law dated January 2011.  In its report, the Law Reform Committee noted that “</w:t>
      </w:r>
      <w:r w:rsidR="00454AE9">
        <w:rPr>
          <w:rFonts w:ascii="Arial" w:eastAsia="SimSun" w:hAnsi="Arial" w:cs="Arial"/>
          <w:i/>
          <w:sz w:val="20"/>
          <w:szCs w:val="20"/>
          <w:lang w:val="en-GB"/>
        </w:rPr>
        <w:t>the question of classification of time limitation laws for choice of law purposes has not arisen directly for consideration in a Singapore court of la</w:t>
      </w:r>
      <w:r w:rsidR="00454AE9">
        <w:rPr>
          <w:rFonts w:ascii="Arial" w:eastAsia="SimSun" w:hAnsi="Arial" w:cs="Arial"/>
          <w:sz w:val="20"/>
          <w:szCs w:val="20"/>
          <w:lang w:val="en-GB"/>
        </w:rPr>
        <w:t>”.  Yet, it proceeded to make the following observations in the same report:</w:t>
      </w:r>
    </w:p>
    <w:p w14:paraId="4D06C9E8" w14:textId="77777777" w:rsidR="00454AE9" w:rsidRDefault="00454AE9" w:rsidP="00454AE9">
      <w:pPr>
        <w:pStyle w:val="ListParagraph"/>
        <w:rPr>
          <w:rFonts w:ascii="Arial" w:eastAsia="SimSun" w:hAnsi="Arial" w:cs="Arial"/>
          <w:sz w:val="20"/>
          <w:szCs w:val="20"/>
          <w:lang w:val="en-GB"/>
        </w:rPr>
      </w:pPr>
    </w:p>
    <w:p w14:paraId="4D06C9E9" w14:textId="77777777" w:rsidR="00454AE9" w:rsidRDefault="00454AE9" w:rsidP="00454AE9">
      <w:pPr>
        <w:autoSpaceDE w:val="0"/>
        <w:autoSpaceDN w:val="0"/>
        <w:adjustRightInd w:val="0"/>
        <w:spacing w:line="290" w:lineRule="auto"/>
        <w:ind w:left="1440" w:right="746"/>
        <w:jc w:val="both"/>
        <w:rPr>
          <w:rFonts w:ascii="Arial" w:eastAsia="SimSun" w:hAnsi="Arial" w:cs="Arial"/>
          <w:sz w:val="20"/>
          <w:szCs w:val="20"/>
          <w:lang w:val="en-GB"/>
        </w:rPr>
      </w:pPr>
      <w:r>
        <w:rPr>
          <w:rFonts w:ascii="Arial" w:eastAsia="SimSun" w:hAnsi="Arial" w:cs="Arial"/>
          <w:i/>
          <w:sz w:val="20"/>
          <w:szCs w:val="20"/>
          <w:lang w:val="en-GB"/>
        </w:rPr>
        <w:t>“The proposition that limitation statues are procedu</w:t>
      </w:r>
      <w:bookmarkStart w:id="0" w:name="_GoBack"/>
      <w:bookmarkEnd w:id="0"/>
      <w:r>
        <w:rPr>
          <w:rFonts w:ascii="Arial" w:eastAsia="SimSun" w:hAnsi="Arial" w:cs="Arial"/>
          <w:i/>
          <w:sz w:val="20"/>
          <w:szCs w:val="20"/>
          <w:lang w:val="en-GB"/>
        </w:rPr>
        <w:t>ral is long established in the common law and probably reflects the present state of the common law in Singapore.”</w:t>
      </w:r>
      <w:r>
        <w:rPr>
          <w:rFonts w:ascii="Arial" w:eastAsia="SimSun" w:hAnsi="Arial" w:cs="Arial"/>
          <w:sz w:val="20"/>
          <w:szCs w:val="20"/>
          <w:lang w:val="en-GB"/>
        </w:rPr>
        <w:t xml:space="preserve"> </w:t>
      </w:r>
    </w:p>
    <w:p w14:paraId="4D06C9EA" w14:textId="77777777" w:rsidR="009F6A93" w:rsidRDefault="009F6A93" w:rsidP="00454AE9">
      <w:pPr>
        <w:autoSpaceDE w:val="0"/>
        <w:autoSpaceDN w:val="0"/>
        <w:adjustRightInd w:val="0"/>
        <w:spacing w:line="290" w:lineRule="auto"/>
        <w:ind w:left="1440" w:right="746"/>
        <w:jc w:val="both"/>
        <w:rPr>
          <w:rFonts w:ascii="Arial" w:eastAsia="SimSun" w:hAnsi="Arial" w:cs="Arial"/>
          <w:sz w:val="20"/>
          <w:szCs w:val="20"/>
          <w:lang w:val="en-GB"/>
        </w:rPr>
      </w:pPr>
    </w:p>
    <w:p w14:paraId="4D06C9EB" w14:textId="4953706C" w:rsidR="009F6A93" w:rsidRDefault="009F6A93" w:rsidP="009F6A93">
      <w:pPr>
        <w:numPr>
          <w:ilvl w:val="0"/>
          <w:numId w:val="2"/>
        </w:numPr>
        <w:tabs>
          <w:tab w:val="left" w:pos="720"/>
        </w:tabs>
        <w:spacing w:after="0" w:line="290" w:lineRule="auto"/>
        <w:ind w:hanging="720"/>
        <w:jc w:val="both"/>
        <w:rPr>
          <w:rFonts w:ascii="Arial" w:eastAsia="SimSun" w:hAnsi="Arial" w:cs="Arial"/>
          <w:sz w:val="20"/>
          <w:szCs w:val="20"/>
          <w:lang w:val="en-GB"/>
        </w:rPr>
      </w:pPr>
      <w:r>
        <w:rPr>
          <w:rFonts w:ascii="Arial" w:eastAsia="SimSun" w:hAnsi="Arial" w:cs="Arial"/>
          <w:sz w:val="20"/>
          <w:szCs w:val="20"/>
          <w:lang w:val="en-GB"/>
        </w:rPr>
        <w:t xml:space="preserve">Accordingly, whether </w:t>
      </w:r>
      <w:r w:rsidR="00756A91">
        <w:rPr>
          <w:rFonts w:ascii="Arial" w:eastAsia="SimSun" w:hAnsi="Arial" w:cs="Arial"/>
          <w:sz w:val="20"/>
          <w:szCs w:val="20"/>
          <w:lang w:val="en-GB"/>
        </w:rPr>
        <w:t>HHH</w:t>
      </w:r>
      <w:r>
        <w:rPr>
          <w:rFonts w:ascii="Arial" w:eastAsia="SimSun" w:hAnsi="Arial" w:cs="Arial"/>
          <w:sz w:val="20"/>
          <w:szCs w:val="20"/>
          <w:lang w:val="en-GB"/>
        </w:rPr>
        <w:t xml:space="preserve">’s (be it Singapore or India) claim against the </w:t>
      </w:r>
      <w:r w:rsidR="00756A91">
        <w:rPr>
          <w:rFonts w:ascii="Arial" w:eastAsia="SimSun" w:hAnsi="Arial" w:cs="Arial"/>
          <w:sz w:val="20"/>
          <w:szCs w:val="20"/>
          <w:lang w:val="en-GB"/>
        </w:rPr>
        <w:t>WWW</w:t>
      </w:r>
      <w:r>
        <w:rPr>
          <w:rFonts w:ascii="Arial" w:eastAsia="SimSun" w:hAnsi="Arial" w:cs="Arial"/>
          <w:sz w:val="20"/>
          <w:szCs w:val="20"/>
          <w:lang w:val="en-GB"/>
        </w:rPr>
        <w:t xml:space="preserve"> Group is likely to be time barred would be determined by Singapore Law.</w:t>
      </w:r>
    </w:p>
    <w:p w14:paraId="4D06C9EC" w14:textId="77777777" w:rsidR="009F6A93" w:rsidRDefault="009F6A93" w:rsidP="00454AE9">
      <w:pPr>
        <w:autoSpaceDE w:val="0"/>
        <w:autoSpaceDN w:val="0"/>
        <w:adjustRightInd w:val="0"/>
        <w:spacing w:line="290" w:lineRule="auto"/>
        <w:ind w:left="1440" w:right="746"/>
        <w:jc w:val="both"/>
        <w:rPr>
          <w:rFonts w:ascii="Arial" w:eastAsia="SimSun" w:hAnsi="Arial" w:cs="Arial"/>
          <w:sz w:val="20"/>
          <w:szCs w:val="20"/>
          <w:lang w:val="en-GB"/>
        </w:rPr>
      </w:pPr>
    </w:p>
    <w:sectPr w:rsidR="009F6A93" w:rsidSect="007738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F00FF4"/>
    <w:multiLevelType w:val="hybridMultilevel"/>
    <w:tmpl w:val="CF0A3AC8"/>
    <w:lvl w:ilvl="0" w:tplc="DD2EDF86">
      <w:numFmt w:val="bullet"/>
      <w:lvlText w:val="-"/>
      <w:lvlJc w:val="left"/>
      <w:pPr>
        <w:ind w:left="408" w:hanging="360"/>
      </w:pPr>
      <w:rPr>
        <w:rFonts w:ascii="Calibri" w:eastAsiaTheme="minorEastAsia" w:hAnsi="Calibri" w:cs="Calibri" w:hint="default"/>
      </w:rPr>
    </w:lvl>
    <w:lvl w:ilvl="1" w:tplc="48090003">
      <w:start w:val="1"/>
      <w:numFmt w:val="bullet"/>
      <w:lvlText w:val="o"/>
      <w:lvlJc w:val="left"/>
      <w:pPr>
        <w:ind w:left="1128" w:hanging="360"/>
      </w:pPr>
      <w:rPr>
        <w:rFonts w:ascii="Courier New" w:hAnsi="Courier New" w:cs="Courier New" w:hint="default"/>
      </w:rPr>
    </w:lvl>
    <w:lvl w:ilvl="2" w:tplc="48090005" w:tentative="1">
      <w:start w:val="1"/>
      <w:numFmt w:val="bullet"/>
      <w:lvlText w:val=""/>
      <w:lvlJc w:val="left"/>
      <w:pPr>
        <w:ind w:left="1848" w:hanging="360"/>
      </w:pPr>
      <w:rPr>
        <w:rFonts w:ascii="Wingdings" w:hAnsi="Wingdings" w:hint="default"/>
      </w:rPr>
    </w:lvl>
    <w:lvl w:ilvl="3" w:tplc="48090001" w:tentative="1">
      <w:start w:val="1"/>
      <w:numFmt w:val="bullet"/>
      <w:lvlText w:val=""/>
      <w:lvlJc w:val="left"/>
      <w:pPr>
        <w:ind w:left="2568" w:hanging="360"/>
      </w:pPr>
      <w:rPr>
        <w:rFonts w:ascii="Symbol" w:hAnsi="Symbol" w:hint="default"/>
      </w:rPr>
    </w:lvl>
    <w:lvl w:ilvl="4" w:tplc="48090003" w:tentative="1">
      <w:start w:val="1"/>
      <w:numFmt w:val="bullet"/>
      <w:lvlText w:val="o"/>
      <w:lvlJc w:val="left"/>
      <w:pPr>
        <w:ind w:left="3288" w:hanging="360"/>
      </w:pPr>
      <w:rPr>
        <w:rFonts w:ascii="Courier New" w:hAnsi="Courier New" w:cs="Courier New" w:hint="default"/>
      </w:rPr>
    </w:lvl>
    <w:lvl w:ilvl="5" w:tplc="48090005" w:tentative="1">
      <w:start w:val="1"/>
      <w:numFmt w:val="bullet"/>
      <w:lvlText w:val=""/>
      <w:lvlJc w:val="left"/>
      <w:pPr>
        <w:ind w:left="4008" w:hanging="360"/>
      </w:pPr>
      <w:rPr>
        <w:rFonts w:ascii="Wingdings" w:hAnsi="Wingdings" w:hint="default"/>
      </w:rPr>
    </w:lvl>
    <w:lvl w:ilvl="6" w:tplc="48090001" w:tentative="1">
      <w:start w:val="1"/>
      <w:numFmt w:val="bullet"/>
      <w:lvlText w:val=""/>
      <w:lvlJc w:val="left"/>
      <w:pPr>
        <w:ind w:left="4728" w:hanging="360"/>
      </w:pPr>
      <w:rPr>
        <w:rFonts w:ascii="Symbol" w:hAnsi="Symbol" w:hint="default"/>
      </w:rPr>
    </w:lvl>
    <w:lvl w:ilvl="7" w:tplc="48090003" w:tentative="1">
      <w:start w:val="1"/>
      <w:numFmt w:val="bullet"/>
      <w:lvlText w:val="o"/>
      <w:lvlJc w:val="left"/>
      <w:pPr>
        <w:ind w:left="5448" w:hanging="360"/>
      </w:pPr>
      <w:rPr>
        <w:rFonts w:ascii="Courier New" w:hAnsi="Courier New" w:cs="Courier New" w:hint="default"/>
      </w:rPr>
    </w:lvl>
    <w:lvl w:ilvl="8" w:tplc="48090005" w:tentative="1">
      <w:start w:val="1"/>
      <w:numFmt w:val="bullet"/>
      <w:lvlText w:val=""/>
      <w:lvlJc w:val="left"/>
      <w:pPr>
        <w:ind w:left="6168" w:hanging="360"/>
      </w:pPr>
      <w:rPr>
        <w:rFonts w:ascii="Wingdings" w:hAnsi="Wingdings" w:hint="default"/>
      </w:rPr>
    </w:lvl>
  </w:abstractNum>
  <w:abstractNum w:abstractNumId="1" w15:restartNumberingAfterBreak="0">
    <w:nsid w:val="2DCA4D3E"/>
    <w:multiLevelType w:val="hybridMultilevel"/>
    <w:tmpl w:val="35EE3AC2"/>
    <w:lvl w:ilvl="0" w:tplc="6B88A42C">
      <w:start w:val="1"/>
      <w:numFmt w:val="decimal"/>
      <w:lvlText w:val="%1."/>
      <w:lvlJc w:val="left"/>
      <w:pPr>
        <w:tabs>
          <w:tab w:val="num" w:pos="720"/>
        </w:tabs>
        <w:ind w:left="720" w:hanging="360"/>
      </w:pPr>
      <w:rPr>
        <w:rFonts w:hint="default"/>
        <w:b w:val="0"/>
        <w:i w:val="0"/>
      </w:rPr>
    </w:lvl>
    <w:lvl w:ilvl="1" w:tplc="42EE3446">
      <w:start w:val="1"/>
      <w:numFmt w:val="decimal"/>
      <w:lvlText w:val="(%2)"/>
      <w:lvlJc w:val="left"/>
      <w:pPr>
        <w:tabs>
          <w:tab w:val="num" w:pos="1440"/>
        </w:tabs>
        <w:ind w:left="1440" w:hanging="360"/>
      </w:pPr>
      <w:rPr>
        <w:rFonts w:hint="default"/>
        <w:b w:val="0"/>
        <w:i w:val="0"/>
      </w:rPr>
    </w:lvl>
    <w:lvl w:ilvl="2" w:tplc="9184DC4E">
      <w:start w:val="1"/>
      <w:numFmt w:val="lowerRoman"/>
      <w:lvlText w:val="%3."/>
      <w:lvlJc w:val="left"/>
      <w:pPr>
        <w:tabs>
          <w:tab w:val="num" w:pos="2160"/>
        </w:tabs>
        <w:ind w:left="2160" w:hanging="180"/>
      </w:pPr>
      <w:rPr>
        <w:rFonts w:hint="default"/>
        <w:b w:val="0"/>
        <w:i w:val="0"/>
      </w:rPr>
    </w:lvl>
    <w:lvl w:ilvl="3" w:tplc="0409000F">
      <w:start w:val="1"/>
      <w:numFmt w:val="decimal"/>
      <w:lvlText w:val="%4."/>
      <w:lvlJc w:val="left"/>
      <w:pPr>
        <w:tabs>
          <w:tab w:val="num" w:pos="2880"/>
        </w:tabs>
        <w:ind w:left="2880" w:hanging="360"/>
      </w:pPr>
    </w:lvl>
    <w:lvl w:ilvl="4" w:tplc="0C128B5A">
      <w:start w:val="1"/>
      <w:numFmt w:val="lowerLetter"/>
      <w:lvlText w:val="%5."/>
      <w:lvlJc w:val="left"/>
      <w:pPr>
        <w:tabs>
          <w:tab w:val="num" w:pos="1440"/>
        </w:tabs>
        <w:ind w:left="1440" w:hanging="360"/>
      </w:pPr>
      <w:rPr>
        <w:rFonts w:hint="default"/>
        <w:b w:val="0"/>
        <w:i w:val="0"/>
      </w:rPr>
    </w:lvl>
    <w:lvl w:ilvl="5" w:tplc="B60EB990">
      <w:start w:val="1"/>
      <w:numFmt w:val="lowerRoman"/>
      <w:lvlText w:val="%6."/>
      <w:lvlJc w:val="left"/>
      <w:pPr>
        <w:tabs>
          <w:tab w:val="num" w:pos="4320"/>
        </w:tabs>
        <w:ind w:left="4320" w:hanging="180"/>
      </w:pPr>
      <w:rPr>
        <w:rFonts w:hint="default"/>
      </w:r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4F757D31"/>
    <w:multiLevelType w:val="hybridMultilevel"/>
    <w:tmpl w:val="0FBE3260"/>
    <w:lvl w:ilvl="0" w:tplc="E626CD26">
      <w:start w:val="1"/>
      <w:numFmt w:val="bullet"/>
      <w:lvlText w:val="-"/>
      <w:lvlJc w:val="left"/>
      <w:pPr>
        <w:ind w:left="1066" w:hanging="360"/>
      </w:pPr>
      <w:rPr>
        <w:rFonts w:ascii="Arial" w:eastAsia="Times New Roman" w:hAnsi="Arial" w:cs="Arial" w:hint="default"/>
      </w:rPr>
    </w:lvl>
    <w:lvl w:ilvl="1" w:tplc="48090003" w:tentative="1">
      <w:start w:val="1"/>
      <w:numFmt w:val="bullet"/>
      <w:lvlText w:val="o"/>
      <w:lvlJc w:val="left"/>
      <w:pPr>
        <w:ind w:left="1786" w:hanging="360"/>
      </w:pPr>
      <w:rPr>
        <w:rFonts w:ascii="Courier New" w:hAnsi="Courier New" w:cs="Courier New" w:hint="default"/>
      </w:rPr>
    </w:lvl>
    <w:lvl w:ilvl="2" w:tplc="48090005" w:tentative="1">
      <w:start w:val="1"/>
      <w:numFmt w:val="bullet"/>
      <w:lvlText w:val=""/>
      <w:lvlJc w:val="left"/>
      <w:pPr>
        <w:ind w:left="2506" w:hanging="360"/>
      </w:pPr>
      <w:rPr>
        <w:rFonts w:ascii="Wingdings" w:hAnsi="Wingdings" w:hint="default"/>
      </w:rPr>
    </w:lvl>
    <w:lvl w:ilvl="3" w:tplc="48090001" w:tentative="1">
      <w:start w:val="1"/>
      <w:numFmt w:val="bullet"/>
      <w:lvlText w:val=""/>
      <w:lvlJc w:val="left"/>
      <w:pPr>
        <w:ind w:left="3226" w:hanging="360"/>
      </w:pPr>
      <w:rPr>
        <w:rFonts w:ascii="Symbol" w:hAnsi="Symbol" w:hint="default"/>
      </w:rPr>
    </w:lvl>
    <w:lvl w:ilvl="4" w:tplc="48090003" w:tentative="1">
      <w:start w:val="1"/>
      <w:numFmt w:val="bullet"/>
      <w:lvlText w:val="o"/>
      <w:lvlJc w:val="left"/>
      <w:pPr>
        <w:ind w:left="3946" w:hanging="360"/>
      </w:pPr>
      <w:rPr>
        <w:rFonts w:ascii="Courier New" w:hAnsi="Courier New" w:cs="Courier New" w:hint="default"/>
      </w:rPr>
    </w:lvl>
    <w:lvl w:ilvl="5" w:tplc="48090005" w:tentative="1">
      <w:start w:val="1"/>
      <w:numFmt w:val="bullet"/>
      <w:lvlText w:val=""/>
      <w:lvlJc w:val="left"/>
      <w:pPr>
        <w:ind w:left="4666" w:hanging="360"/>
      </w:pPr>
      <w:rPr>
        <w:rFonts w:ascii="Wingdings" w:hAnsi="Wingdings" w:hint="default"/>
      </w:rPr>
    </w:lvl>
    <w:lvl w:ilvl="6" w:tplc="48090001" w:tentative="1">
      <w:start w:val="1"/>
      <w:numFmt w:val="bullet"/>
      <w:lvlText w:val=""/>
      <w:lvlJc w:val="left"/>
      <w:pPr>
        <w:ind w:left="5386" w:hanging="360"/>
      </w:pPr>
      <w:rPr>
        <w:rFonts w:ascii="Symbol" w:hAnsi="Symbol" w:hint="default"/>
      </w:rPr>
    </w:lvl>
    <w:lvl w:ilvl="7" w:tplc="48090003" w:tentative="1">
      <w:start w:val="1"/>
      <w:numFmt w:val="bullet"/>
      <w:lvlText w:val="o"/>
      <w:lvlJc w:val="left"/>
      <w:pPr>
        <w:ind w:left="6106" w:hanging="360"/>
      </w:pPr>
      <w:rPr>
        <w:rFonts w:ascii="Courier New" w:hAnsi="Courier New" w:cs="Courier New" w:hint="default"/>
      </w:rPr>
    </w:lvl>
    <w:lvl w:ilvl="8" w:tplc="48090005" w:tentative="1">
      <w:start w:val="1"/>
      <w:numFmt w:val="bullet"/>
      <w:lvlText w:val=""/>
      <w:lvlJc w:val="left"/>
      <w:pPr>
        <w:ind w:left="6826"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1C26"/>
    <w:rsid w:val="0000786B"/>
    <w:rsid w:val="0004557B"/>
    <w:rsid w:val="00066B0B"/>
    <w:rsid w:val="00067515"/>
    <w:rsid w:val="000705F1"/>
    <w:rsid w:val="000A13B1"/>
    <w:rsid w:val="000F18BC"/>
    <w:rsid w:val="001102EE"/>
    <w:rsid w:val="00142AA2"/>
    <w:rsid w:val="00151563"/>
    <w:rsid w:val="00160E9D"/>
    <w:rsid w:val="00165738"/>
    <w:rsid w:val="00171873"/>
    <w:rsid w:val="001C297E"/>
    <w:rsid w:val="001D0976"/>
    <w:rsid w:val="001D3E32"/>
    <w:rsid w:val="001E3032"/>
    <w:rsid w:val="00222758"/>
    <w:rsid w:val="002C5E41"/>
    <w:rsid w:val="002E6583"/>
    <w:rsid w:val="0031008F"/>
    <w:rsid w:val="00325B08"/>
    <w:rsid w:val="0033099A"/>
    <w:rsid w:val="0033374B"/>
    <w:rsid w:val="00356F52"/>
    <w:rsid w:val="003627F3"/>
    <w:rsid w:val="0037360C"/>
    <w:rsid w:val="00376611"/>
    <w:rsid w:val="00385BF6"/>
    <w:rsid w:val="00395465"/>
    <w:rsid w:val="003D3C76"/>
    <w:rsid w:val="00404CC6"/>
    <w:rsid w:val="00407E68"/>
    <w:rsid w:val="00411C26"/>
    <w:rsid w:val="00443E85"/>
    <w:rsid w:val="004445CE"/>
    <w:rsid w:val="00454AE9"/>
    <w:rsid w:val="00465E1C"/>
    <w:rsid w:val="0051087F"/>
    <w:rsid w:val="0054174E"/>
    <w:rsid w:val="0056519A"/>
    <w:rsid w:val="005963D3"/>
    <w:rsid w:val="005A29D8"/>
    <w:rsid w:val="005D4D1E"/>
    <w:rsid w:val="005D7D35"/>
    <w:rsid w:val="005F2E09"/>
    <w:rsid w:val="006130A8"/>
    <w:rsid w:val="00633705"/>
    <w:rsid w:val="0064393E"/>
    <w:rsid w:val="0066249F"/>
    <w:rsid w:val="00694147"/>
    <w:rsid w:val="006D47EA"/>
    <w:rsid w:val="00702EF3"/>
    <w:rsid w:val="0071154B"/>
    <w:rsid w:val="00737DEB"/>
    <w:rsid w:val="007551AF"/>
    <w:rsid w:val="00756A91"/>
    <w:rsid w:val="00770164"/>
    <w:rsid w:val="0077384C"/>
    <w:rsid w:val="007C11E9"/>
    <w:rsid w:val="007D3C3C"/>
    <w:rsid w:val="007F42DC"/>
    <w:rsid w:val="00813BC6"/>
    <w:rsid w:val="00816DD8"/>
    <w:rsid w:val="00821D7A"/>
    <w:rsid w:val="008365AB"/>
    <w:rsid w:val="008E113A"/>
    <w:rsid w:val="008F402C"/>
    <w:rsid w:val="008F78A8"/>
    <w:rsid w:val="00914E8E"/>
    <w:rsid w:val="00991F90"/>
    <w:rsid w:val="009C56D2"/>
    <w:rsid w:val="009E09FC"/>
    <w:rsid w:val="009F433F"/>
    <w:rsid w:val="009F6A93"/>
    <w:rsid w:val="00A0191F"/>
    <w:rsid w:val="00AD470F"/>
    <w:rsid w:val="00AE1217"/>
    <w:rsid w:val="00B043F8"/>
    <w:rsid w:val="00B06F8A"/>
    <w:rsid w:val="00B354C8"/>
    <w:rsid w:val="00B52082"/>
    <w:rsid w:val="00BC3AAE"/>
    <w:rsid w:val="00BD1916"/>
    <w:rsid w:val="00BE788A"/>
    <w:rsid w:val="00C10B69"/>
    <w:rsid w:val="00C16CBC"/>
    <w:rsid w:val="00C32603"/>
    <w:rsid w:val="00C56A39"/>
    <w:rsid w:val="00C67897"/>
    <w:rsid w:val="00C801ED"/>
    <w:rsid w:val="00CD76B2"/>
    <w:rsid w:val="00CE0211"/>
    <w:rsid w:val="00D072A9"/>
    <w:rsid w:val="00D3193A"/>
    <w:rsid w:val="00D52BEE"/>
    <w:rsid w:val="00DB4B42"/>
    <w:rsid w:val="00DE6463"/>
    <w:rsid w:val="00E50BB1"/>
    <w:rsid w:val="00E92D4A"/>
    <w:rsid w:val="00F25B18"/>
    <w:rsid w:val="00F40544"/>
    <w:rsid w:val="00F570A5"/>
    <w:rsid w:val="00FF086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6C9C7"/>
  <w15:docId w15:val="{71F7AF94-5CB7-48C4-ACA6-34551EC58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187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778</Words>
  <Characters>4435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Adhyan Arizki</cp:lastModifiedBy>
  <cp:revision>2</cp:revision>
  <dcterms:created xsi:type="dcterms:W3CDTF">2017-03-08T07:45:00Z</dcterms:created>
  <dcterms:modified xsi:type="dcterms:W3CDTF">2017-03-08T07:48:00Z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kDAABcTc9WHf8/oyWVCI1rcU8hjgVZdC5WWBjKzxXgHfdgX94jZ/Q4dFesLD/kL5ejJmZJU/WzLl5wrV
/Mk+0JXihD4ZNN3B0jfN+7lbXK7Wvtwxl1exP/X68uNiFM9OYreT/fqd7CXIc9W7OSfIOGSexWBr
vKblk75ukAZyPmqJfMyU3lGa1ywzpxtXVM4iS4IAs6b3sPw2yXWbDSnFQ+IBHLLwM3upMU2L</vt:lpwstr>
  </property>
  <property fmtid="{D5CDD505-2E9C-101B-9397-08002B2CF9AE}" pid="3" name="RESPONSE_SENDER_NAME">
    <vt:lpwstr>4AAA9mrMv1QjWAtMIDIUuL+6zkENBEtCppRW/Ai6qld+EYNiEtzh0FAEQg==</vt:lpwstr>
  </property>
  <property fmtid="{D5CDD505-2E9C-101B-9397-08002B2CF9AE}" pid="4" name="EMAIL_OWNER_ADDRESS">
    <vt:lpwstr>ABAAmJ+7jnJ2eOWP/BrwEWfdLtK6QkTX9XI7HlvdN5+k9jE47s+mNFUl1IdZArC1+7jD</vt:lpwstr>
  </property>
</Properties>
</file>