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WithEffects.xml" ContentType="application/vnd.ms-word.stylesWithEffec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64" w:rsidRDefault="00B75D64" w:rsidP="00B75D64">
      <w:pPr>
        <w:pStyle w:val="Heading2"/>
        <w:spacing w:line="360" w:lineRule="auto"/>
      </w:pPr>
      <w:r>
        <w:t xml:space="preserve">The phrase “arising from or relating” is generally given quite a wide interpretation by the courts in </w:t>
      </w:r>
      <w:r>
        <w:t>Singapore</w:t>
      </w:r>
      <w:r>
        <w:t>.</w:t>
      </w:r>
    </w:p>
    <w:p w:rsidR="00B75D64" w:rsidRDefault="00B75D64" w:rsidP="00B75D64">
      <w:pPr>
        <w:pStyle w:val="Heading2"/>
        <w:spacing w:line="360" w:lineRule="auto"/>
      </w:pPr>
      <w:r>
        <w:t xml:space="preserve">In </w:t>
      </w:r>
      <w:r w:rsidRPr="00BA5842">
        <w:rPr>
          <w:i/>
          <w:iCs/>
          <w:u w:val="single"/>
        </w:rPr>
        <w:t>The “Jian He”</w:t>
      </w:r>
      <w:r w:rsidRPr="00BA5842">
        <w:rPr>
          <w:u w:val="single"/>
        </w:rPr>
        <w:t xml:space="preserve"> [2000] 1 SLR 8</w:t>
      </w:r>
      <w:r>
        <w:t xml:space="preserve"> (“</w:t>
      </w:r>
      <w:r>
        <w:rPr>
          <w:b/>
          <w:u w:val="single"/>
        </w:rPr>
        <w:t>Jian He</w:t>
      </w:r>
      <w:r>
        <w:t>”), the Court held that:</w:t>
      </w:r>
    </w:p>
    <w:p w:rsidR="00B75D64" w:rsidRDefault="00B75D64" w:rsidP="00B75D64">
      <w:pPr>
        <w:pStyle w:val="Heading2"/>
        <w:numPr>
          <w:ilvl w:val="0"/>
          <w:numId w:val="0"/>
        </w:numPr>
        <w:spacing w:line="360" w:lineRule="auto"/>
        <w:ind w:left="1440"/>
      </w:pPr>
    </w:p>
    <w:p w:rsidR="00B75D64" w:rsidRDefault="00B75D64" w:rsidP="00B75D64">
      <w:pPr>
        <w:pStyle w:val="Heading2"/>
        <w:numPr>
          <w:ilvl w:val="0"/>
          <w:numId w:val="0"/>
        </w:numPr>
        <w:spacing w:line="360" w:lineRule="auto"/>
        <w:ind w:left="1440"/>
        <w:rPr>
          <w:i/>
          <w:color w:val="000000"/>
        </w:rPr>
      </w:pPr>
      <w:r w:rsidRPr="00BA5842">
        <w:rPr>
          <w:i/>
          <w:color w:val="000000"/>
        </w:rPr>
        <w:t>“The wording of the jurisdiction clause was extremely wide and would cover a claim in tort if the claim arose under or had a “close connection” with the contract.”</w:t>
      </w:r>
    </w:p>
    <w:p w:rsidR="00B75D64" w:rsidRPr="00BA5842" w:rsidRDefault="00B75D64" w:rsidP="00B75D64">
      <w:pPr>
        <w:pStyle w:val="Heading2"/>
        <w:numPr>
          <w:ilvl w:val="0"/>
          <w:numId w:val="0"/>
        </w:numPr>
        <w:spacing w:line="360" w:lineRule="auto"/>
        <w:ind w:left="1440"/>
        <w:rPr>
          <w:i/>
        </w:rPr>
      </w:pPr>
    </w:p>
    <w:p w:rsidR="00B75D64" w:rsidRDefault="00B75D64" w:rsidP="00B75D64">
      <w:pPr>
        <w:pStyle w:val="Heading2"/>
        <w:spacing w:line="360" w:lineRule="auto"/>
      </w:pPr>
      <w:r w:rsidRPr="00C428C4">
        <w:t xml:space="preserve">The court </w:t>
      </w:r>
      <w:r>
        <w:t xml:space="preserve">in </w:t>
      </w:r>
      <w:r>
        <w:rPr>
          <w:i/>
          <w:u w:val="single"/>
        </w:rPr>
        <w:t xml:space="preserve">Jian He </w:t>
      </w:r>
      <w:r w:rsidRPr="00C428C4">
        <w:t>held that the close connection of the tortious claim to the contractual claim arising under the Bill of Lading meant that the dispute could not fall outside the jurisdiction clause.</w:t>
      </w:r>
    </w:p>
    <w:p w:rsidR="00B75D64" w:rsidRDefault="00B75D64" w:rsidP="00B75D64">
      <w:pPr>
        <w:pStyle w:val="Heading2"/>
        <w:spacing w:line="360" w:lineRule="auto"/>
      </w:pPr>
      <w:r>
        <w:t>Similarly, Russell on Arbitration (21</w:t>
      </w:r>
      <w:r w:rsidRPr="00CF1631">
        <w:rPr>
          <w:vertAlign w:val="superscript"/>
        </w:rPr>
        <w:t>st</w:t>
      </w:r>
      <w:r>
        <w:t xml:space="preserve"> Ed, 1997 Sweet &amp; Maxwell) opined at paragraph 2-068 that:</w:t>
      </w:r>
    </w:p>
    <w:p w:rsidR="00B75D64" w:rsidRDefault="00B75D64" w:rsidP="00B75D64">
      <w:pPr>
        <w:pStyle w:val="Heading2"/>
        <w:numPr>
          <w:ilvl w:val="0"/>
          <w:numId w:val="0"/>
        </w:numPr>
        <w:spacing w:line="360" w:lineRule="auto"/>
        <w:ind w:left="1440"/>
      </w:pPr>
    </w:p>
    <w:p w:rsidR="00B75D64" w:rsidRDefault="00B75D64" w:rsidP="00B75D64">
      <w:pPr>
        <w:pStyle w:val="Heading2"/>
        <w:numPr>
          <w:ilvl w:val="0"/>
          <w:numId w:val="0"/>
        </w:numPr>
        <w:spacing w:line="360" w:lineRule="auto"/>
        <w:ind w:left="1440"/>
        <w:rPr>
          <w:i/>
        </w:rPr>
      </w:pPr>
      <w:r>
        <w:t>“</w:t>
      </w:r>
      <w:r>
        <w:rPr>
          <w:i/>
        </w:rPr>
        <w:t>phrases such as ‘disputes arising under the contract’ and ‘disputes arising out of the contract’ do not cover disputes as to whether the contract was made in the first place, but otherwise have a wide meaning”</w:t>
      </w:r>
    </w:p>
    <w:p w:rsidR="00B75D64" w:rsidRPr="00CF1631" w:rsidRDefault="00B75D64" w:rsidP="00B75D64">
      <w:pPr>
        <w:pStyle w:val="Heading2"/>
        <w:numPr>
          <w:ilvl w:val="0"/>
          <w:numId w:val="0"/>
        </w:numPr>
        <w:spacing w:line="360" w:lineRule="auto"/>
        <w:ind w:left="1440"/>
        <w:rPr>
          <w:i/>
        </w:rPr>
      </w:pPr>
    </w:p>
    <w:p w:rsidR="00B75D64" w:rsidRPr="009853CF" w:rsidRDefault="00B75D64" w:rsidP="00B75D64">
      <w:pPr>
        <w:pStyle w:val="Heading2"/>
        <w:spacing w:line="360" w:lineRule="auto"/>
        <w:rPr>
          <w:i/>
          <w:u w:val="single"/>
        </w:rPr>
      </w:pPr>
      <w:r>
        <w:t xml:space="preserve">In </w:t>
      </w:r>
      <w:proofErr w:type="spellStart"/>
      <w:r w:rsidRPr="009853CF">
        <w:rPr>
          <w:bCs/>
          <w:i/>
          <w:u w:val="single"/>
        </w:rPr>
        <w:t>Societe</w:t>
      </w:r>
      <w:proofErr w:type="spellEnd"/>
      <w:r w:rsidRPr="009853CF">
        <w:rPr>
          <w:bCs/>
          <w:i/>
          <w:u w:val="single"/>
        </w:rPr>
        <w:t xml:space="preserve"> </w:t>
      </w:r>
      <w:proofErr w:type="spellStart"/>
      <w:r w:rsidRPr="009853CF">
        <w:rPr>
          <w:bCs/>
          <w:i/>
          <w:u w:val="single"/>
        </w:rPr>
        <w:t>Commerciale</w:t>
      </w:r>
      <w:proofErr w:type="spellEnd"/>
      <w:r w:rsidRPr="009853CF">
        <w:rPr>
          <w:bCs/>
          <w:i/>
          <w:u w:val="single"/>
        </w:rPr>
        <w:t xml:space="preserve"> de Reassurance</w:t>
      </w:r>
      <w:r w:rsidRPr="009853CF">
        <w:rPr>
          <w:i/>
          <w:u w:val="single"/>
        </w:rPr>
        <w:t xml:space="preserve"> v </w:t>
      </w:r>
      <w:r w:rsidRPr="009853CF">
        <w:rPr>
          <w:bCs/>
          <w:i/>
          <w:u w:val="single"/>
        </w:rPr>
        <w:t>Eras</w:t>
      </w:r>
      <w:r w:rsidRPr="009853CF">
        <w:rPr>
          <w:i/>
          <w:u w:val="single"/>
        </w:rPr>
        <w:t xml:space="preserve"> (International) Limited (formerly </w:t>
      </w:r>
      <w:r w:rsidRPr="009853CF">
        <w:rPr>
          <w:bCs/>
          <w:i/>
          <w:u w:val="single"/>
        </w:rPr>
        <w:t>ERAS</w:t>
      </w:r>
      <w:r w:rsidRPr="009853CF">
        <w:rPr>
          <w:i/>
          <w:u w:val="single"/>
        </w:rPr>
        <w:t xml:space="preserve"> (</w:t>
      </w:r>
      <w:r w:rsidRPr="009853CF">
        <w:rPr>
          <w:i/>
          <w:u w:val="single"/>
        </w:rPr>
        <w:t>UK</w:t>
      </w:r>
      <w:r w:rsidRPr="009853CF">
        <w:rPr>
          <w:i/>
          <w:u w:val="single"/>
        </w:rPr>
        <w:t xml:space="preserve">)) and </w:t>
      </w:r>
      <w:proofErr w:type="gramStart"/>
      <w:r w:rsidRPr="009853CF">
        <w:rPr>
          <w:i/>
          <w:u w:val="single"/>
        </w:rPr>
        <w:t>Others</w:t>
      </w:r>
      <w:proofErr w:type="gramEnd"/>
      <w:r>
        <w:rPr>
          <w:u w:val="single"/>
        </w:rPr>
        <w:t xml:space="preserve"> [1992] 2 All ER 82</w:t>
      </w:r>
      <w:r>
        <w:t>, the Court opined that:</w:t>
      </w:r>
    </w:p>
    <w:p w:rsidR="00B75D64" w:rsidRDefault="00B75D64" w:rsidP="00B75D64">
      <w:pPr>
        <w:pStyle w:val="Heading2"/>
        <w:numPr>
          <w:ilvl w:val="0"/>
          <w:numId w:val="0"/>
        </w:numPr>
        <w:spacing w:line="360" w:lineRule="auto"/>
      </w:pPr>
    </w:p>
    <w:p w:rsidR="00B75D64" w:rsidRDefault="00B75D64" w:rsidP="00B75D64">
      <w:pPr>
        <w:pStyle w:val="Heading2"/>
        <w:numPr>
          <w:ilvl w:val="0"/>
          <w:numId w:val="0"/>
        </w:numPr>
        <w:spacing w:line="360" w:lineRule="auto"/>
        <w:ind w:left="1440"/>
        <w:rPr>
          <w:i/>
        </w:rPr>
      </w:pPr>
      <w:r>
        <w:rPr>
          <w:i/>
        </w:rPr>
        <w:t>“</w:t>
      </w:r>
      <w:r w:rsidRPr="009853CF">
        <w:rPr>
          <w:i/>
        </w:rPr>
        <w:t xml:space="preserve">In the present case the natural meaning of the reference to all disagreements arising "under the partnership" </w:t>
      </w:r>
      <w:r w:rsidRPr="009853CF">
        <w:rPr>
          <w:b/>
          <w:i/>
          <w:u w:val="single"/>
        </w:rPr>
        <w:t>must surely embrace at least those disputes which arise from allegations that there have been breaches of the contract which brought the partnership into existence.</w:t>
      </w:r>
      <w:r w:rsidRPr="009853CF">
        <w:rPr>
          <w:i/>
        </w:rPr>
        <w:t>”</w:t>
      </w:r>
    </w:p>
    <w:p w:rsidR="00B75D64" w:rsidRPr="009853CF" w:rsidRDefault="00B75D64" w:rsidP="00B75D64">
      <w:pPr>
        <w:pStyle w:val="Heading2"/>
        <w:numPr>
          <w:ilvl w:val="0"/>
          <w:numId w:val="0"/>
        </w:numPr>
        <w:spacing w:line="360" w:lineRule="auto"/>
        <w:ind w:left="1440"/>
      </w:pPr>
      <w:r>
        <w:t>[</w:t>
      </w:r>
      <w:proofErr w:type="gramStart"/>
      <w:r>
        <w:t>emphasis</w:t>
      </w:r>
      <w:proofErr w:type="gramEnd"/>
      <w:r>
        <w:t xml:space="preserve"> added]</w:t>
      </w:r>
    </w:p>
    <w:p w:rsidR="00B75D64" w:rsidRPr="009853CF" w:rsidRDefault="00B75D64" w:rsidP="00B75D64">
      <w:pPr>
        <w:pStyle w:val="Heading2"/>
        <w:numPr>
          <w:ilvl w:val="0"/>
          <w:numId w:val="0"/>
        </w:numPr>
        <w:spacing w:line="360" w:lineRule="auto"/>
        <w:ind w:left="1440"/>
        <w:rPr>
          <w:i/>
          <w:u w:val="single"/>
        </w:rPr>
      </w:pPr>
    </w:p>
    <w:p w:rsidR="00B75D64" w:rsidRPr="009853CF" w:rsidRDefault="00B75D64" w:rsidP="00B75D64">
      <w:pPr>
        <w:pStyle w:val="Heading2"/>
        <w:spacing w:line="360" w:lineRule="auto"/>
        <w:rPr>
          <w:i/>
          <w:u w:val="single"/>
        </w:rPr>
      </w:pPr>
      <w:r>
        <w:t>However, i</w:t>
      </w:r>
      <w:r w:rsidRPr="00325901">
        <w:t xml:space="preserve">n </w:t>
      </w:r>
      <w:r w:rsidRPr="00841867">
        <w:rPr>
          <w:i/>
          <w:u w:val="single"/>
        </w:rPr>
        <w:t>Sabah Shipyard (</w:t>
      </w:r>
      <w:r w:rsidRPr="00841867">
        <w:rPr>
          <w:i/>
          <w:u w:val="single"/>
        </w:rPr>
        <w:t>Pakistan</w:t>
      </w:r>
      <w:r w:rsidRPr="00841867">
        <w:rPr>
          <w:i/>
          <w:u w:val="single"/>
        </w:rPr>
        <w:t xml:space="preserve">) Ltd v Government of the Islamic </w:t>
      </w:r>
      <w:r w:rsidRPr="00841867">
        <w:rPr>
          <w:i/>
          <w:u w:val="single"/>
        </w:rPr>
        <w:t>Republic</w:t>
      </w:r>
      <w:r w:rsidRPr="00841867">
        <w:rPr>
          <w:i/>
          <w:u w:val="single"/>
        </w:rPr>
        <w:t xml:space="preserve"> of </w:t>
      </w:r>
      <w:r w:rsidRPr="00841867">
        <w:rPr>
          <w:i/>
          <w:u w:val="single"/>
        </w:rPr>
        <w:t>Pakistan</w:t>
      </w:r>
      <w:r w:rsidRPr="00841867">
        <w:rPr>
          <w:i/>
          <w:u w:val="single"/>
        </w:rPr>
        <w:t xml:space="preserve"> </w:t>
      </w:r>
      <w:r w:rsidRPr="00841867">
        <w:rPr>
          <w:u w:val="single"/>
        </w:rPr>
        <w:t>[2004] 3 SLR 185</w:t>
      </w:r>
      <w:r>
        <w:t xml:space="preserve"> (“</w:t>
      </w:r>
      <w:r>
        <w:rPr>
          <w:b/>
          <w:u w:val="single"/>
        </w:rPr>
        <w:t>Sabah Shipyard</w:t>
      </w:r>
      <w:r>
        <w:t>”)</w:t>
      </w:r>
      <w:r w:rsidRPr="00325901">
        <w:t>, the High Court opined that:</w:t>
      </w:r>
    </w:p>
    <w:p w:rsidR="00B75D64" w:rsidRDefault="00B75D64" w:rsidP="00B75D64">
      <w:pPr>
        <w:pStyle w:val="Heading2"/>
        <w:numPr>
          <w:ilvl w:val="0"/>
          <w:numId w:val="0"/>
        </w:numPr>
        <w:spacing w:line="360" w:lineRule="auto"/>
        <w:ind w:left="1440"/>
      </w:pPr>
    </w:p>
    <w:p w:rsidR="00B75D64" w:rsidRDefault="00B75D64" w:rsidP="00B75D64">
      <w:pPr>
        <w:pStyle w:val="Heading2"/>
        <w:numPr>
          <w:ilvl w:val="0"/>
          <w:numId w:val="0"/>
        </w:numPr>
        <w:spacing w:line="360" w:lineRule="auto"/>
        <w:ind w:left="1440"/>
        <w:rPr>
          <w:i/>
        </w:rPr>
      </w:pPr>
      <w:r>
        <w:rPr>
          <w:i/>
        </w:rPr>
        <w:t>“</w:t>
      </w:r>
      <w:r w:rsidRPr="00325901">
        <w:rPr>
          <w:i/>
        </w:rPr>
        <w:t xml:space="preserve">To me, however, “arising out of” </w:t>
      </w:r>
      <w:r w:rsidRPr="00325901">
        <w:t>[as compared to “arising in connection with”]</w:t>
      </w:r>
      <w:r w:rsidRPr="00325901">
        <w:rPr>
          <w:i/>
        </w:rPr>
        <w:t xml:space="preserve"> </w:t>
      </w:r>
      <w:r w:rsidRPr="00841867">
        <w:rPr>
          <w:b/>
          <w:i/>
          <w:u w:val="single"/>
        </w:rPr>
        <w:t>does seem to be the more restrictive phrase in that it would usually seem to require a more direct connection between the dispute</w:t>
      </w:r>
      <w:r w:rsidRPr="00325901">
        <w:rPr>
          <w:i/>
        </w:rPr>
        <w:t xml:space="preserve"> and the contract than the phrase “arising in connection with”.”</w:t>
      </w:r>
    </w:p>
    <w:p w:rsidR="00B75D64" w:rsidRPr="00841867" w:rsidRDefault="00B75D64" w:rsidP="00B75D64">
      <w:pPr>
        <w:pStyle w:val="Heading2"/>
        <w:numPr>
          <w:ilvl w:val="0"/>
          <w:numId w:val="0"/>
        </w:numPr>
        <w:spacing w:line="360" w:lineRule="auto"/>
        <w:ind w:left="1440"/>
      </w:pPr>
      <w:r>
        <w:t>[</w:t>
      </w:r>
      <w:proofErr w:type="gramStart"/>
      <w:r>
        <w:t>emphasis</w:t>
      </w:r>
      <w:proofErr w:type="gramEnd"/>
      <w:r>
        <w:t xml:space="preserve"> added]</w:t>
      </w:r>
    </w:p>
    <w:p w:rsidR="00B75D64" w:rsidRPr="009853CF" w:rsidRDefault="00B75D64" w:rsidP="00B75D64">
      <w:pPr>
        <w:pStyle w:val="Heading2"/>
        <w:numPr>
          <w:ilvl w:val="0"/>
          <w:numId w:val="0"/>
        </w:numPr>
        <w:spacing w:line="360" w:lineRule="auto"/>
        <w:ind w:left="1440"/>
        <w:rPr>
          <w:i/>
          <w:u w:val="single"/>
        </w:rPr>
      </w:pPr>
    </w:p>
    <w:p w:rsidR="00B75D64" w:rsidRPr="00841867" w:rsidRDefault="00B75D64" w:rsidP="00B75D64">
      <w:pPr>
        <w:pStyle w:val="Heading2"/>
        <w:spacing w:line="360" w:lineRule="auto"/>
        <w:rPr>
          <w:i/>
          <w:u w:val="single"/>
        </w:rPr>
      </w:pPr>
      <w:r>
        <w:t xml:space="preserve">However, the court in </w:t>
      </w:r>
      <w:r w:rsidRPr="00841867">
        <w:rPr>
          <w:i/>
          <w:u w:val="single"/>
        </w:rPr>
        <w:t>Sabah Shipyard</w:t>
      </w:r>
      <w:r>
        <w:rPr>
          <w:i/>
        </w:rPr>
        <w:t xml:space="preserve"> </w:t>
      </w:r>
      <w:r>
        <w:t>noted that an earlier English case had decided that it was very difficult to make a distinction between the words “</w:t>
      </w:r>
      <w:r>
        <w:rPr>
          <w:i/>
        </w:rPr>
        <w:t>arising out of</w:t>
      </w:r>
      <w:r>
        <w:t>” and “</w:t>
      </w:r>
      <w:r>
        <w:rPr>
          <w:i/>
        </w:rPr>
        <w:t>arising in connection with</w:t>
      </w:r>
      <w:r>
        <w:t xml:space="preserve">” but was of the opinion that it was not bound by that decision. </w:t>
      </w:r>
    </w:p>
    <w:p w:rsidR="00B75D64" w:rsidRPr="009853CF" w:rsidRDefault="00B75D64" w:rsidP="00B75D64">
      <w:pPr>
        <w:pStyle w:val="Heading2"/>
        <w:spacing w:line="360" w:lineRule="auto"/>
        <w:rPr>
          <w:i/>
          <w:u w:val="single"/>
        </w:rPr>
      </w:pPr>
      <w:r>
        <w:lastRenderedPageBreak/>
        <w:t xml:space="preserve">Therefore, it can be reasonably concluded that the court will tend to take a more liberal approach in the interpretation of such arbitration clauses and as long as the dispute in question bears a “close connection” with the underlying agreement. </w:t>
      </w:r>
    </w:p>
    <w:p w:rsidR="00AB12E3" w:rsidRDefault="00AB12E3">
      <w:bookmarkStart w:id="0" w:name="_GoBack"/>
      <w:bookmarkEnd w:id="0"/>
    </w:p>
    <w:sectPr w:rsidR="00AB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F2363"/>
    <w:multiLevelType w:val="multilevel"/>
    <w:tmpl w:val="27A43446"/>
    <w:styleLink w:val="AGHouseStyle"/>
    <w:lvl w:ilvl="0">
      <w:start w:val="1"/>
      <w:numFmt w:val="decimal"/>
      <w:lvlText w:val="%1."/>
      <w:lvlJc w:val="left"/>
      <w:pPr>
        <w:ind w:left="720" w:hanging="720"/>
      </w:pPr>
      <w:rPr>
        <w:rFonts w:ascii="Arial" w:hAnsi="Arial" w:hint="default"/>
        <w:sz w:val="20"/>
      </w:rPr>
    </w:lvl>
    <w:lvl w:ilvl="1">
      <w:start w:val="1"/>
      <w:numFmt w:val="decimal"/>
      <w:lvlText w:val="(%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1">
    <w:nsid w:val="740A77DC"/>
    <w:multiLevelType w:val="multilevel"/>
    <w:tmpl w:val="CBB8F62A"/>
    <w:lvl w:ilvl="0">
      <w:start w:val="1"/>
      <w:numFmt w:val="decimal"/>
      <w:pStyle w:val="Heading1"/>
      <w:lvlText w:val="%1."/>
      <w:lvlJc w:val="left"/>
      <w:pPr>
        <w:tabs>
          <w:tab w:val="num" w:pos="720"/>
        </w:tabs>
        <w:ind w:left="720" w:hanging="720"/>
      </w:pPr>
      <w:rPr>
        <w:rFonts w:ascii="Arial" w:hAnsi="Arial" w:hint="default"/>
        <w:b/>
        <w:i w:val="0"/>
        <w:sz w:val="22"/>
        <w:szCs w:val="22"/>
        <w:lang w:val="en-GB"/>
      </w:rPr>
    </w:lvl>
    <w:lvl w:ilvl="1">
      <w:start w:val="1"/>
      <w:numFmt w:val="decimal"/>
      <w:pStyle w:val="Heading2"/>
      <w:lvlText w:val="%1.%2"/>
      <w:lvlJc w:val="left"/>
      <w:pPr>
        <w:tabs>
          <w:tab w:val="num" w:pos="720"/>
        </w:tabs>
        <w:ind w:left="720" w:hanging="720"/>
      </w:pPr>
      <w:rPr>
        <w:rFonts w:ascii="Arial" w:hAnsi="Arial" w:hint="default"/>
        <w:b w:val="0"/>
        <w:i w:val="0"/>
        <w:sz w:val="20"/>
        <w:szCs w:val="20"/>
      </w:rPr>
    </w:lvl>
    <w:lvl w:ilvl="2">
      <w:start w:val="1"/>
      <w:numFmt w:val="decimal"/>
      <w:pStyle w:val="Heading3"/>
      <w:lvlText w:val="%1.%2.%3"/>
      <w:lvlJc w:val="left"/>
      <w:pPr>
        <w:tabs>
          <w:tab w:val="num" w:pos="1440"/>
        </w:tabs>
        <w:ind w:left="1440" w:hanging="720"/>
      </w:pPr>
      <w:rPr>
        <w:rFonts w:hint="default"/>
        <w:b/>
        <w:i w:val="0"/>
        <w:sz w:val="17"/>
        <w:szCs w:val="17"/>
      </w:rPr>
    </w:lvl>
    <w:lvl w:ilvl="3">
      <w:start w:val="1"/>
      <w:numFmt w:val="lowerRoman"/>
      <w:pStyle w:val="Heading4"/>
      <w:lvlText w:val="(%4)"/>
      <w:lvlJc w:val="left"/>
      <w:pPr>
        <w:tabs>
          <w:tab w:val="num" w:pos="2160"/>
        </w:tabs>
        <w:ind w:left="2016" w:hanging="576"/>
      </w:pPr>
      <w:rPr>
        <w:rFonts w:hint="default"/>
      </w:rPr>
    </w:lvl>
    <w:lvl w:ilvl="4">
      <w:start w:val="1"/>
      <w:numFmt w:val="lowerLetter"/>
      <w:pStyle w:val="Heading5"/>
      <w:lvlText w:val="(%5)"/>
      <w:lvlJc w:val="left"/>
      <w:pPr>
        <w:tabs>
          <w:tab w:val="num" w:pos="2592"/>
        </w:tabs>
        <w:ind w:left="2592" w:hanging="576"/>
      </w:pPr>
      <w:rPr>
        <w:rFonts w:hint="default"/>
      </w:rPr>
    </w:lvl>
    <w:lvl w:ilvl="5">
      <w:start w:val="1"/>
      <w:numFmt w:val="upperRoman"/>
      <w:pStyle w:val="Heading6"/>
      <w:lvlText w:val="(%6)"/>
      <w:lvlJc w:val="left"/>
      <w:pPr>
        <w:tabs>
          <w:tab w:val="num" w:pos="3272"/>
        </w:tabs>
        <w:ind w:left="3128" w:hanging="576"/>
      </w:pPr>
      <w:rPr>
        <w:rFonts w:hint="default"/>
      </w:rPr>
    </w:lvl>
    <w:lvl w:ilvl="6">
      <w:start w:val="1"/>
      <w:numFmt w:val="upperLetter"/>
      <w:pStyle w:val="Heading7"/>
      <w:lvlText w:val="(%7)"/>
      <w:lvlJc w:val="left"/>
      <w:pPr>
        <w:tabs>
          <w:tab w:val="num" w:pos="3744"/>
        </w:tabs>
        <w:ind w:left="3744" w:hanging="576"/>
      </w:pPr>
      <w:rPr>
        <w:rFonts w:hint="default"/>
      </w:rPr>
    </w:lvl>
    <w:lvl w:ilvl="7">
      <w:start w:val="1"/>
      <w:numFmt w:val="decimal"/>
      <w:pStyle w:val="Heading8"/>
      <w:lvlText w:val="(%8)"/>
      <w:lvlJc w:val="left"/>
      <w:pPr>
        <w:tabs>
          <w:tab w:val="num" w:pos="4320"/>
        </w:tabs>
        <w:ind w:left="4320" w:hanging="576"/>
      </w:pPr>
      <w:rPr>
        <w:rFonts w:hint="default"/>
      </w:rPr>
    </w:lvl>
    <w:lvl w:ilvl="8">
      <w:start w:val="1"/>
      <w:numFmt w:val="lowerLetter"/>
      <w:pStyle w:val="Heading9"/>
      <w:lvlText w:val="%9)"/>
      <w:lvlJc w:val="left"/>
      <w:pPr>
        <w:tabs>
          <w:tab w:val="num" w:pos="4896"/>
        </w:tabs>
        <w:ind w:left="4896" w:hanging="576"/>
      </w:pPr>
      <w:rPr>
        <w:rFont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64"/>
    <w:rsid w:val="00461527"/>
    <w:rsid w:val="008D752D"/>
    <w:rsid w:val="00AB12E3"/>
    <w:rsid w:val="00B75D64"/>
    <w:rsid w:val="00F978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er"/>
    <w:link w:val="Heading1Char"/>
    <w:qFormat/>
    <w:rsid w:val="00B75D64"/>
    <w:pPr>
      <w:keepNext/>
      <w:numPr>
        <w:numId w:val="3"/>
      </w:numPr>
      <w:tabs>
        <w:tab w:val="clear" w:pos="4513"/>
        <w:tab w:val="clear" w:pos="9026"/>
      </w:tabs>
      <w:spacing w:before="140" w:after="140" w:line="290" w:lineRule="auto"/>
      <w:jc w:val="both"/>
      <w:outlineLvl w:val="0"/>
    </w:pPr>
    <w:rPr>
      <w:rFonts w:ascii="Arial" w:eastAsia="Times New Roman" w:hAnsi="Arial" w:cs="Times New Roman"/>
      <w:b/>
      <w:lang w:val="en-US" w:eastAsia="en-US"/>
    </w:rPr>
  </w:style>
  <w:style w:type="paragraph" w:styleId="Heading2">
    <w:name w:val="heading 2"/>
    <w:basedOn w:val="Normal"/>
    <w:link w:val="Heading2Char"/>
    <w:qFormat/>
    <w:rsid w:val="00B75D64"/>
    <w:pPr>
      <w:numPr>
        <w:ilvl w:val="1"/>
        <w:numId w:val="3"/>
      </w:numPr>
      <w:spacing w:after="140" w:line="290" w:lineRule="auto"/>
      <w:contextualSpacing/>
      <w:jc w:val="both"/>
      <w:outlineLvl w:val="1"/>
    </w:pPr>
    <w:rPr>
      <w:rFonts w:ascii="Arial" w:eastAsia="Times New Roman" w:hAnsi="Arial" w:cs="Times New Roman"/>
      <w:sz w:val="20"/>
      <w:szCs w:val="20"/>
      <w:lang w:val="en-GB" w:eastAsia="en-US"/>
    </w:rPr>
  </w:style>
  <w:style w:type="paragraph" w:styleId="Heading3">
    <w:name w:val="heading 3"/>
    <w:basedOn w:val="Normal"/>
    <w:link w:val="Heading3Char"/>
    <w:qFormat/>
    <w:rsid w:val="00B75D64"/>
    <w:pPr>
      <w:numPr>
        <w:ilvl w:val="2"/>
        <w:numId w:val="3"/>
      </w:numPr>
      <w:spacing w:after="140" w:line="290" w:lineRule="auto"/>
      <w:contextualSpacing/>
      <w:jc w:val="both"/>
      <w:outlineLvl w:val="2"/>
    </w:pPr>
    <w:rPr>
      <w:rFonts w:ascii="Arial" w:eastAsia="Times New Roman" w:hAnsi="Arial" w:cs="Times New Roman"/>
      <w:sz w:val="20"/>
      <w:szCs w:val="20"/>
      <w:lang w:val="en-GB" w:eastAsia="en-US"/>
    </w:rPr>
  </w:style>
  <w:style w:type="paragraph" w:styleId="Heading4">
    <w:name w:val="heading 4"/>
    <w:basedOn w:val="Normal"/>
    <w:link w:val="Heading4Char"/>
    <w:qFormat/>
    <w:rsid w:val="00B75D64"/>
    <w:pPr>
      <w:numPr>
        <w:ilvl w:val="3"/>
        <w:numId w:val="3"/>
      </w:numPr>
      <w:spacing w:after="140" w:line="290" w:lineRule="auto"/>
      <w:jc w:val="both"/>
      <w:outlineLvl w:val="3"/>
    </w:pPr>
    <w:rPr>
      <w:rFonts w:ascii="Arial" w:eastAsia="Times New Roman" w:hAnsi="Arial" w:cs="Times New Roman"/>
      <w:sz w:val="20"/>
      <w:szCs w:val="20"/>
      <w:lang w:val="en-GB" w:eastAsia="en-US"/>
    </w:rPr>
  </w:style>
  <w:style w:type="paragraph" w:styleId="Heading5">
    <w:name w:val="heading 5"/>
    <w:basedOn w:val="Normal"/>
    <w:link w:val="Heading5Char"/>
    <w:qFormat/>
    <w:rsid w:val="00B75D64"/>
    <w:pPr>
      <w:numPr>
        <w:ilvl w:val="4"/>
        <w:numId w:val="3"/>
      </w:numPr>
      <w:spacing w:after="140" w:line="290" w:lineRule="auto"/>
      <w:contextualSpacing/>
      <w:jc w:val="both"/>
      <w:outlineLvl w:val="4"/>
    </w:pPr>
    <w:rPr>
      <w:rFonts w:ascii="Arial" w:eastAsia="Times New Roman" w:hAnsi="Arial" w:cs="Times New Roman"/>
      <w:sz w:val="20"/>
      <w:szCs w:val="20"/>
      <w:lang w:val="en-GB" w:eastAsia="en-US"/>
    </w:rPr>
  </w:style>
  <w:style w:type="paragraph" w:styleId="Heading6">
    <w:name w:val="heading 6"/>
    <w:basedOn w:val="Normal"/>
    <w:link w:val="Heading6Char"/>
    <w:qFormat/>
    <w:rsid w:val="00B75D64"/>
    <w:pPr>
      <w:numPr>
        <w:ilvl w:val="5"/>
        <w:numId w:val="3"/>
      </w:numPr>
      <w:tabs>
        <w:tab w:val="left" w:pos="3168"/>
      </w:tabs>
      <w:spacing w:after="140" w:line="290" w:lineRule="auto"/>
      <w:contextualSpacing/>
      <w:jc w:val="both"/>
      <w:outlineLvl w:val="5"/>
    </w:pPr>
    <w:rPr>
      <w:rFonts w:ascii="Arial" w:eastAsia="Times New Roman" w:hAnsi="Arial" w:cs="Times New Roman"/>
      <w:sz w:val="20"/>
      <w:szCs w:val="20"/>
      <w:lang w:val="en-GB" w:eastAsia="en-US"/>
    </w:rPr>
  </w:style>
  <w:style w:type="paragraph" w:styleId="Heading7">
    <w:name w:val="heading 7"/>
    <w:basedOn w:val="Normal"/>
    <w:link w:val="Heading7Char"/>
    <w:qFormat/>
    <w:rsid w:val="00B75D64"/>
    <w:pPr>
      <w:numPr>
        <w:ilvl w:val="6"/>
        <w:numId w:val="3"/>
      </w:numPr>
      <w:spacing w:after="140" w:line="290" w:lineRule="auto"/>
      <w:contextualSpacing/>
      <w:jc w:val="both"/>
      <w:outlineLvl w:val="6"/>
    </w:pPr>
    <w:rPr>
      <w:rFonts w:ascii="Arial" w:eastAsia="Times New Roman" w:hAnsi="Arial" w:cs="Times New Roman"/>
      <w:sz w:val="20"/>
      <w:szCs w:val="20"/>
      <w:lang w:val="en-GB" w:eastAsia="en-US"/>
    </w:rPr>
  </w:style>
  <w:style w:type="paragraph" w:styleId="Heading8">
    <w:name w:val="heading 8"/>
    <w:basedOn w:val="Normal"/>
    <w:link w:val="Heading8Char"/>
    <w:qFormat/>
    <w:rsid w:val="00B75D64"/>
    <w:pPr>
      <w:numPr>
        <w:ilvl w:val="7"/>
        <w:numId w:val="3"/>
      </w:numPr>
      <w:spacing w:after="140" w:line="290" w:lineRule="auto"/>
      <w:contextualSpacing/>
      <w:jc w:val="both"/>
      <w:outlineLvl w:val="7"/>
    </w:pPr>
    <w:rPr>
      <w:rFonts w:ascii="Arial" w:eastAsia="Times New Roman" w:hAnsi="Arial" w:cs="Times New Roman"/>
      <w:sz w:val="20"/>
      <w:szCs w:val="20"/>
      <w:lang w:val="en-GB" w:eastAsia="en-US"/>
    </w:rPr>
  </w:style>
  <w:style w:type="paragraph" w:styleId="Heading9">
    <w:name w:val="heading 9"/>
    <w:basedOn w:val="Normal"/>
    <w:link w:val="Heading9Char"/>
    <w:qFormat/>
    <w:rsid w:val="00B75D64"/>
    <w:pPr>
      <w:numPr>
        <w:ilvl w:val="8"/>
        <w:numId w:val="3"/>
      </w:numPr>
      <w:spacing w:after="140" w:line="290" w:lineRule="auto"/>
      <w:contextualSpacing/>
      <w:jc w:val="both"/>
      <w:outlineLvl w:val="8"/>
    </w:pPr>
    <w:rPr>
      <w:rFonts w:ascii="Arial" w:eastAsia="Times New Roman" w:hAnsi="Arial"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GHouseStyle">
    <w:name w:val="A&amp;G House Style"/>
    <w:uiPriority w:val="99"/>
    <w:rsid w:val="00F978FA"/>
    <w:pPr>
      <w:numPr>
        <w:numId w:val="1"/>
      </w:numPr>
    </w:pPr>
  </w:style>
  <w:style w:type="character" w:customStyle="1" w:styleId="Heading1Char">
    <w:name w:val="Heading 1 Char"/>
    <w:basedOn w:val="DefaultParagraphFont"/>
    <w:link w:val="Heading1"/>
    <w:rsid w:val="00B75D64"/>
    <w:rPr>
      <w:rFonts w:ascii="Arial" w:eastAsia="Times New Roman" w:hAnsi="Arial" w:cs="Times New Roman"/>
      <w:b/>
      <w:lang w:val="en-US" w:eastAsia="en-US"/>
    </w:rPr>
  </w:style>
  <w:style w:type="character" w:customStyle="1" w:styleId="Heading2Char">
    <w:name w:val="Heading 2 Char"/>
    <w:basedOn w:val="DefaultParagraphFont"/>
    <w:link w:val="Heading2"/>
    <w:rsid w:val="00B75D64"/>
    <w:rPr>
      <w:rFonts w:ascii="Arial" w:eastAsia="Times New Roman" w:hAnsi="Arial" w:cs="Times New Roman"/>
      <w:sz w:val="20"/>
      <w:szCs w:val="20"/>
      <w:lang w:val="en-GB" w:eastAsia="en-US"/>
    </w:rPr>
  </w:style>
  <w:style w:type="character" w:customStyle="1" w:styleId="Heading3Char">
    <w:name w:val="Heading 3 Char"/>
    <w:basedOn w:val="DefaultParagraphFont"/>
    <w:link w:val="Heading3"/>
    <w:rsid w:val="00B75D64"/>
    <w:rPr>
      <w:rFonts w:ascii="Arial" w:eastAsia="Times New Roman" w:hAnsi="Arial" w:cs="Times New Roman"/>
      <w:sz w:val="20"/>
      <w:szCs w:val="20"/>
      <w:lang w:val="en-GB" w:eastAsia="en-US"/>
    </w:rPr>
  </w:style>
  <w:style w:type="character" w:customStyle="1" w:styleId="Heading4Char">
    <w:name w:val="Heading 4 Char"/>
    <w:basedOn w:val="DefaultParagraphFont"/>
    <w:link w:val="Heading4"/>
    <w:rsid w:val="00B75D64"/>
    <w:rPr>
      <w:rFonts w:ascii="Arial" w:eastAsia="Times New Roman" w:hAnsi="Arial" w:cs="Times New Roman"/>
      <w:sz w:val="20"/>
      <w:szCs w:val="20"/>
      <w:lang w:val="en-GB" w:eastAsia="en-US"/>
    </w:rPr>
  </w:style>
  <w:style w:type="character" w:customStyle="1" w:styleId="Heading5Char">
    <w:name w:val="Heading 5 Char"/>
    <w:basedOn w:val="DefaultParagraphFont"/>
    <w:link w:val="Heading5"/>
    <w:rsid w:val="00B75D64"/>
    <w:rPr>
      <w:rFonts w:ascii="Arial" w:eastAsia="Times New Roman" w:hAnsi="Arial" w:cs="Times New Roman"/>
      <w:sz w:val="20"/>
      <w:szCs w:val="20"/>
      <w:lang w:val="en-GB" w:eastAsia="en-US"/>
    </w:rPr>
  </w:style>
  <w:style w:type="character" w:customStyle="1" w:styleId="Heading6Char">
    <w:name w:val="Heading 6 Char"/>
    <w:basedOn w:val="DefaultParagraphFont"/>
    <w:link w:val="Heading6"/>
    <w:rsid w:val="00B75D64"/>
    <w:rPr>
      <w:rFonts w:ascii="Arial" w:eastAsia="Times New Roman" w:hAnsi="Arial" w:cs="Times New Roman"/>
      <w:sz w:val="20"/>
      <w:szCs w:val="20"/>
      <w:lang w:val="en-GB" w:eastAsia="en-US"/>
    </w:rPr>
  </w:style>
  <w:style w:type="character" w:customStyle="1" w:styleId="Heading7Char">
    <w:name w:val="Heading 7 Char"/>
    <w:basedOn w:val="DefaultParagraphFont"/>
    <w:link w:val="Heading7"/>
    <w:rsid w:val="00B75D64"/>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B75D64"/>
    <w:rPr>
      <w:rFonts w:ascii="Arial" w:eastAsia="Times New Roman" w:hAnsi="Arial" w:cs="Times New Roman"/>
      <w:sz w:val="20"/>
      <w:szCs w:val="20"/>
      <w:lang w:val="en-GB" w:eastAsia="en-US"/>
    </w:rPr>
  </w:style>
  <w:style w:type="character" w:customStyle="1" w:styleId="Heading9Char">
    <w:name w:val="Heading 9 Char"/>
    <w:basedOn w:val="DefaultParagraphFont"/>
    <w:link w:val="Heading9"/>
    <w:rsid w:val="00B75D64"/>
    <w:rPr>
      <w:rFonts w:ascii="Arial" w:eastAsia="Times New Roman" w:hAnsi="Arial" w:cs="Times New Roman"/>
      <w:sz w:val="20"/>
      <w:szCs w:val="20"/>
      <w:lang w:val="en-GB" w:eastAsia="en-US"/>
    </w:rPr>
  </w:style>
  <w:style w:type="paragraph" w:styleId="Header">
    <w:name w:val="header"/>
    <w:basedOn w:val="Normal"/>
    <w:link w:val="HeaderChar"/>
    <w:uiPriority w:val="99"/>
    <w:semiHidden/>
    <w:unhideWhenUsed/>
    <w:rsid w:val="00B75D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5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er"/>
    <w:link w:val="Heading1Char"/>
    <w:qFormat/>
    <w:rsid w:val="00B75D64"/>
    <w:pPr>
      <w:keepNext/>
      <w:numPr>
        <w:numId w:val="3"/>
      </w:numPr>
      <w:tabs>
        <w:tab w:val="clear" w:pos="4513"/>
        <w:tab w:val="clear" w:pos="9026"/>
      </w:tabs>
      <w:spacing w:before="140" w:after="140" w:line="290" w:lineRule="auto"/>
      <w:jc w:val="both"/>
      <w:outlineLvl w:val="0"/>
    </w:pPr>
    <w:rPr>
      <w:rFonts w:ascii="Arial" w:eastAsia="Times New Roman" w:hAnsi="Arial" w:cs="Times New Roman"/>
      <w:b/>
      <w:lang w:val="en-US" w:eastAsia="en-US"/>
    </w:rPr>
  </w:style>
  <w:style w:type="paragraph" w:styleId="Heading2">
    <w:name w:val="heading 2"/>
    <w:basedOn w:val="Normal"/>
    <w:link w:val="Heading2Char"/>
    <w:qFormat/>
    <w:rsid w:val="00B75D64"/>
    <w:pPr>
      <w:numPr>
        <w:ilvl w:val="1"/>
        <w:numId w:val="3"/>
      </w:numPr>
      <w:spacing w:after="140" w:line="290" w:lineRule="auto"/>
      <w:contextualSpacing/>
      <w:jc w:val="both"/>
      <w:outlineLvl w:val="1"/>
    </w:pPr>
    <w:rPr>
      <w:rFonts w:ascii="Arial" w:eastAsia="Times New Roman" w:hAnsi="Arial" w:cs="Times New Roman"/>
      <w:sz w:val="20"/>
      <w:szCs w:val="20"/>
      <w:lang w:val="en-GB" w:eastAsia="en-US"/>
    </w:rPr>
  </w:style>
  <w:style w:type="paragraph" w:styleId="Heading3">
    <w:name w:val="heading 3"/>
    <w:basedOn w:val="Normal"/>
    <w:link w:val="Heading3Char"/>
    <w:qFormat/>
    <w:rsid w:val="00B75D64"/>
    <w:pPr>
      <w:numPr>
        <w:ilvl w:val="2"/>
        <w:numId w:val="3"/>
      </w:numPr>
      <w:spacing w:after="140" w:line="290" w:lineRule="auto"/>
      <w:contextualSpacing/>
      <w:jc w:val="both"/>
      <w:outlineLvl w:val="2"/>
    </w:pPr>
    <w:rPr>
      <w:rFonts w:ascii="Arial" w:eastAsia="Times New Roman" w:hAnsi="Arial" w:cs="Times New Roman"/>
      <w:sz w:val="20"/>
      <w:szCs w:val="20"/>
      <w:lang w:val="en-GB" w:eastAsia="en-US"/>
    </w:rPr>
  </w:style>
  <w:style w:type="paragraph" w:styleId="Heading4">
    <w:name w:val="heading 4"/>
    <w:basedOn w:val="Normal"/>
    <w:link w:val="Heading4Char"/>
    <w:qFormat/>
    <w:rsid w:val="00B75D64"/>
    <w:pPr>
      <w:numPr>
        <w:ilvl w:val="3"/>
        <w:numId w:val="3"/>
      </w:numPr>
      <w:spacing w:after="140" w:line="290" w:lineRule="auto"/>
      <w:jc w:val="both"/>
      <w:outlineLvl w:val="3"/>
    </w:pPr>
    <w:rPr>
      <w:rFonts w:ascii="Arial" w:eastAsia="Times New Roman" w:hAnsi="Arial" w:cs="Times New Roman"/>
      <w:sz w:val="20"/>
      <w:szCs w:val="20"/>
      <w:lang w:val="en-GB" w:eastAsia="en-US"/>
    </w:rPr>
  </w:style>
  <w:style w:type="paragraph" w:styleId="Heading5">
    <w:name w:val="heading 5"/>
    <w:basedOn w:val="Normal"/>
    <w:link w:val="Heading5Char"/>
    <w:qFormat/>
    <w:rsid w:val="00B75D64"/>
    <w:pPr>
      <w:numPr>
        <w:ilvl w:val="4"/>
        <w:numId w:val="3"/>
      </w:numPr>
      <w:spacing w:after="140" w:line="290" w:lineRule="auto"/>
      <w:contextualSpacing/>
      <w:jc w:val="both"/>
      <w:outlineLvl w:val="4"/>
    </w:pPr>
    <w:rPr>
      <w:rFonts w:ascii="Arial" w:eastAsia="Times New Roman" w:hAnsi="Arial" w:cs="Times New Roman"/>
      <w:sz w:val="20"/>
      <w:szCs w:val="20"/>
      <w:lang w:val="en-GB" w:eastAsia="en-US"/>
    </w:rPr>
  </w:style>
  <w:style w:type="paragraph" w:styleId="Heading6">
    <w:name w:val="heading 6"/>
    <w:basedOn w:val="Normal"/>
    <w:link w:val="Heading6Char"/>
    <w:qFormat/>
    <w:rsid w:val="00B75D64"/>
    <w:pPr>
      <w:numPr>
        <w:ilvl w:val="5"/>
        <w:numId w:val="3"/>
      </w:numPr>
      <w:tabs>
        <w:tab w:val="left" w:pos="3168"/>
      </w:tabs>
      <w:spacing w:after="140" w:line="290" w:lineRule="auto"/>
      <w:contextualSpacing/>
      <w:jc w:val="both"/>
      <w:outlineLvl w:val="5"/>
    </w:pPr>
    <w:rPr>
      <w:rFonts w:ascii="Arial" w:eastAsia="Times New Roman" w:hAnsi="Arial" w:cs="Times New Roman"/>
      <w:sz w:val="20"/>
      <w:szCs w:val="20"/>
      <w:lang w:val="en-GB" w:eastAsia="en-US"/>
    </w:rPr>
  </w:style>
  <w:style w:type="paragraph" w:styleId="Heading7">
    <w:name w:val="heading 7"/>
    <w:basedOn w:val="Normal"/>
    <w:link w:val="Heading7Char"/>
    <w:qFormat/>
    <w:rsid w:val="00B75D64"/>
    <w:pPr>
      <w:numPr>
        <w:ilvl w:val="6"/>
        <w:numId w:val="3"/>
      </w:numPr>
      <w:spacing w:after="140" w:line="290" w:lineRule="auto"/>
      <w:contextualSpacing/>
      <w:jc w:val="both"/>
      <w:outlineLvl w:val="6"/>
    </w:pPr>
    <w:rPr>
      <w:rFonts w:ascii="Arial" w:eastAsia="Times New Roman" w:hAnsi="Arial" w:cs="Times New Roman"/>
      <w:sz w:val="20"/>
      <w:szCs w:val="20"/>
      <w:lang w:val="en-GB" w:eastAsia="en-US"/>
    </w:rPr>
  </w:style>
  <w:style w:type="paragraph" w:styleId="Heading8">
    <w:name w:val="heading 8"/>
    <w:basedOn w:val="Normal"/>
    <w:link w:val="Heading8Char"/>
    <w:qFormat/>
    <w:rsid w:val="00B75D64"/>
    <w:pPr>
      <w:numPr>
        <w:ilvl w:val="7"/>
        <w:numId w:val="3"/>
      </w:numPr>
      <w:spacing w:after="140" w:line="290" w:lineRule="auto"/>
      <w:contextualSpacing/>
      <w:jc w:val="both"/>
      <w:outlineLvl w:val="7"/>
    </w:pPr>
    <w:rPr>
      <w:rFonts w:ascii="Arial" w:eastAsia="Times New Roman" w:hAnsi="Arial" w:cs="Times New Roman"/>
      <w:sz w:val="20"/>
      <w:szCs w:val="20"/>
      <w:lang w:val="en-GB" w:eastAsia="en-US"/>
    </w:rPr>
  </w:style>
  <w:style w:type="paragraph" w:styleId="Heading9">
    <w:name w:val="heading 9"/>
    <w:basedOn w:val="Normal"/>
    <w:link w:val="Heading9Char"/>
    <w:qFormat/>
    <w:rsid w:val="00B75D64"/>
    <w:pPr>
      <w:numPr>
        <w:ilvl w:val="8"/>
        <w:numId w:val="3"/>
      </w:numPr>
      <w:spacing w:after="140" w:line="290" w:lineRule="auto"/>
      <w:contextualSpacing/>
      <w:jc w:val="both"/>
      <w:outlineLvl w:val="8"/>
    </w:pPr>
    <w:rPr>
      <w:rFonts w:ascii="Arial" w:eastAsia="Times New Roman" w:hAnsi="Arial"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GHouseStyle">
    <w:name w:val="A&amp;G House Style"/>
    <w:uiPriority w:val="99"/>
    <w:rsid w:val="00F978FA"/>
    <w:pPr>
      <w:numPr>
        <w:numId w:val="1"/>
      </w:numPr>
    </w:pPr>
  </w:style>
  <w:style w:type="character" w:customStyle="1" w:styleId="Heading1Char">
    <w:name w:val="Heading 1 Char"/>
    <w:basedOn w:val="DefaultParagraphFont"/>
    <w:link w:val="Heading1"/>
    <w:rsid w:val="00B75D64"/>
    <w:rPr>
      <w:rFonts w:ascii="Arial" w:eastAsia="Times New Roman" w:hAnsi="Arial" w:cs="Times New Roman"/>
      <w:b/>
      <w:lang w:val="en-US" w:eastAsia="en-US"/>
    </w:rPr>
  </w:style>
  <w:style w:type="character" w:customStyle="1" w:styleId="Heading2Char">
    <w:name w:val="Heading 2 Char"/>
    <w:basedOn w:val="DefaultParagraphFont"/>
    <w:link w:val="Heading2"/>
    <w:rsid w:val="00B75D64"/>
    <w:rPr>
      <w:rFonts w:ascii="Arial" w:eastAsia="Times New Roman" w:hAnsi="Arial" w:cs="Times New Roman"/>
      <w:sz w:val="20"/>
      <w:szCs w:val="20"/>
      <w:lang w:val="en-GB" w:eastAsia="en-US"/>
    </w:rPr>
  </w:style>
  <w:style w:type="character" w:customStyle="1" w:styleId="Heading3Char">
    <w:name w:val="Heading 3 Char"/>
    <w:basedOn w:val="DefaultParagraphFont"/>
    <w:link w:val="Heading3"/>
    <w:rsid w:val="00B75D64"/>
    <w:rPr>
      <w:rFonts w:ascii="Arial" w:eastAsia="Times New Roman" w:hAnsi="Arial" w:cs="Times New Roman"/>
      <w:sz w:val="20"/>
      <w:szCs w:val="20"/>
      <w:lang w:val="en-GB" w:eastAsia="en-US"/>
    </w:rPr>
  </w:style>
  <w:style w:type="character" w:customStyle="1" w:styleId="Heading4Char">
    <w:name w:val="Heading 4 Char"/>
    <w:basedOn w:val="DefaultParagraphFont"/>
    <w:link w:val="Heading4"/>
    <w:rsid w:val="00B75D64"/>
    <w:rPr>
      <w:rFonts w:ascii="Arial" w:eastAsia="Times New Roman" w:hAnsi="Arial" w:cs="Times New Roman"/>
      <w:sz w:val="20"/>
      <w:szCs w:val="20"/>
      <w:lang w:val="en-GB" w:eastAsia="en-US"/>
    </w:rPr>
  </w:style>
  <w:style w:type="character" w:customStyle="1" w:styleId="Heading5Char">
    <w:name w:val="Heading 5 Char"/>
    <w:basedOn w:val="DefaultParagraphFont"/>
    <w:link w:val="Heading5"/>
    <w:rsid w:val="00B75D64"/>
    <w:rPr>
      <w:rFonts w:ascii="Arial" w:eastAsia="Times New Roman" w:hAnsi="Arial" w:cs="Times New Roman"/>
      <w:sz w:val="20"/>
      <w:szCs w:val="20"/>
      <w:lang w:val="en-GB" w:eastAsia="en-US"/>
    </w:rPr>
  </w:style>
  <w:style w:type="character" w:customStyle="1" w:styleId="Heading6Char">
    <w:name w:val="Heading 6 Char"/>
    <w:basedOn w:val="DefaultParagraphFont"/>
    <w:link w:val="Heading6"/>
    <w:rsid w:val="00B75D64"/>
    <w:rPr>
      <w:rFonts w:ascii="Arial" w:eastAsia="Times New Roman" w:hAnsi="Arial" w:cs="Times New Roman"/>
      <w:sz w:val="20"/>
      <w:szCs w:val="20"/>
      <w:lang w:val="en-GB" w:eastAsia="en-US"/>
    </w:rPr>
  </w:style>
  <w:style w:type="character" w:customStyle="1" w:styleId="Heading7Char">
    <w:name w:val="Heading 7 Char"/>
    <w:basedOn w:val="DefaultParagraphFont"/>
    <w:link w:val="Heading7"/>
    <w:rsid w:val="00B75D64"/>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B75D64"/>
    <w:rPr>
      <w:rFonts w:ascii="Arial" w:eastAsia="Times New Roman" w:hAnsi="Arial" w:cs="Times New Roman"/>
      <w:sz w:val="20"/>
      <w:szCs w:val="20"/>
      <w:lang w:val="en-GB" w:eastAsia="en-US"/>
    </w:rPr>
  </w:style>
  <w:style w:type="character" w:customStyle="1" w:styleId="Heading9Char">
    <w:name w:val="Heading 9 Char"/>
    <w:basedOn w:val="DefaultParagraphFont"/>
    <w:link w:val="Heading9"/>
    <w:rsid w:val="00B75D64"/>
    <w:rPr>
      <w:rFonts w:ascii="Arial" w:eastAsia="Times New Roman" w:hAnsi="Arial" w:cs="Times New Roman"/>
      <w:sz w:val="20"/>
      <w:szCs w:val="20"/>
      <w:lang w:val="en-GB" w:eastAsia="en-US"/>
    </w:rPr>
  </w:style>
  <w:style w:type="paragraph" w:styleId="Header">
    <w:name w:val="header"/>
    <w:basedOn w:val="Normal"/>
    <w:link w:val="HeaderChar"/>
    <w:uiPriority w:val="99"/>
    <w:semiHidden/>
    <w:unhideWhenUsed/>
    <w:rsid w:val="00B75D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3" Type="http://schemas.microsoft.com/office/2007/relationships/stylesWithEffects" Target="stylesWithEffects.xml" />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