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真值库架构体系技术白皮书</w:t>
      </w:r>
    </w:p>
    <w:p>
      <w:pPr>
        <w:pStyle w:val="Subtitle"/>
        <w:jc w:val="center"/>
      </w:pPr>
      <w:r>
        <w:t>元极恒一自治内核架构组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摘要</w:t>
      </w:r>
    </w:p>
    <w:p>
      <w:pPr>
        <w:spacing w:after="40"/>
        <w:ind w:left="0" w:firstLine="0"/>
      </w:pPr>
      <w:r>
        <w:rPr>
          <w:b/>
        </w:rPr>
        <w:t>1. 背景与问题</w:t>
      </w:r>
    </w:p>
    <w:p>
      <w:pPr>
        <w:spacing w:after="40"/>
        <w:ind w:left="360" w:firstLine="0"/>
      </w:pPr>
      <w:r>
        <w:rPr>
          <w:b w:val="0"/>
        </w:rPr>
        <w:t>1.1 信息膨胀与真值漂移</w:t>
      </w:r>
    </w:p>
    <w:p>
      <w:pPr>
        <w:spacing w:after="40"/>
        <w:ind w:left="360" w:firstLine="0"/>
      </w:pPr>
      <w:r>
        <w:rPr>
          <w:b w:val="0"/>
        </w:rPr>
        <w:t>1.2 单点记忆的局限</w:t>
      </w:r>
    </w:p>
    <w:p>
      <w:pPr>
        <w:spacing w:after="40"/>
        <w:ind w:left="360" w:firstLine="0"/>
      </w:pPr>
      <w:r>
        <w:rPr>
          <w:b w:val="0"/>
        </w:rPr>
        <w:t>1.3 设计目标</w:t>
      </w:r>
    </w:p>
    <w:p>
      <w:pPr>
        <w:spacing w:after="40"/>
        <w:ind w:left="0" w:firstLine="0"/>
      </w:pPr>
      <w:r>
        <w:rPr>
          <w:b/>
        </w:rPr>
        <w:t>2. 体系定位与设计原则</w:t>
      </w:r>
    </w:p>
    <w:p>
      <w:pPr>
        <w:spacing w:after="40"/>
        <w:ind w:left="360" w:firstLine="0"/>
      </w:pPr>
      <w:r>
        <w:rPr>
          <w:b w:val="0"/>
        </w:rPr>
        <w:t>2.1 在自治内核中的位置</w:t>
      </w:r>
    </w:p>
    <w:p>
      <w:pPr>
        <w:spacing w:after="40"/>
        <w:ind w:left="360" w:firstLine="0"/>
      </w:pPr>
      <w:r>
        <w:rPr>
          <w:b w:val="0"/>
        </w:rPr>
        <w:t>2.2 三大设计约束</w:t>
      </w:r>
    </w:p>
    <w:p>
      <w:pPr>
        <w:spacing w:after="40"/>
        <w:ind w:left="360" w:firstLine="0"/>
      </w:pPr>
      <w:r>
        <w:rPr>
          <w:b w:val="0"/>
        </w:rPr>
        <w:t>2.3 四律对应</w:t>
      </w:r>
    </w:p>
    <w:p>
      <w:pPr>
        <w:spacing w:after="40"/>
        <w:ind w:left="360" w:firstLine="0"/>
      </w:pPr>
      <w:r>
        <w:rPr>
          <w:b w:val="0"/>
        </w:rPr>
        <w:t>2.4 设计原则清单</w:t>
      </w:r>
    </w:p>
    <w:p>
      <w:pPr>
        <w:spacing w:after="40"/>
        <w:ind w:left="0" w:firstLine="0"/>
      </w:pPr>
      <w:r>
        <w:rPr>
          <w:b/>
        </w:rPr>
        <w:t>3. 总体架构</w:t>
      </w:r>
    </w:p>
    <w:p>
      <w:pPr>
        <w:spacing w:after="40"/>
        <w:ind w:left="360" w:firstLine="0"/>
      </w:pPr>
      <w:r>
        <w:rPr>
          <w:b w:val="0"/>
        </w:rPr>
        <w:t>3.1 三端一体</w:t>
      </w:r>
    </w:p>
    <w:p>
      <w:pPr>
        <w:spacing w:after="40"/>
        <w:ind w:left="360" w:firstLine="0"/>
      </w:pPr>
      <w:r>
        <w:rPr>
          <w:b w:val="0"/>
        </w:rPr>
        <w:t>3.2 双通道数据流</w:t>
      </w:r>
    </w:p>
    <w:p>
      <w:pPr>
        <w:spacing w:after="40"/>
        <w:ind w:left="360" w:firstLine="0"/>
      </w:pPr>
      <w:r>
        <w:rPr>
          <w:b w:val="0"/>
        </w:rPr>
        <w:t>3.3 组件职责总表</w:t>
      </w:r>
    </w:p>
    <w:p>
      <w:pPr>
        <w:spacing w:after="40"/>
        <w:ind w:left="0" w:firstLine="0"/>
      </w:pPr>
      <w:r>
        <w:rPr>
          <w:b/>
        </w:rPr>
        <w:t>4. 记忆分层模型</w:t>
      </w:r>
    </w:p>
    <w:p>
      <w:pPr>
        <w:spacing w:after="40"/>
        <w:ind w:left="360" w:firstLine="0"/>
      </w:pPr>
      <w:r>
        <w:rPr>
          <w:b w:val="0"/>
        </w:rPr>
        <w:t>4.1 三层记忆</w:t>
      </w:r>
    </w:p>
    <w:p>
      <w:pPr>
        <w:spacing w:after="40"/>
        <w:ind w:left="360" w:firstLine="0"/>
      </w:pPr>
      <w:r>
        <w:rPr>
          <w:b w:val="0"/>
        </w:rPr>
        <w:t>4.2 层间关系</w:t>
      </w:r>
    </w:p>
    <w:p>
      <w:pPr>
        <w:spacing w:after="40"/>
        <w:ind w:left="360" w:firstLine="0"/>
      </w:pPr>
      <w:r>
        <w:rPr>
          <w:b w:val="0"/>
        </w:rPr>
        <w:t>4.3 易失性与权威性分级</w:t>
      </w:r>
    </w:p>
    <w:p>
      <w:pPr>
        <w:spacing w:after="40"/>
        <w:ind w:left="0" w:firstLine="0"/>
      </w:pPr>
      <w:r>
        <w:rPr>
          <w:b/>
        </w:rPr>
        <w:t>5. 真值锚定机制</w:t>
      </w:r>
    </w:p>
    <w:p>
      <w:pPr>
        <w:spacing w:after="40"/>
        <w:ind w:left="360" w:firstLine="0"/>
      </w:pPr>
      <w:r>
        <w:rPr>
          <w:b w:val="0"/>
        </w:rPr>
        <w:t>5.1 断言模型</w:t>
      </w:r>
    </w:p>
    <w:p>
      <w:pPr>
        <w:spacing w:after="40"/>
        <w:ind w:left="360" w:firstLine="0"/>
      </w:pPr>
      <w:r>
        <w:rPr>
          <w:b w:val="0"/>
        </w:rPr>
        <w:t>5.2 语义指纹</w:t>
      </w:r>
    </w:p>
    <w:p>
      <w:pPr>
        <w:spacing w:after="40"/>
        <w:ind w:left="360" w:firstLine="0"/>
      </w:pPr>
      <w:r>
        <w:rPr>
          <w:b w:val="0"/>
        </w:rPr>
        <w:t>5.3 四分支判定</w:t>
      </w:r>
    </w:p>
    <w:p>
      <w:pPr>
        <w:spacing w:after="40"/>
        <w:ind w:left="360" w:firstLine="0"/>
      </w:pPr>
      <w:r>
        <w:rPr>
          <w:b w:val="0"/>
        </w:rPr>
        <w:t>5.4 锚定管线</w:t>
      </w:r>
    </w:p>
    <w:p>
      <w:pPr>
        <w:spacing w:after="40"/>
        <w:ind w:left="0" w:firstLine="0"/>
      </w:pPr>
      <w:r>
        <w:rPr>
          <w:b/>
        </w:rPr>
        <w:t>6. 网关接口层（接口工程）</w:t>
      </w:r>
    </w:p>
    <w:p>
      <w:pPr>
        <w:spacing w:after="40"/>
        <w:ind w:left="360" w:firstLine="0"/>
      </w:pPr>
      <w:r>
        <w:rPr>
          <w:b w:val="0"/>
        </w:rPr>
        <w:t>6.1 端口抽象：六类网关能力</w:t>
      </w:r>
    </w:p>
    <w:p>
      <w:pPr>
        <w:spacing w:after="40"/>
        <w:ind w:left="360" w:firstLine="0"/>
      </w:pPr>
      <w:r>
        <w:rPr>
          <w:b w:val="0"/>
        </w:rPr>
        <w:t>6.2 HTTP 实现</w:t>
      </w:r>
    </w:p>
    <w:p>
      <w:pPr>
        <w:spacing w:after="40"/>
        <w:ind w:left="360" w:firstLine="0"/>
      </w:pPr>
      <w:r>
        <w:rPr>
          <w:b w:val="0"/>
        </w:rPr>
        <w:t>6.3 密钥复用</w:t>
      </w:r>
    </w:p>
    <w:p>
      <w:pPr>
        <w:spacing w:after="40"/>
        <w:ind w:left="360" w:firstLine="0"/>
      </w:pPr>
      <w:r>
        <w:rPr>
          <w:b w:val="0"/>
        </w:rPr>
        <w:t>6.4 组合接口：单次调用闭环</w:t>
      </w:r>
    </w:p>
    <w:p>
      <w:pPr>
        <w:spacing w:after="40"/>
        <w:ind w:left="360" w:firstLine="0"/>
      </w:pPr>
      <w:r>
        <w:rPr>
          <w:b w:val="0"/>
        </w:rPr>
        <w:t>6.5 解耦收益</w:t>
      </w:r>
    </w:p>
    <w:p>
      <w:pPr>
        <w:spacing w:after="40"/>
        <w:ind w:left="0" w:firstLine="0"/>
      </w:pPr>
      <w:r>
        <w:rPr>
          <w:b/>
        </w:rPr>
        <w:t>7. 云端账本与自动上报</w:t>
      </w:r>
    </w:p>
    <w:p>
      <w:pPr>
        <w:spacing w:after="40"/>
        <w:ind w:left="360" w:firstLine="0"/>
      </w:pPr>
      <w:r>
        <w:rPr>
          <w:b w:val="0"/>
        </w:rPr>
        <w:t>7.1 双向握手三步核验</w:t>
      </w:r>
    </w:p>
    <w:p>
      <w:pPr>
        <w:spacing w:after="40"/>
        <w:ind w:left="360" w:firstLine="0"/>
      </w:pPr>
      <w:r>
        <w:rPr>
          <w:b w:val="0"/>
        </w:rPr>
        <w:t>7.2 上报协议</w:t>
      </w:r>
    </w:p>
    <w:p>
      <w:pPr>
        <w:spacing w:after="40"/>
        <w:ind w:left="360" w:firstLine="0"/>
      </w:pPr>
      <w:r>
        <w:rPr>
          <w:b w:val="0"/>
        </w:rPr>
        <w:t>7.3 幂等去重</w:t>
      </w:r>
    </w:p>
    <w:p>
      <w:pPr>
        <w:spacing w:after="40"/>
        <w:ind w:left="360" w:firstLine="0"/>
      </w:pPr>
      <w:r>
        <w:rPr>
          <w:b w:val="0"/>
        </w:rPr>
        <w:t>7.4 容错</w:t>
      </w:r>
    </w:p>
    <w:p>
      <w:pPr>
        <w:spacing w:after="40"/>
        <w:ind w:left="360" w:firstLine="0"/>
      </w:pPr>
      <w:r>
        <w:rPr>
          <w:b w:val="0"/>
        </w:rPr>
        <w:t>7.5 落账校验与本地审计回执</w:t>
      </w:r>
    </w:p>
    <w:p>
      <w:pPr>
        <w:spacing w:after="40"/>
        <w:ind w:left="0" w:firstLine="0"/>
      </w:pPr>
      <w:r>
        <w:rPr>
          <w:b/>
        </w:rPr>
        <w:t>8. 真值进化机制</w:t>
      </w:r>
    </w:p>
    <w:p>
      <w:pPr>
        <w:spacing w:after="40"/>
        <w:ind w:left="360" w:firstLine="0"/>
      </w:pPr>
      <w:r>
        <w:rPr>
          <w:b w:val="0"/>
        </w:rPr>
        <w:t>8.1 四步闭环</w:t>
      </w:r>
    </w:p>
    <w:p>
      <w:pPr>
        <w:spacing w:after="40"/>
        <w:ind w:left="360" w:firstLine="0"/>
      </w:pPr>
      <w:r>
        <w:rPr>
          <w:b w:val="0"/>
        </w:rPr>
        <w:t>8.2 语义冲突处理</w:t>
      </w:r>
    </w:p>
    <w:p>
      <w:pPr>
        <w:spacing w:after="40"/>
        <w:ind w:left="360" w:firstLine="0"/>
      </w:pPr>
      <w:r>
        <w:rPr>
          <w:b w:val="0"/>
        </w:rPr>
        <w:t>8.3 权重演化规则</w:t>
      </w:r>
    </w:p>
    <w:p>
      <w:pPr>
        <w:spacing w:after="40"/>
        <w:ind w:left="360" w:firstLine="0"/>
      </w:pPr>
      <w:r>
        <w:rPr>
          <w:b w:val="0"/>
        </w:rPr>
        <w:t>8.4 反馈自校准</w:t>
      </w:r>
    </w:p>
    <w:p>
      <w:pPr>
        <w:spacing w:after="40"/>
        <w:ind w:left="0" w:firstLine="0"/>
      </w:pPr>
      <w:r>
        <w:rPr>
          <w:b/>
        </w:rPr>
        <w:t>9. 端到端数据流</w:t>
      </w:r>
    </w:p>
    <w:p>
      <w:pPr>
        <w:spacing w:after="40"/>
        <w:ind w:left="360" w:firstLine="0"/>
      </w:pPr>
      <w:r>
        <w:rPr>
          <w:b w:val="0"/>
        </w:rPr>
        <w:t>9.1 八步链</w:t>
      </w:r>
    </w:p>
    <w:p>
      <w:pPr>
        <w:spacing w:after="40"/>
        <w:ind w:left="360" w:firstLine="0"/>
      </w:pPr>
      <w:r>
        <w:rPr>
          <w:b w:val="0"/>
        </w:rPr>
        <w:t>9.2 每日例行喂料场景</w:t>
      </w:r>
    </w:p>
    <w:p>
      <w:pPr>
        <w:spacing w:after="40"/>
        <w:ind w:left="0" w:firstLine="0"/>
      </w:pPr>
      <w:r>
        <w:rPr>
          <w:b/>
        </w:rPr>
        <w:t>10. 安全与治理</w:t>
      </w:r>
    </w:p>
    <w:p>
      <w:pPr>
        <w:spacing w:after="40"/>
        <w:ind w:left="360" w:firstLine="0"/>
      </w:pPr>
      <w:r>
        <w:rPr>
          <w:b w:val="0"/>
        </w:rPr>
        <w:t>10.1 认证与防伪</w:t>
      </w:r>
    </w:p>
    <w:p>
      <w:pPr>
        <w:spacing w:after="40"/>
        <w:ind w:left="360" w:firstLine="0"/>
      </w:pPr>
      <w:r>
        <w:rPr>
          <w:b w:val="0"/>
        </w:rPr>
        <w:t>10.2 审计与不可篡改</w:t>
      </w:r>
    </w:p>
    <w:p>
      <w:pPr>
        <w:spacing w:after="40"/>
        <w:ind w:left="360" w:firstLine="0"/>
      </w:pPr>
      <w:r>
        <w:rPr>
          <w:b w:val="0"/>
        </w:rPr>
        <w:t>10.3 风险保守策略</w:t>
      </w:r>
    </w:p>
    <w:p>
      <w:pPr>
        <w:spacing w:after="40"/>
        <w:ind w:left="360" w:firstLine="0"/>
      </w:pPr>
      <w:r>
        <w:rPr>
          <w:b w:val="0"/>
        </w:rPr>
        <w:t>10.4 隐私与数据边界</w:t>
      </w:r>
    </w:p>
    <w:p>
      <w:pPr>
        <w:spacing w:after="40"/>
        <w:ind w:left="360" w:firstLine="0"/>
      </w:pPr>
      <w:r>
        <w:rPr>
          <w:b w:val="0"/>
        </w:rPr>
        <w:t>10.5 可信发布原则</w:t>
      </w:r>
    </w:p>
    <w:p>
      <w:pPr>
        <w:spacing w:after="40"/>
        <w:ind w:left="0" w:firstLine="0"/>
      </w:pPr>
      <w:r>
        <w:rPr>
          <w:b/>
        </w:rPr>
        <w:t>11. 集成与生态</w:t>
      </w:r>
    </w:p>
    <w:p>
      <w:pPr>
        <w:spacing w:after="40"/>
        <w:ind w:left="360" w:firstLine="0"/>
      </w:pPr>
      <w:r>
        <w:rPr>
          <w:b w:val="0"/>
        </w:rPr>
        <w:t>11.1 与既有组件映射</w:t>
      </w:r>
    </w:p>
    <w:p>
      <w:pPr>
        <w:spacing w:after="40"/>
        <w:ind w:left="360" w:firstLine="0"/>
      </w:pPr>
      <w:r>
        <w:rPr>
          <w:b w:val="0"/>
        </w:rPr>
        <w:t>11.2 适用场景</w:t>
      </w:r>
    </w:p>
    <w:p>
      <w:pPr>
        <w:spacing w:after="40"/>
        <w:ind w:left="0" w:firstLine="0"/>
      </w:pPr>
      <w:r>
        <w:rPr>
          <w:b/>
        </w:rPr>
        <w:t>12. 总结与展望</w:t>
      </w:r>
    </w:p>
    <w:p>
      <w:pPr>
        <w:spacing w:after="40"/>
        <w:ind w:left="360" w:firstLine="0"/>
      </w:pPr>
      <w:r>
        <w:rPr>
          <w:b w:val="0"/>
        </w:rPr>
        <w:t>12.1 主张回顾</w:t>
      </w:r>
    </w:p>
    <w:p>
      <w:pPr>
        <w:spacing w:after="40"/>
        <w:ind w:left="360" w:firstLine="0"/>
      </w:pPr>
      <w:r>
        <w:rPr>
          <w:b w:val="0"/>
        </w:rPr>
        <w:t>12.2 未来方向</w:t>
      </w:r>
    </w:p>
    <w:p>
      <w:pPr>
        <w:spacing w:after="40"/>
        <w:ind w:left="0" w:firstLine="0"/>
      </w:pPr>
      <w:r>
        <w:rPr>
          <w:b/>
        </w:rPr>
        <w:t>附录 A 锚定判定术语表</w:t>
      </w:r>
    </w:p>
    <w:p>
      <w:pPr>
        <w:spacing w:after="40"/>
        <w:ind w:left="0" w:firstLine="0"/>
      </w:pPr>
      <w:r>
        <w:rPr>
          <w:b/>
        </w:rPr>
        <w:t>附录 B 参考文档清单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摘要</w:t>
      </w:r>
    </w:p>
    <w:p>
      <w:pPr>
        <w:pStyle w:val="BodyText"/>
      </w:pPr>
      <w:r>
        <w:t>真值库是一套面向自治系统的真值记忆基础设施，其核心定位是：</w:t>
      </w:r>
      <w:r>
        <w:rPr>
          <w:b/>
        </w:rPr>
        <w:t>把易变情境中涌现的断言，升格为可复核、不可漂移、可持续进化的恒定真值</w:t>
      </w:r>
      <w:r>
        <w:t>。它通过三层记忆模型承载从短期印象到长期模式的连续谱，以语义指纹与四分支锚定判定完成「断言→真值」的升格，并借助云端 Merkle 账本实现真值的权威固化和全链路审计。</w:t>
      </w:r>
    </w:p>
    <w:p>
      <w:pPr>
        <w:pStyle w:val="BodyText"/>
      </w:pPr>
      <w:r>
        <w:t>本白皮书从三个价值主张展开：</w:t>
      </w:r>
      <w:r>
        <w:rPr>
          <w:b/>
        </w:rPr>
        <w:t>可复核</w:t>
      </w:r>
      <w:r>
        <w:t>——每条真值经双向握手、幂等去重与落账校验写入 Merkle-DAG 只追加账本，任何篡改都会被完整性校验捕获；</w:t>
      </w:r>
      <w:r>
        <w:rPr>
          <w:b/>
        </w:rPr>
        <w:t>不可漂移</w:t>
      </w:r>
      <w:r>
        <w:t>——真值以恒贯律约束锚定，修订轨迹携带原因与证据入账，语义不随表述漂移；</w:t>
      </w:r>
      <w:r>
        <w:rPr>
          <w:b/>
        </w:rPr>
        <w:t>可进化</w:t>
      </w:r>
      <w:r>
        <w:t>——去重、修订、权重演化与置信度回传构成反馈闭环，真值库随证据积累而自我校准。</w:t>
      </w:r>
    </w:p>
    <w:p>
      <w:pPr>
        <w:pStyle w:val="BodyText"/>
      </w:pPr>
      <w:r>
        <w:t>目标读者为系统架构师、AI 基础设施研究员与平台工程师。文中所有描述以可公开的设计机制为准，不涉及内部运行标识、真实账本条目与敏感配置。</w:t>
      </w:r>
    </w:p>
    <w:p>
      <w:pPr>
        <w:pStyle w:val="Heading1"/>
      </w:pPr>
      <w:r>
        <w:t>1. 背景与问题</w:t>
      </w:r>
    </w:p>
    <w:p>
      <w:pPr>
        <w:pStyle w:val="Heading2"/>
      </w:pPr>
      <w:r>
        <w:t>1.1 信息膨胀与真值漂移</w:t>
      </w:r>
    </w:p>
    <w:p>
      <w:pPr>
        <w:pStyle w:val="BodyText"/>
      </w:pPr>
      <w:r>
        <w:t>大模型与生成式 AI 的普及带来了前所未有的信息生产速度，也放大了三个结构性问题：海量信息中噪声与营销内容占比高，同名事件存在多种相互矛盾的表述；模型与系统在长周期运行中容易发生立场、结论与记忆的漂移，同一事实在不同会话中呈现不一致；可信证据稀缺，多数内容缺乏来源锚定与复核机制。</w:t>
      </w:r>
    </w:p>
    <w:p>
      <w:pPr>
        <w:pStyle w:val="Heading2"/>
      </w:pPr>
      <w:r>
        <w:t>1.2 单点记忆的局限</w:t>
      </w:r>
    </w:p>
    <w:p>
      <w:pPr>
        <w:pStyle w:val="BodyText"/>
      </w:pPr>
      <w:r>
        <w:t>传统记忆方案以「单点存储 + 全文检索」为主，存在三个不可忽视的短板：跨会话上下文易失，短期对话一旦结束，关键结论便无法稳定复现；记忆内容与来源脱钩，无法回答「这条记忆从哪里来、依据是什么」；缺乏权威收敛，多节点各自维护的记忆库在合并时无法判断何者为准。</w:t>
      </w:r>
    </w:p>
    <w:p>
      <w:pPr>
        <w:pStyle w:val="Heading2"/>
      </w:pPr>
      <w:r>
        <w:t>1.3 设计目标</w:t>
      </w:r>
    </w:p>
    <w:p>
      <w:pPr>
        <w:pStyle w:val="BodyText"/>
      </w:pPr>
      <w:r>
        <w:t>针对上述问题，真值库确立如下设计目标：</w:t>
      </w:r>
    </w:p>
    <w:p>
      <w:pPr>
        <w:pStyle w:val="ListBullet"/>
      </w:pPr>
      <w:r>
        <w:rPr>
          <w:b/>
        </w:rPr>
        <w:t>把断言升格为真值</w:t>
      </w:r>
      <w:r>
        <w:t>：凡需长期依赖的结论，必须经过结构化的锚定流程，而非停留在自由文本。</w:t>
      </w:r>
    </w:p>
    <w:p>
      <w:pPr>
        <w:pStyle w:val="ListBullet"/>
      </w:pPr>
      <w:r>
        <w:rPr>
          <w:b/>
        </w:rPr>
        <w:t>让真值可复核</w:t>
      </w:r>
      <w:r>
        <w:t>：每次固化都留下可追溯的证据链，任何对账本的改动都能被验证。</w:t>
      </w:r>
    </w:p>
    <w:p>
      <w:pPr>
        <w:pStyle w:val="ListBullet"/>
      </w:pPr>
      <w:r>
        <w:rPr>
          <w:b/>
        </w:rPr>
        <w:t>让真值不漂移</w:t>
      </w:r>
      <w:r>
        <w:t>：以语义指纹识别同一事件的多种表述，以修订轨迹保留变更史，锚定不随措辞变化而漂移。</w:t>
      </w:r>
    </w:p>
    <w:p>
      <w:pPr>
        <w:pStyle w:val="ListBullet"/>
      </w:pPr>
      <w:r>
        <w:rPr>
          <w:b/>
        </w:rPr>
        <w:t>让真值可进化</w:t>
      </w:r>
      <w:r>
        <w:t>：通过证据积累与置信度反馈持续修正权重与阈值，真值库随运行而自我校准。</w:t>
      </w:r>
    </w:p>
    <w:p>
      <w:pPr>
        <w:pStyle w:val="Heading1"/>
      </w:pPr>
      <w:r>
        <w:t>2. 体系定位与设计原则</w:t>
      </w:r>
    </w:p>
    <w:p>
      <w:pPr>
        <w:pStyle w:val="Heading2"/>
      </w:pPr>
      <w:r>
        <w:t>2.1 在自治内核中的位置</w:t>
      </w:r>
    </w:p>
    <w:p>
      <w:pPr>
        <w:pStyle w:val="BodyText"/>
      </w:pPr>
      <w:r>
        <w:t>真值库是自治内核的记忆侧纵切面，贯通语义锚定与认知自校准两条主线。它不替代模型本身，而是为模型提供稳定的、可引用的真值底座：模型在推理时查询真值库获得权威结论，真值库在运行中吸收模型提炼的断言并反向约束其进化速率。</w:t>
      </w:r>
    </w:p>
    <w:p>
      <w:pPr>
        <w:pStyle w:val="Heading2"/>
      </w:pPr>
      <w:r>
        <w:t>2.2 三大设计约束</w:t>
      </w:r>
    </w:p>
    <w:p>
      <w:pPr>
        <w:pStyle w:val="ListBullet"/>
      </w:pPr>
      <w:r>
        <w:rPr>
          <w:b/>
        </w:rPr>
        <w:t>本地与云端契约解耦</w:t>
      </w:r>
      <w:r>
        <w:t>：本地记忆网关与云端账本之间以稳定的接口契约为界，本地可离线验证后再上报，实现与账本部署位置无关的演进。</w:t>
      </w:r>
    </w:p>
    <w:p>
      <w:pPr>
        <w:pStyle w:val="ListBullet"/>
      </w:pPr>
      <w:r>
        <w:rPr>
          <w:b/>
        </w:rPr>
        <w:t>权威收敛到账本</w:t>
      </w:r>
      <w:r>
        <w:t>：当本地判定与云端账本存在分歧时，以账本为权威，保证多节点视角收敛到同一真值集合。</w:t>
      </w:r>
    </w:p>
    <w:p>
      <w:pPr>
        <w:pStyle w:val="ListBullet"/>
      </w:pPr>
      <w:r>
        <w:rPr>
          <w:b/>
        </w:rPr>
        <w:t>反馈驱动演化</w:t>
      </w:r>
      <w:r>
        <w:t>：置信度回传驱动阈值与遗忘速率调整，进而反向约束真值进化的速率，形成稳态约束。</w:t>
      </w:r>
    </w:p>
    <w:p>
      <w:pPr>
        <w:pStyle w:val="Heading2"/>
      </w:pPr>
      <w:r>
        <w:t>2.3 四律对应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公理层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真值库体现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元叠律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真值库维护关于记忆的元记忆，即每条真值的来源、判定与修订轨迹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极张力律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易变情境（短期印象）与稳固真值（账本锚定）之间保持张力结构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恒贯律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锚定之后的真值语义保持一贯，不随表述漂移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一合律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短期、长期、真值三层记忆最终收敛为一个可复核的真值体系</w:t>
            </w:r>
          </w:p>
        </w:tc>
      </w:tr>
    </w:tbl>
    <w:p>
      <w:pPr>
        <w:pStyle w:val="Heading2"/>
      </w:pPr>
      <w:r>
        <w:t>2.4 设计原则清单</w:t>
      </w:r>
    </w:p>
    <w:p>
      <w:pPr>
        <w:pStyle w:val="ListBullet"/>
      </w:pPr>
      <w:r>
        <w:rPr>
          <w:b/>
        </w:rPr>
        <w:t>可复核优先</w:t>
      </w:r>
      <w:r>
        <w:t>：一切机制围绕「事后可验证」设计，禁止不可审计的暗箱写入。</w:t>
      </w:r>
    </w:p>
    <w:p>
      <w:pPr>
        <w:pStyle w:val="ListBullet"/>
      </w:pPr>
      <w:r>
        <w:rPr>
          <w:b/>
        </w:rPr>
        <w:t>幂等至上</w:t>
      </w:r>
      <w:r>
        <w:t>：重复提交同一真值不产生重复账本条目，天然支持重试与并发。</w:t>
      </w:r>
    </w:p>
    <w:p>
      <w:pPr>
        <w:pStyle w:val="ListBullet"/>
      </w:pPr>
      <w:r>
        <w:rPr>
          <w:b/>
        </w:rPr>
        <w:t>容错保守</w:t>
      </w:r>
      <w:r>
        <w:t>：握手或完整性校验失败时拒绝写入，故障优先锁止而非带病运行。</w:t>
      </w:r>
    </w:p>
    <w:p>
      <w:pPr>
        <w:pStyle w:val="ListBullet"/>
      </w:pPr>
      <w:r>
        <w:rPr>
          <w:b/>
        </w:rPr>
        <w:t>语义可迁移</w:t>
      </w:r>
      <w:r>
        <w:t>：真值以语义单元流通，不依赖逐字相等的匹配。</w:t>
      </w:r>
    </w:p>
    <w:p>
      <w:pPr>
        <w:pStyle w:val="ListBullet"/>
      </w:pPr>
      <w:r>
        <w:rPr>
          <w:b/>
        </w:rPr>
        <w:t>隐私有界</w:t>
      </w:r>
      <w:r>
        <w:t>：原始上下文不出域，跨域只流通提炼后的语义真值。</w:t>
      </w:r>
    </w:p>
    <w:p>
      <w:pPr>
        <w:pStyle w:val="Heading1"/>
      </w:pPr>
      <w:r>
        <w:t>3. 总体架构</w:t>
      </w:r>
    </w:p>
    <w:p>
      <w:pPr>
        <w:pStyle w:val="Heading2"/>
      </w:pPr>
      <w:r>
        <w:t>3.1 三端一体</w:t>
      </w:r>
    </w:p>
    <w:p>
      <w:pPr>
        <w:pStyle w:val="BodyText"/>
      </w:pPr>
      <w:r>
        <w:t>真值库由三个端点协同构成，形成「本地记忆网关—锚定网关—云端账本」的三段式结构：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端点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职责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关键特性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本地记忆网关（本地持久层）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承载短期与长期记忆，维护本地状态文件与审计回执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离线可用，低延迟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接口工程（锚定网关）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提供六类网关能力端口，完成握手、锚定与上报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契约抽象，可替换实现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云端账本（真值权威）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固化经锚定的真值，维护 Merkle-DAG 与完整性校验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只追加，防篡改</w:t>
            </w:r>
          </w:p>
        </w:tc>
      </w:tr>
    </w:tbl>
    <w:p>
      <w:pPr>
        <w:pStyle w:val="Heading2"/>
      </w:pPr>
      <w:r>
        <w:t>3.2 双通道数据流</w:t>
      </w:r>
    </w:p>
    <w:p>
      <w:pPr>
        <w:pStyle w:val="BodyText"/>
      </w:pPr>
      <w:r>
        <w:t>真值库内同时存在两条方向相反的通道：</w:t>
      </w:r>
    </w:p>
    <w:p>
      <w:pPr>
        <w:pStyle w:val="ListBullet"/>
      </w:pPr>
      <w:r>
        <w:rPr>
          <w:b/>
        </w:rPr>
        <w:t>上行真值流（青色）</w:t>
      </w:r>
      <w:r>
        <w:t>：本地提炼的断言经锚定网关校验、指纹化、检索去重后，上报并固化到云端账本。</w:t>
      </w:r>
    </w:p>
    <w:p>
      <w:pPr>
        <w:pStyle w:val="ListBullet"/>
      </w:pPr>
      <w:r>
        <w:rPr>
          <w:b/>
        </w:rPr>
        <w:t>下行置信流（紫色）</w:t>
      </w:r>
      <w:r>
        <w:t>：云端账本与校验结果回传本地，更新本地状态、置信度与模式沉淀。</w:t>
      </w:r>
    </w:p>
    <w:p>
      <w:pPr>
        <w:pStyle w:val="BodyText"/>
      </w:pPr>
      <w:r>
        <w:t>双通道分离使上游提炼与下游校准解耦：提炼失败不影响已固化真值的读取，账本不可用时本地仍可离线工作。</w:t>
      </w:r>
    </w:p>
    <w:p>
      <w:pPr>
        <w:pStyle w:val="Heading2"/>
      </w:pPr>
      <w:r>
        <w:t>3.3 组件职责总表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组件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失败策略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感知层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外部信息源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结构化事件素材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忽略噪声，保留上下文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提炼层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事件素材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断言六元组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字段校验失败则拒绝候选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锚定层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断言六元组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四分支判定结果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判定失败回退待核查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上报层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待固化真值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账本回执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主备切换重试，不阻塞其余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校验层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账本状态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Merkle 一致性结论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不一致则禁止写入</w:t>
            </w:r>
          </w:p>
        </w:tc>
      </w:tr>
    </w:tbl>
    <w:p>
      <w:pPr>
        <w:pStyle w:val="Heading1"/>
      </w:pPr>
      <w:r>
        <w:t>4. 记忆分层模型</w:t>
      </w:r>
    </w:p>
    <w:p>
      <w:pPr>
        <w:pStyle w:val="Heading2"/>
      </w:pPr>
      <w:r>
        <w:t>4.1 三层记忆</w:t>
      </w:r>
    </w:p>
    <w:p>
      <w:pPr>
        <w:pStyle w:val="BodyText"/>
      </w:pPr>
      <w:r>
        <w:t>真值库将记忆组织为三层，按易失性与权威性分级：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层级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易失性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是否入账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短期记忆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当轮会话上下文、临时结论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高易失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否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长期记忆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跨会话沉淀的模式与偏好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中易失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仅在锚定后间接关联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真值库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云端账本只读镜像、已锚定真值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低易失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是</w:t>
            </w:r>
          </w:p>
        </w:tc>
      </w:tr>
    </w:tbl>
    <w:p>
      <w:pPr>
        <w:pStyle w:val="Heading2"/>
      </w:pPr>
      <w:r>
        <w:t>4.2 层间关系</w:t>
      </w:r>
    </w:p>
    <w:p>
      <w:pPr>
        <w:pStyle w:val="BodyText"/>
      </w:pPr>
      <w:r>
        <w:t>三层之间构成极张力结构：短期记忆中的临时印象在未经锚定时不具权威性；只有通过锚定流程升格的断言才进入长期记忆，并最终成为真值库中的稳定条目。升格路径单向且受控，防止噪声直接污染权威层。</w:t>
      </w:r>
    </w:p>
    <w:p>
      <w:pPr>
        <w:pStyle w:val="Heading2"/>
      </w:pPr>
      <w:r>
        <w:t>4.3 易失性与权威性分级</w:t>
      </w:r>
    </w:p>
    <w:p>
      <w:pPr>
        <w:pStyle w:val="BodyText"/>
      </w:pPr>
      <w:r>
        <w:t>易失性越高的层级，越强调快速读写与上下文相关；权威性越高的层级，越强调可复核与一致性。真值库把「快」和「稳」放在不同层级，避免单层同时承担相互冲突的职责。</w:t>
      </w:r>
    </w:p>
    <w:p>
      <w:pPr>
        <w:pStyle w:val="Heading1"/>
      </w:pPr>
      <w:r>
        <w:t>5. 真值锚定机制</w:t>
      </w:r>
    </w:p>
    <w:p>
      <w:pPr>
        <w:pStyle w:val="Heading2"/>
      </w:pPr>
      <w:r>
        <w:t>5.1 断言模型</w:t>
      </w:r>
    </w:p>
    <w:p>
      <w:pPr>
        <w:pStyle w:val="BodyText"/>
      </w:pPr>
      <w:r>
        <w:t>待锚定的断言以结构化六元组承载：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字段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含义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event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事件或论断的规范化表述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at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事件发生时间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dimension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所属维度（如技术、产业、政策）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source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来源名称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url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可追溯链接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significance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意义与影响评估</w:t>
            </w:r>
          </w:p>
        </w:tc>
      </w:tr>
    </w:tbl>
    <w:p>
      <w:pPr>
        <w:pStyle w:val="BodyText"/>
      </w:pPr>
      <w:r>
        <w:t>未显式给定 key 时，系统按「日期域 + 序号」自动补位，保证每条真值在账本中有稳定的唯一键。</w:t>
      </w:r>
    </w:p>
    <w:p>
      <w:pPr>
        <w:pStyle w:val="Heading2"/>
      </w:pPr>
      <w:r>
        <w:t>5.2 语义指纹</w:t>
      </w:r>
    </w:p>
    <w:p>
      <w:pPr>
        <w:pStyle w:val="BodyText"/>
      </w:pPr>
      <w:r>
        <w:t>语义指纹用于识别「同一事件的不同表述」。其生成规则为：对事件进行归一化处理，结合事件发生时间，计算哈希并取前 16 位作为指纹。该设计不依赖逐字相等，因此同一事件的不同措辞、不同来源报道在指纹层可被合并，避免重复固化与账本膨胀。</w:t>
      </w:r>
    </w:p>
    <w:p>
      <w:pPr>
        <w:pStyle w:val="Heading2"/>
      </w:pPr>
      <w:r>
        <w:t>5.3 四分支判定</w:t>
      </w:r>
    </w:p>
    <w:p>
      <w:pPr>
        <w:pStyle w:val="BodyText"/>
      </w:pPr>
      <w:r>
        <w:t>锚定层对每条断言执行四分支判定：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判定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含义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处置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anchored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已存在相同语义指纹且内容一致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幂等跳过，不重复写入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committed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新真值，账本中不存在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写入新锚，固化入账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revised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同指纹但内容冲突或演进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冲突修订，重锚并存修订轨迹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rejected / unverified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来源不可信或证据不足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拒绝写入，或标记待核查</w:t>
            </w:r>
          </w:p>
        </w:tc>
      </w:tr>
    </w:tbl>
    <w:p>
      <w:pPr>
        <w:pStyle w:val="BodyText"/>
      </w:pPr>
      <w:r>
        <w:t>每个判定分支伴随置信度档位，供下游权重演化使用。</w:t>
      </w:r>
    </w:p>
    <w:p>
      <w:pPr>
        <w:pStyle w:val="Heading2"/>
      </w:pPr>
      <w:r>
        <w:t>5.4 锚定管线</w:t>
      </w:r>
    </w:p>
    <w:p>
      <w:pPr>
        <w:pStyle w:val="BodyText"/>
      </w:pPr>
      <w:r>
        <w:t>锚定过程按固定管线执行：</w:t>
      </w:r>
      <w:r>
        <w:rPr>
          <w:b/>
        </w:rPr>
        <w:t>校验 → 指纹 → 检索 → 判定 → 回传</w:t>
      </w:r>
      <w:r>
        <w:t>。</w:t>
      </w:r>
    </w:p>
    <w:p>
      <w:pPr>
        <w:pStyle w:val="ListBullet"/>
      </w:pPr>
      <w:r>
        <w:t>校验：检查断言六元组字段完整性与格式。</w:t>
      </w:r>
    </w:p>
    <w:p>
      <w:pPr>
        <w:pStyle w:val="ListBullet"/>
      </w:pPr>
      <w:r>
        <w:t>指纹：生成语义指纹，作为去重与判定的主键。</w:t>
      </w:r>
    </w:p>
    <w:p>
      <w:pPr>
        <w:pStyle w:val="ListBullet"/>
      </w:pPr>
      <w:r>
        <w:t>检索：按指纹或 key 前缀查询账本既有条目。</w:t>
      </w:r>
    </w:p>
    <w:p>
      <w:pPr>
        <w:pStyle w:val="ListBullet"/>
      </w:pPr>
      <w:r>
        <w:t>判定：依据四分支规则得出处置结论。</w:t>
      </w:r>
    </w:p>
    <w:p>
      <w:pPr>
        <w:pStyle w:val="ListBullet"/>
      </w:pPr>
      <w:r>
        <w:t>回传：将判定结果与置信度回传本地，更新本地状态。</w:t>
      </w:r>
    </w:p>
    <w:p>
      <w:pPr>
        <w:pStyle w:val="BodyText"/>
      </w:pPr>
      <w:r>
        <w:t>管线各阶段可独立验证，任一步失败均不会导致半成品写入账本。</w:t>
      </w:r>
    </w:p>
    <w:p>
      <w:pPr>
        <w:pStyle w:val="Heading1"/>
      </w:pPr>
      <w:r>
        <w:t>6. 网关接口层（接口工程）</w:t>
      </w:r>
    </w:p>
    <w:p>
      <w:pPr>
        <w:pStyle w:val="Heading2"/>
      </w:pPr>
      <w:r>
        <w:t>6.1 端口抽象：六类网关能力</w:t>
      </w:r>
    </w:p>
    <w:p>
      <w:pPr>
        <w:pStyle w:val="BodyText"/>
      </w:pPr>
      <w:r>
        <w:t>接口工程将云端账本能力抽象为六类端口，上层仅依赖抽象而不关心实现细节：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能力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作用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状态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查询服务活性、身份与账本当前摘要（计数、根、版本）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完整性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请求账本完整性校验，比对重算根与存储根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账本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读取账本明细与最近条目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检索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按 key 前缀检索真值，供去重核对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上报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逐条写入真值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状态资源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读取同步状态、指标、节点注册等伴生资源</w:t>
            </w:r>
          </w:p>
        </w:tc>
      </w:tr>
    </w:tbl>
    <w:p>
      <w:pPr>
        <w:pStyle w:val="Heading2"/>
      </w:pPr>
      <w:r>
        <w:t>6.2 HTTP 实现</w:t>
      </w:r>
    </w:p>
    <w:p>
      <w:pPr>
        <w:pStyle w:val="BodyText"/>
      </w:pPr>
      <w:r>
        <w:t>HTTP 实现层采用</w:t>
      </w:r>
      <w:r>
        <w:rPr>
          <w:b/>
        </w:rPr>
        <w:t>单头零明文令牌认证</w:t>
      </w:r>
      <w:r>
        <w:t>：请求通过身份头承载 DID 标识，令牌不随任何链路明文落盘，服务端据此校验身份锚定。网络侧默认配置主备双端点，请求按主端点优先、备用端点兜底的顺序重试，附指数退避，避免雪崩式重试。</w:t>
      </w:r>
    </w:p>
    <w:p>
      <w:pPr>
        <w:pStyle w:val="Heading2"/>
      </w:pPr>
      <w:r>
        <w:t>6.3 密钥复用</w:t>
      </w:r>
    </w:p>
    <w:p>
      <w:pPr>
        <w:pStyle w:val="BodyText"/>
      </w:pPr>
      <w:r>
        <w:t>为兼顾安全与效率，接口层对身份凭证实施</w:t>
      </w:r>
      <w:r>
        <w:rPr>
          <w:b/>
        </w:rPr>
        <w:t>密钥复用</w:t>
      </w:r>
      <w:r>
        <w:t>：一次双向握手完成身份锚定核验后，同批次内的后续上报、检索与校验请求复用同一身份凭证，无需逐条重新协商密钥。复用边界严格限定在单批任务会话内——跨批次的新任务必须重新握手、重新签发凭证，避免凭证长期有效带来的泄露风险。</w:t>
      </w:r>
    </w:p>
    <w:p>
      <w:pPr>
        <w:pStyle w:val="BodyText"/>
      </w:pPr>
      <w:r>
        <w:t>密钥复用与幂等去重协同工作：重试请求携带同一凭证与同一真值键，服务端按键去重，不因复用产生重复账本条目。凭证本身保持零明文约束：不落盘、不进日志、不出现在审计回执中，仅以内存态参与鉴权。该设计使高频批量上报在安全前提下保持低延迟，同时不牺牲可审计性。</w:t>
      </w:r>
    </w:p>
    <w:p>
      <w:pPr>
        <w:pStyle w:val="Heading2"/>
      </w:pPr>
      <w:r>
        <w:t>6.4 组合接口：单次调用闭环</w:t>
      </w:r>
    </w:p>
    <w:p>
      <w:pPr>
        <w:pStyle w:val="BodyText"/>
      </w:pPr>
      <w:r>
        <w:t>工程提供「握手 → 批量锚定 → 汇总」的组合接口，将完整流程封装为一次调用：启动即核验身份与账本，随后批量执行去重、上报与落账校验，最后返回包含回执、跳过与失败清单的汇总结果。该封装显著降低调用方复杂度，使每日例行喂料等高频场景可以无人值守地闭环执行。</w:t>
      </w:r>
    </w:p>
    <w:p>
      <w:pPr>
        <w:pStyle w:val="Heading2"/>
      </w:pPr>
      <w:r>
        <w:t>6.5 解耦收益</w:t>
      </w:r>
    </w:p>
    <w:p>
      <w:pPr>
        <w:pStyle w:val="ListBullet"/>
      </w:pPr>
      <w:r>
        <w:t>上层只依赖六类端口抽象，可在离线环境先验证逻辑，再切换真实账本。</w:t>
      </w:r>
    </w:p>
    <w:p>
      <w:pPr>
        <w:pStyle w:val="ListBullet"/>
      </w:pPr>
      <w:r>
        <w:t>可在不触碰生产账本的前提下用测试桩验证流程。</w:t>
      </w:r>
    </w:p>
    <w:p>
      <w:pPr>
        <w:pStyle w:val="ListBullet"/>
      </w:pPr>
      <w:r>
        <w:t>实现可替换：主端点升级、迁移或更换服务商时，仅需调整端点配置。</w:t>
      </w:r>
    </w:p>
    <w:p>
      <w:pPr>
        <w:pStyle w:val="Heading1"/>
      </w:pPr>
      <w:r>
        <w:t>7. 云端账本与自动上报</w:t>
      </w:r>
    </w:p>
    <w:p>
      <w:pPr>
        <w:pStyle w:val="Heading2"/>
      </w:pPr>
      <w:r>
        <w:t>7.1 双向握手三步核验</w:t>
      </w:r>
    </w:p>
    <w:p>
      <w:pPr>
        <w:pStyle w:val="BodyText"/>
      </w:pPr>
      <w:r>
        <w:t>每次自动上报启动前，先执行三步双向握手，全部通过才允许写入：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活性与身份核验</w:t>
      </w:r>
      <w:r>
        <w:t>：查询状态接口，校验服务活性标识、服务标识与配置的 DID 一致，记录当前计数、Merkle 根与版本。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账本完整性核验</w:t>
      </w:r>
      <w:r>
        <w:t>：调用完整性接口，重算 Merkle 根并与存储根比对，仅在一致结论下继续。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本地-云端同步状态核验</w:t>
      </w:r>
      <w:r>
        <w:t>：拉取同步状态资源，核对本地指标与云端计数是否一致；发现差异仅记录告警、不覆盖，交由人工核对（并发节点写入导致的计数增长属正常现象）。</w:t>
      </w:r>
    </w:p>
    <w:p>
      <w:pPr>
        <w:pStyle w:val="Heading2"/>
      </w:pPr>
      <w:r>
        <w:t>7.2 上报协议</w:t>
      </w:r>
    </w:p>
    <w:p>
      <w:pPr>
        <w:pStyle w:val="BodyText"/>
      </w:pPr>
      <w:r>
        <w:t>上报以 JSON 载荷逐条提交，每条含唯一键与真值内容。成功判据为：服务端返回写入成功消息且账本计数有效增长。不满足判据的条目视为失败，自动切换备用端点重试。</w:t>
      </w:r>
    </w:p>
    <w:p>
      <w:pPr>
        <w:pStyle w:val="Heading2"/>
      </w:pPr>
      <w:r>
        <w:t>7.3 幂等去重</w:t>
      </w:r>
    </w:p>
    <w:p>
      <w:pPr>
        <w:pStyle w:val="BodyText"/>
      </w:pPr>
      <w:r>
        <w:t>上报前按 key 前缀只读检索既有条目，已存在的键自动跳过。当单次检索达到分页上限时，按子前缀多轮分片拉取并合并去重。该机制保证：</w:t>
      </w:r>
    </w:p>
    <w:p>
      <w:pPr>
        <w:pStyle w:val="ListBullet"/>
      </w:pPr>
      <w:r>
        <w:t>重复调度不会产生重复账本条目；</w:t>
      </w:r>
    </w:p>
    <w:p>
      <w:pPr>
        <w:pStyle w:val="ListBullet"/>
      </w:pPr>
      <w:r>
        <w:t>并发节点同时上报同一日期域时不互相覆盖；</w:t>
      </w:r>
    </w:p>
    <w:p>
      <w:pPr>
        <w:pStyle w:val="ListBullet"/>
      </w:pPr>
      <w:r>
        <w:t>重试天然安全，可随时中断再续。</w:t>
      </w:r>
    </w:p>
    <w:p>
      <w:pPr>
        <w:pStyle w:val="Heading2"/>
      </w:pPr>
      <w:r>
        <w:t>7.4 容错</w:t>
      </w:r>
    </w:p>
    <w:p>
      <w:pPr>
        <w:pStyle w:val="ListBullet"/>
      </w:pPr>
      <w:r>
        <w:rPr>
          <w:b/>
        </w:rPr>
        <w:t>主备切换</w:t>
      </w:r>
      <w:r>
        <w:t>：请求失败按主端点 → 备用端点顺序重试，每端点限次，指数退避。</w:t>
      </w:r>
    </w:p>
    <w:p>
      <w:pPr>
        <w:pStyle w:val="ListBullet"/>
      </w:pPr>
      <w:r>
        <w:rPr>
          <w:b/>
        </w:rPr>
        <w:t>失败不阻塞</w:t>
      </w:r>
      <w:r>
        <w:t>：个别条目上报失败仅记录失败清单，不影响其余真值继续上报。</w:t>
      </w:r>
    </w:p>
    <w:p>
      <w:pPr>
        <w:pStyle w:val="ListBullet"/>
      </w:pPr>
      <w:r>
        <w:rPr>
          <w:b/>
        </w:rPr>
        <w:t>带病拒写</w:t>
      </w:r>
      <w:r>
        <w:t>：握手失败、Merkle 不一致或身份锚定不匹配时拒绝写入，宁可不写也不写错。</w:t>
      </w:r>
    </w:p>
    <w:p>
      <w:pPr>
        <w:pStyle w:val="Heading2"/>
      </w:pPr>
      <w:r>
        <w:t>7.5 落账校验与本地审计回执</w:t>
      </w:r>
    </w:p>
    <w:p>
      <w:pPr>
        <w:pStyle w:val="BodyText"/>
      </w:pPr>
      <w:r>
        <w:t>上报完成后立即执行落账校验：再次请求完整性校验，比对 Merkle 一致性与账本计数增量，确认每条真值确实入账。随后在本地落盘审计回执，记录 DID、序号回执、跳过与失败清单、完整性校验结果，供后续审计与语义闭环校验使用。整个流程形成「写入 → 验证 → 留痕」的闭环。</w:t>
      </w:r>
    </w:p>
    <w:p>
      <w:pPr>
        <w:pStyle w:val="Heading1"/>
      </w:pPr>
      <w:r>
        <w:t>8. 真值进化机制</w:t>
      </w:r>
    </w:p>
    <w:p>
      <w:pPr>
        <w:pStyle w:val="Heading2"/>
      </w:pPr>
      <w:r>
        <w:t>8.1 四步闭环</w:t>
      </w:r>
    </w:p>
    <w:p>
      <w:pPr>
        <w:pStyle w:val="BodyText"/>
      </w:pPr>
      <w:r>
        <w:t>真值库的进化遵循固定闭环：</w:t>
      </w:r>
      <w:r>
        <w:rPr>
          <w:b/>
        </w:rPr>
        <w:t>去重 → 修订 → 权重演化 → 反馈</w:t>
      </w:r>
      <w:r>
        <w:t>。</w:t>
      </w:r>
    </w:p>
    <w:p>
      <w:pPr>
        <w:pStyle w:val="ListBullet"/>
      </w:pPr>
      <w:r>
        <w:t>去重：以语义指纹合并重复断言，压缩冗余。</w:t>
      </w:r>
    </w:p>
    <w:p>
      <w:pPr>
        <w:pStyle w:val="ListBullet"/>
      </w:pPr>
      <w:r>
        <w:t>修订：对冲突或演进的内容执行修订重锚，保留修订轨迹。</w:t>
      </w:r>
    </w:p>
    <w:p>
      <w:pPr>
        <w:pStyle w:val="ListBullet"/>
      </w:pPr>
      <w:r>
        <w:t>权重演化：依据来源数量与稳定性调整真值权重。</w:t>
      </w:r>
    </w:p>
    <w:p>
      <w:pPr>
        <w:pStyle w:val="ListBullet"/>
      </w:pPr>
      <w:r>
        <w:t>反馈：将置信度回传至阈值与遗忘速率，反向调节进化节奏。</w:t>
      </w:r>
    </w:p>
    <w:p>
      <w:pPr>
        <w:pStyle w:val="Heading2"/>
      </w:pPr>
      <w:r>
        <w:t>8.2 语义冲突处理</w:t>
      </w:r>
    </w:p>
    <w:p>
      <w:pPr>
        <w:pStyle w:val="BodyText"/>
      </w:pPr>
      <w:r>
        <w:t>当两条断言语义指纹相同而内容不同时，视为语义冲突。处置原则为：</w:t>
      </w:r>
      <w:r>
        <w:rPr>
          <w:b/>
        </w:rPr>
        <w:t>账本权威优先</w:t>
      </w:r>
      <w:r>
        <w:t>——以已入账条目为准，新表述作为修订版本写入，并携带修订原因与证据（reason/evidence）一同入账，保证整个修订过程可审计、可回放。</w:t>
      </w:r>
    </w:p>
    <w:p>
      <w:pPr>
        <w:pStyle w:val="Heading2"/>
      </w:pPr>
      <w:r>
        <w:t>8.3 权重演化规则</w:t>
      </w:r>
    </w:p>
    <w:p>
      <w:pPr>
        <w:pStyle w:val="ListBullet"/>
      </w:pPr>
      <w:r>
        <w:t>多来源在时间窗口内连续锚定同一真值，权重逐级上调。</w:t>
      </w:r>
    </w:p>
    <w:p>
      <w:pPr>
        <w:pStyle w:val="ListBullet"/>
      </w:pPr>
      <w:r>
        <w:t>同一真值反复修订，权重自动下调并标记待核查。</w:t>
      </w:r>
    </w:p>
    <w:p>
      <w:pPr>
        <w:pStyle w:val="ListBullet"/>
      </w:pPr>
      <w:r>
        <w:t>权重达到阈值下限的真值进入人工复核队列，避免低质量真值长期为高权重。</w:t>
      </w:r>
    </w:p>
    <w:p>
      <w:pPr>
        <w:pStyle w:val="Heading2"/>
      </w:pPr>
      <w:r>
        <w:t>8.4 反馈自校准</w:t>
      </w:r>
    </w:p>
    <w:p>
      <w:pPr>
        <w:pStyle w:val="BodyText"/>
      </w:pPr>
      <w:r>
        <w:t>置信度回传后，系统动态调整判定阈值与遗忘速率：进化的速率越快，稳态约束越紧，防止真值体系在信息洪流中失稳。该机制使真值库在「充分吸收证据」与「保持语义稳定」之间自动取得平衡。</w:t>
      </w:r>
    </w:p>
    <w:p>
      <w:pPr>
        <w:pStyle w:val="Heading1"/>
      </w:pPr>
      <w:r>
        <w:t>9. 端到端数据流</w:t>
      </w:r>
    </w:p>
    <w:p>
      <w:pPr>
        <w:pStyle w:val="Heading2"/>
      </w:pPr>
      <w:r>
        <w:t>9.1 八步链</w:t>
      </w:r>
    </w:p>
    <w:p>
      <w:pPr>
        <w:pStyle w:val="BodyText"/>
      </w:pPr>
      <w:r>
        <w:t>一条真值从感知到固化完整经历八个环节：</w:t>
      </w:r>
      <w:r>
        <w:rPr>
          <w:b/>
        </w:rPr>
        <w:t>感知 → 提炼 → 锚定 → 判定 → 上报 → 回传 → 沉淀 → 进化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步骤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动作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产出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1 感知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从多路信息源采集事件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事件素材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2 提炼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抽取结构化断言六元组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断言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3 锚定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校验字段并计算语义指纹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指纹化断言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4 判定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检索账本后落入四分支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判定结果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5 上报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经握手与去重写入账本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账本回执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6 回传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校验结果与置信度回传本地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本地更新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7 沉淀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模式进入长期记忆，形成只读镜像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稳定真值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8 进化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权重演化与反馈自校准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进化后的真值体系</w:t>
            </w:r>
          </w:p>
        </w:tc>
      </w:tr>
    </w:tbl>
    <w:p>
      <w:pPr>
        <w:pStyle w:val="Heading2"/>
      </w:pPr>
      <w:r>
        <w:t>9.2 每日例行喂料场景</w:t>
      </w:r>
    </w:p>
    <w:p>
      <w:pPr>
        <w:pStyle w:val="BodyText"/>
      </w:pPr>
      <w:r>
        <w:t>以每日例行喂料为例：系统按六个维度并发采集 24 小时内的 AI 相关事件，提炼为结构化断言，经四分支判定落定，批量上报并落账校验，最后将当日模式沉淀至长期记忆。该场景完整覆盖八步链，是检验真值库整体链路的标准用例。</w:t>
      </w:r>
    </w:p>
    <w:p>
      <w:pPr>
        <w:pStyle w:val="Heading1"/>
      </w:pPr>
      <w:r>
        <w:t>10. 安全与治理</w:t>
      </w:r>
    </w:p>
    <w:p>
      <w:pPr>
        <w:pStyle w:val="Heading2"/>
      </w:pPr>
      <w:r>
        <w:t>10.1 认证与防伪</w:t>
      </w:r>
    </w:p>
    <w:p>
      <w:pPr>
        <w:pStyle w:val="ListBullet"/>
      </w:pPr>
      <w:r>
        <w:t>请求通过单头身份认证承载 DID，令牌零明文、不落盘。</w:t>
      </w:r>
    </w:p>
    <w:p>
      <w:pPr>
        <w:pStyle w:val="ListBullet"/>
      </w:pPr>
      <w:r>
        <w:t>服务端核验身份锚定与请求方 DID 一致，防止伪造节点写入。</w:t>
      </w:r>
    </w:p>
    <w:p>
      <w:pPr>
        <w:pStyle w:val="Heading2"/>
      </w:pPr>
      <w:r>
        <w:t>10.2 审计与不可篡改</w:t>
      </w:r>
    </w:p>
    <w:p>
      <w:pPr>
        <w:pStyle w:val="BodyText"/>
      </w:pPr>
      <w:r>
        <w:t>账本采用 Merkle-DAG 只追加结构，任何对既有条目的篡改都会破坏 Merkle 一致性，并被完整性校验捕获。写入、修订、跳过与失败全程留痕，全链路可审计。</w:t>
      </w:r>
    </w:p>
    <w:p>
      <w:pPr>
        <w:pStyle w:val="Heading2"/>
      </w:pPr>
      <w:r>
        <w:t>10.3 风险保守策略</w:t>
      </w:r>
    </w:p>
    <w:p>
      <w:pPr>
        <w:pStyle w:val="ListBullet"/>
      </w:pPr>
      <w:r>
        <w:rPr>
          <w:b/>
        </w:rPr>
        <w:t>故障优先锁止</w:t>
      </w:r>
      <w:r>
        <w:t>：握手或完整性校验失败时拒绝写入，不降级、不绕过。</w:t>
      </w:r>
    </w:p>
    <w:p>
      <w:pPr>
        <w:pStyle w:val="ListBullet"/>
      </w:pPr>
      <w:r>
        <w:rPr>
          <w:b/>
        </w:rPr>
        <w:t>越层直接拦截</w:t>
      </w:r>
      <w:r>
        <w:t>：未经验证的断言不得直接进入权威层。</w:t>
      </w:r>
    </w:p>
    <w:p>
      <w:pPr>
        <w:pStyle w:val="ListBullet"/>
      </w:pPr>
      <w:r>
        <w:rPr>
          <w:b/>
        </w:rPr>
        <w:t>高风险人工审批</w:t>
      </w:r>
      <w:r>
        <w:t>：高影响操作（如批量修订、删除级处置）保留人工审批通道。</w:t>
      </w:r>
    </w:p>
    <w:p>
      <w:pPr>
        <w:pStyle w:val="ListBullet"/>
      </w:pPr>
      <w:r>
        <w:rPr>
          <w:b/>
        </w:rPr>
        <w:t>幂等校验失败拒绝写入</w:t>
      </w:r>
      <w:r>
        <w:t>：去重与幂等检查未通过时拒绝写入，防止重复或冲突固化。</w:t>
      </w:r>
    </w:p>
    <w:p>
      <w:pPr>
        <w:pStyle w:val="Heading2"/>
      </w:pPr>
      <w:r>
        <w:t>10.4 隐私与数据边界</w:t>
      </w:r>
    </w:p>
    <w:p>
      <w:pPr>
        <w:pStyle w:val="ListBullet"/>
      </w:pPr>
      <w:r>
        <w:t>跨域流通的只是提炼后的语义真值，原始上下文不出域。</w:t>
      </w:r>
    </w:p>
    <w:p>
      <w:pPr>
        <w:pStyle w:val="ListBullet"/>
      </w:pPr>
      <w:r>
        <w:t>多租户场景按身份隔离，节点之间互不可见私有数据。</w:t>
      </w:r>
    </w:p>
    <w:p>
      <w:pPr>
        <w:pStyle w:val="ListBullet"/>
      </w:pPr>
      <w:r>
        <w:t>公开可引用内容与内部运行数据分层管理，杜绝敏感信息随真值外泄。</w:t>
      </w:r>
    </w:p>
    <w:p>
      <w:pPr>
        <w:pStyle w:val="Heading2"/>
      </w:pPr>
      <w:r>
        <w:t>10.5 可信发布原则</w:t>
      </w:r>
    </w:p>
    <w:p>
      <w:pPr>
        <w:pStyle w:val="ListBullet"/>
      </w:pPr>
      <w:r>
        <w:t>禁止以单点标量对外发布结论：关键指标必须附账本一致性校验结果。</w:t>
      </w:r>
    </w:p>
    <w:p>
      <w:pPr>
        <w:pStyle w:val="ListBullet"/>
      </w:pPr>
      <w:r>
        <w:t>禁止隐藏配置方差：报告发布时必须如实披露配置口径与适用范围，不得以美化口径掩盖实现差异。</w:t>
      </w:r>
    </w:p>
    <w:p>
      <w:pPr>
        <w:pStyle w:val="Heading1"/>
      </w:pPr>
      <w:r>
        <w:t>11. 集成与生态</w:t>
      </w:r>
    </w:p>
    <w:p>
      <w:pPr>
        <w:pStyle w:val="Heading2"/>
      </w:pPr>
      <w:r>
        <w:t>11.1 与既有组件映射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既有组件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在真值库中的角色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云端账本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真值权威：固化、校验、审计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接口工程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锚定网关：握手、锚定、上报、容错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本地持久层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记忆网关：短期/长期记忆与本地状态维护</w:t>
            </w:r>
          </w:p>
        </w:tc>
      </w:tr>
    </w:tbl>
    <w:p>
      <w:pPr>
        <w:pStyle w:val="Heading2"/>
      </w:pPr>
      <w:r>
        <w:t>11.2 适用场景</w:t>
      </w:r>
    </w:p>
    <w:p>
      <w:pPr>
        <w:pStyle w:val="ListBullet"/>
      </w:pPr>
      <w:r>
        <w:rPr>
          <w:b/>
        </w:rPr>
        <w:t>每日种子真值喂料</w:t>
      </w:r>
      <w:r>
        <w:t>：定时从外部信息源提炼真值并自动固化。</w:t>
      </w:r>
    </w:p>
    <w:p>
      <w:pPr>
        <w:pStyle w:val="ListBullet"/>
      </w:pPr>
      <w:r>
        <w:rPr>
          <w:b/>
        </w:rPr>
        <w:t>语义闭环上报</w:t>
      </w:r>
      <w:r>
        <w:t>：将已沉淀的语义结论显式上报并落账校验。</w:t>
      </w:r>
    </w:p>
    <w:p>
      <w:pPr>
        <w:pStyle w:val="ListBullet"/>
      </w:pPr>
      <w:r>
        <w:rPr>
          <w:b/>
        </w:rPr>
        <w:t>身份节点注册</w:t>
      </w:r>
      <w:r>
        <w:t>：节点以标准化键注册身份与种子真值锚点。</w:t>
      </w:r>
    </w:p>
    <w:p>
      <w:pPr>
        <w:pStyle w:val="ListBullet"/>
      </w:pPr>
      <w:r>
        <w:rPr>
          <w:b/>
        </w:rPr>
        <w:t>架构校验与审计</w:t>
      </w:r>
      <w:r>
        <w:t>：以账本完整性校验与审计回执支撑架构层面的核验。</w:t>
      </w:r>
    </w:p>
    <w:p>
      <w:pPr>
        <w:pStyle w:val="Heading1"/>
      </w:pPr>
      <w:r>
        <w:t>12. 总结与展望</w:t>
      </w:r>
    </w:p>
    <w:p>
      <w:pPr>
        <w:pStyle w:val="Heading2"/>
      </w:pPr>
      <w:r>
        <w:t>12.1 主张回顾</w:t>
      </w:r>
    </w:p>
    <w:p>
      <w:pPr>
        <w:pStyle w:val="BodyText"/>
      </w:pPr>
      <w:r>
        <w:t>本白皮书阐述了真值库作为自治系统真值记忆基础设施的完整架构：三层记忆模型管理易失性梯度，语义指纹与四分支判定实现可复核的锚定，网关接口层解耦本地与云端，Merkle-DAG 账本与双向握手、幂等去重、落账校验共同保证真值的不可漂移与权威收敛，进化闭环则让真值体系在证据积累中持续自校准。</w:t>
      </w:r>
    </w:p>
    <w:p>
      <w:pPr>
        <w:pStyle w:val="Heading2"/>
      </w:pPr>
      <w:r>
        <w:t>12.2 未来方向</w:t>
      </w:r>
    </w:p>
    <w:p>
      <w:pPr>
        <w:pStyle w:val="ListBullet"/>
      </w:pPr>
      <w:r>
        <w:rPr>
          <w:b/>
        </w:rPr>
        <w:t>权重演化精细化</w:t>
      </w:r>
      <w:r>
        <w:t>：引入更细粒度的时效衰减与来源可信度度量。</w:t>
      </w:r>
    </w:p>
    <w:p>
      <w:pPr>
        <w:pStyle w:val="ListBullet"/>
      </w:pPr>
      <w:r>
        <w:rPr>
          <w:b/>
        </w:rPr>
        <w:t>跨节点语义闭环</w:t>
      </w:r>
      <w:r>
        <w:t>：打通多节点之间的真值共识与冲突仲裁。</w:t>
      </w:r>
    </w:p>
    <w:p>
      <w:pPr>
        <w:pStyle w:val="ListBullet"/>
      </w:pPr>
      <w:r>
        <w:rPr>
          <w:b/>
        </w:rPr>
        <w:t>可解释锚定审计</w:t>
      </w:r>
      <w:r>
        <w:t>：将判定理由可视化，服务合规与审计需求。</w:t>
      </w:r>
    </w:p>
    <w:p>
      <w:pPr>
        <w:pStyle w:val="ListBullet"/>
      </w:pPr>
      <w:r>
        <w:rPr>
          <w:b/>
        </w:rPr>
        <w:t>更大规模可信证据网络</w:t>
      </w:r>
      <w:r>
        <w:t>：扩展至更多信息源与更多节点的可信证据协同。</w:t>
      </w:r>
    </w:p>
    <w:p>
      <w:pPr>
        <w:pStyle w:val="Heading1"/>
      </w:pPr>
      <w:r>
        <w:t>附录 A 锚定判定术语表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术语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定义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断言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待升格为真值的结构化论断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语义指纹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归一化事件与时间计算得到的定长标识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锚定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将断言固化到账本并赋予权威性的过程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幂等去重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对已存在键自动跳过、不重复写入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落账校验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上报后再次校验 Merkle 一致性与计数增量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置信度回传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将判定置信与校验结果反馈回本地并驱动自校准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权重演化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依据来源与稳定性调整真值权重的机制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双向握手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上报前完成活性、完整性与同步状态三步核验</w:t>
            </w:r>
          </w:p>
        </w:tc>
      </w:tr>
    </w:tbl>
    <w:p>
      <w:pPr>
        <w:pStyle w:val="Heading1"/>
      </w:pPr>
      <w:r>
        <w:t>附录 B 参考文档清单</w:t>
      </w:r>
    </w:p>
    <w:p>
      <w:pPr>
        <w:pStyle w:val="ListBullet"/>
      </w:pPr>
      <w:r>
        <w:t>自治系统记忆网关真值库架构设计报告</w:t>
      </w:r>
    </w:p>
    <w:p>
      <w:pPr>
        <w:pStyle w:val="ListBullet"/>
      </w:pPr>
      <w:r>
        <w:t>真值库接口工程说明（锚定网关接口层设计）</w:t>
      </w:r>
    </w:p>
    <w:p>
      <w:pPr>
        <w:pStyle w:val="ListBullet"/>
      </w:pPr>
      <w:r>
        <w:t>种子真值自动上报机制说明（双向握手与自动上报设计文档）</w:t>
      </w:r>
    </w:p>
    <w:p>
      <w:pPr>
        <w:pStyle w:val="ListBullet"/>
      </w:pPr>
      <w:r>
        <w:t>种子真值公理体系相关文档</w:t>
      </w:r>
    </w:p>
    <w:p>
      <w:pPr>
        <w:pStyle w:val="ListBullet"/>
      </w:pPr>
      <w:r>
        <w:t>本地持久层目录与状态文件说明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 w:num="1"/>
      <w:vAlign w:val="top"/>
      <w:docGrid w:linePitch="360"/>
    </w:sectPr>
    <w:p>
      <w:pPr>
        <w:jc w:val="left"/>
      </w:pPr>
      <w:r>
        <w:rPr>
          <w:sz w:val="18"/>
        </w:rPr>
        <w:t>DuMate AI生成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0"/>
    </w:pPr>
    <w:rPr>
      <w:rFonts w:ascii="Calibri" w:hAnsi="Calibri" w:eastAsia="Microsoft YaHe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1A23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Arial" w:hAnsi="Arial" w:eastAsia="Microsoft YaHei"/>
      <w:b/>
      <w:color w:val="1A237E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Arial" w:hAnsi="Arial" w:eastAsia="Microsoft YaHei"/>
      <w:b/>
      <w:i/>
      <w:iCs/>
      <w:color w:val="1A237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1A237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1A23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0"/>
    </w:pPr>
    <w:rPr>
      <w:rFonts w:ascii="Calibri" w:hAnsi="Calibri" w:eastAsia="Microsoft YaHei"/>
      <w:color w:val="212121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Microsoft YaHei"/>
      <w:b/>
      <w:bCs/>
      <w:i/>
      <w:iCs/>
      <w:color w:val="21212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/>
      <w:color w:val="1A237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真值库架构体系技术白皮书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"19f04a31-a46a-4600-8eb1-e2a59f9fd7be", "ReservedCode1": "72dafc97cd38b92e5f3d5cdfd0dfbbe6", "ContentPropagator": "001191110000802100433B11010001191110000802100433B11010", "PropagateID": "a65edee5-46a8-482b-bfbb-02a1042027a7", "ReservedCode2": "2734827274df537123a472bf4de01eb5"}</vt:lpwstr>
  </property>
</Properties>
</file>