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5b9bd5"/>
          <w:highlight w:val="white"/>
          <w:rtl w:val="0"/>
        </w:rPr>
        <w:t xml:space="preserve">                                                      .</w:t>
      </w:r>
      <w:r w:rsidDel="00000000" w:rsidR="00000000" w:rsidRPr="00000000">
        <w:rPr>
          <w:rFonts w:ascii="Arial" w:cs="Arial" w:eastAsia="Arial" w:hAnsi="Arial"/>
          <w:color w:val="000000"/>
          <w:highlight w:val="white"/>
        </w:rPr>
        <w:drawing>
          <wp:inline distB="0" distT="0" distL="0" distR="0">
            <wp:extent cx="1764030" cy="351155"/>
            <wp:effectExtent b="0" l="0" r="0" t="0"/>
            <wp:docPr descr="/var/folders/39/fyn475bj5jg8m7rnyy9wvc9rd5vtmh/T/com.microsoft.Word/Content.MSO/C59EB9B8.tmp" id="1945825790" name="image1.png"/>
            <a:graphic>
              <a:graphicData uri="http://schemas.openxmlformats.org/drawingml/2006/picture">
                <pic:pic>
                  <pic:nvPicPr>
                    <pic:cNvPr descr="/var/folders/39/fyn475bj5jg8m7rnyy9wvc9rd5vtmh/T/com.microsoft.Word/Content.MSO/C59EB9B8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35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Philosophy of Teaching and Learning – Digital Vision Board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Early Childhood Education, Humber Polytechnic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ECE 245 0NC The Reflective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highlight w:val="white"/>
          <w:rtl w:val="0"/>
        </w:rPr>
        <w:t xml:space="preserve">Modesta Colalillo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October 12th,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 I have maintained Academic Integrity in my work by adhering to the values of honesty and integrity. I declare that this work respects APA requirements as well as policies within the Faculty of Health Sciences &amp; Wellness.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Student’s Digital Signature: Minh Thu 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Student Number: N01645898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Audio link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https://drive.google.com/file/d/1ZqfywJRDyUpNdYMPzldkG2NUkSAP5yPi/view?usp=sharing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Stacey, S. (2018). Inquiry-Based Early Learning Environments : Creating, Supporting, and Collaborating. Redleaf Press.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Siraj, I. (n.d.).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Emergent and Inquiry-based Curriculum Approach in Early Childhood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highlight w:val="white"/>
            <w:u w:val="single"/>
            <w:rtl w:val="0"/>
          </w:rPr>
          <w:t xml:space="preserve">https://ncca.ie/media/kcugefoz/an-emergent-and-inquiry-based-curriculum-approach-in-early-childhood.pdf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an emergent curriculum?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(2021). Lillio.com.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https://www.lillio.com/blog/what-is-emergent-curriculum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Zhou, X. (2024).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Sociocultural Theory in Early Childhood Education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ResearchGate; EWA Publishing.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https://www.researchgate.net/publication/380209252_Sociocultural_Theory_in_Early_Childhood_Education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68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68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68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68E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68E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68E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68E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68E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68E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68E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68E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68E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68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68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68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68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68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68E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68E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68E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68E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8F68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tab-span" w:customStyle="1">
    <w:name w:val="apple-tab-span"/>
    <w:basedOn w:val="DefaultParagraphFont"/>
    <w:rsid w:val="008F68E6"/>
  </w:style>
  <w:style w:type="character" w:styleId="apple-converted-space" w:customStyle="1">
    <w:name w:val="apple-converted-space"/>
    <w:basedOn w:val="DefaultParagraphFont"/>
    <w:rsid w:val="00004105"/>
  </w:style>
  <w:style w:type="character" w:styleId="Hyperlink">
    <w:name w:val="Hyperlink"/>
    <w:basedOn w:val="DefaultParagraphFont"/>
    <w:uiPriority w:val="99"/>
    <w:unhideWhenUsed w:val="1"/>
    <w:rsid w:val="00004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0410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04105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searchgate.net/publication/380209252_Sociocultural_Theory_in_Early_Childhood_Education" TargetMode="External"/><Relationship Id="rId10" Type="http://schemas.openxmlformats.org/officeDocument/2006/relationships/hyperlink" Target="https://www.lillio.com/blog/what-is-emergent-curriculum" TargetMode="External"/><Relationship Id="rId9" Type="http://schemas.openxmlformats.org/officeDocument/2006/relationships/hyperlink" Target="https://ncca.ie/media/kcugefoz/an-emergent-and-inquiry-based-curriculum-approach-in-early-childhood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ZqfywJRDyUpNdYMPzldkG2NUkSAP5yPi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KXYNCiVvWYjhFWg7JpfCuPjb1Q==">CgMxLjA4AHIhMThVTDg1ODVQeHJ0UkdOTHVXcllOaEJlQ1BJM2Z6S3hf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2025-10-12T03:37:00Z</dcterms:created>
  <dc:creator>Minh Thu Ho</dc:creator>
</cp:coreProperties>
</file>