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b/>
          <w:bCs/>
          <w:sz w:val="28"/>
          <w:szCs w:val="28"/>
          <w:u w:val="single" w:color="auto"/>
          <w:lang w:val="en-US"/>
        </w:rPr>
      </w:pPr>
      <w:r>
        <w:rPr>
          <w:rFonts w:hint="default"/>
          <w:b/>
          <w:bCs/>
          <w:sz w:val="28"/>
          <w:szCs w:val="28"/>
          <w:u w:val="single" w:color="auto"/>
          <w:lang w:val="en-US"/>
        </w:rPr>
        <w:t>Task 1</w:t>
      </w:r>
    </w:p>
    <w:p>
      <w:pPr>
        <w:rPr>
          <w:rFonts w:hint="default"/>
          <w:lang w:val="en-US"/>
        </w:rPr>
      </w:pPr>
      <w:r>
        <w:rPr>
          <w:rFonts w:hint="default"/>
          <w:lang w:val="en-US"/>
        </w:rPr>
        <w:t>1.</w:t>
      </w:r>
    </w:p>
    <w:p>
      <w:pPr>
        <w:rPr>
          <w:rFonts w:hint="default"/>
          <w:lang w:val="en-US"/>
        </w:rPr>
      </w:pPr>
      <w:r>
        <w:rPr>
          <w:rFonts w:hint="default"/>
          <w:lang w:val="en-US"/>
        </w:rPr>
        <w:t>We have to simulate Geometric Brownian Motion (GBM) in the first part of the task 1. The equation of the brownian motion is  dS(t) = 0.1dt + 0.26dB(t) and S(0) = 39. We have simulated 1000 runs to get the results. The following figure is the plot of the five realizations of GBM.</w:t>
      </w:r>
    </w:p>
    <w:p>
      <w:pPr>
        <w:rPr>
          <w:rFonts w:hint="default"/>
          <w:lang w:val="en-US"/>
        </w:rPr>
      </w:pPr>
      <w:r>
        <w:rPr>
          <w:rFonts w:hint="default" w:ascii="Calibri" w:hAnsi="Calibri" w:eastAsia="Calibri"/>
          <w:sz w:val="22"/>
          <w:szCs w:val="22"/>
          <w:lang w:val="en-US" w:eastAsia="en-US" w:bidi="ar-SA"/>
        </w:rPr>
        <w:pict>
          <v:shape id="Picture 3" o:spid="_x0000_s1026" type="#_x0000_t75" style="height:349.05pt;width:467.7pt;rotation:0f;" o:ole="f" fillcolor="#FFFFFF" filled="f" o:preferrelative="t" stroked="f" coordorigin="0,0" coordsize="21600,21600">
            <v:fill on="f" color2="#FFFFFF" focus="0%"/>
            <v:imagedata gain="65536f" blacklevel="0f" gamma="0" o:title="figure1" r:id="rId5"/>
            <o:lock v:ext="edit" position="f" selection="f" grouping="f" rotation="f" cropping="f" text="f" aspectratio="t"/>
            <w10:wrap type="none"/>
            <w10:anchorlock/>
          </v:shape>
        </w:pict>
      </w:r>
    </w:p>
    <w:p>
      <w:pPr>
        <w:rPr>
          <w:rFonts w:hint="default"/>
          <w:lang w:val="en-US"/>
        </w:rPr>
      </w:pPr>
      <w:r>
        <w:rPr>
          <w:rFonts w:hint="default"/>
          <w:lang w:val="en-US"/>
        </w:rPr>
        <w:t>E(S3) = 49.2613347026</w:t>
      </w:r>
    </w:p>
    <w:p>
      <w:pPr>
        <w:rPr>
          <w:rFonts w:hint="default"/>
          <w:lang w:val="en-US"/>
        </w:rPr>
      </w:pPr>
      <w:r>
        <w:rPr>
          <w:rFonts w:hint="default"/>
          <w:lang w:val="en-US"/>
        </w:rPr>
        <w:t>Var(S3) = 166.257749618</w:t>
      </w:r>
    </w:p>
    <w:p>
      <w:pPr>
        <w:rPr>
          <w:rFonts w:hint="default"/>
          <w:lang w:val="en-US"/>
        </w:rPr>
      </w:pPr>
      <w:r>
        <w:rPr>
          <w:rFonts w:hint="default"/>
          <w:lang w:val="en-US"/>
        </w:rPr>
        <w:t>P[S(3)&gt;39] = 0.772</w:t>
      </w:r>
    </w:p>
    <w:p>
      <w:pPr>
        <w:rPr>
          <w:rFonts w:hint="default"/>
          <w:lang w:val="en-US"/>
        </w:rPr>
      </w:pPr>
      <w:r>
        <w:rPr>
          <w:rFonts w:hint="default"/>
          <w:lang w:val="en-US"/>
        </w:rPr>
        <w:t>E[S(3)|S(3)&gt;39] = 53.8540030889</w:t>
      </w:r>
    </w:p>
    <w:p>
      <w:pPr>
        <w:rPr>
          <w:rFonts w:hint="default"/>
          <w:lang w:val="en-US"/>
        </w:rPr>
      </w:pPr>
      <w:r>
        <w:rPr>
          <w:rFonts w:hint="default"/>
          <w:lang w:val="en-US"/>
        </w:rPr>
        <w:t xml:space="preserve">Apart from that, we also have to calculate expectation value and the variance of S(3). Numpy function, np.mean is used to find the expectation value of S(3)  and np.var is used to obtain the variance of S(3). </w:t>
      </w:r>
    </w:p>
    <w:p>
      <w:pPr>
        <w:rPr>
          <w:rFonts w:hint="default"/>
          <w:lang w:val="en-US"/>
        </w:rPr>
      </w:pPr>
      <w:r>
        <w:rPr>
          <w:rFonts w:hint="default"/>
          <w:lang w:val="en-US"/>
        </w:rPr>
        <w:t>Next, in order to calculate the probability of S(3) greater than 39, P[S(3) &gt; 39], we form a new matrix consists of true false element (1 and 0)  and sum up the total number of path that exceeds 39, then divided by the length of values that are greater than 39.</w:t>
      </w:r>
    </w:p>
    <w:p>
      <w:pPr>
        <w:rPr>
          <w:rFonts w:hint="default"/>
          <w:lang w:val="en-US"/>
        </w:rPr>
      </w:pPr>
      <w:r>
        <w:rPr>
          <w:rFonts w:hint="default"/>
          <w:lang w:val="en-US"/>
        </w:rPr>
        <w:t>Then, the new matrix formed above is multiplying with the original matrix, get the sum and divided by the sum of S(3) greater than 39 (the new matrix formed above).</w:t>
      </w:r>
    </w:p>
    <w:p>
      <w:pPr>
        <w:rPr>
          <w:rFonts w:hint="default"/>
          <w:lang w:val="en-US"/>
        </w:rPr>
      </w:pPr>
    </w:p>
    <w:p>
      <w:pPr>
        <w:rPr>
          <w:rFonts w:hint="default"/>
          <w:lang w:val="en-US"/>
        </w:rPr>
      </w:pPr>
      <w:r>
        <w:rPr>
          <w:rFonts w:hint="default"/>
          <w:lang w:val="en-US"/>
        </w:rPr>
        <w:t>2.</w:t>
      </w:r>
    </w:p>
    <w:p>
      <w:pPr>
        <w:rPr>
          <w:rFonts w:hint="default"/>
          <w:lang w:val="en-US"/>
        </w:rPr>
      </w:pPr>
      <w:r>
        <w:rPr>
          <w:rFonts w:hint="default"/>
          <w:lang w:val="en-US"/>
        </w:rPr>
        <w:t xml:space="preserve">The second part of task 1 is to simulate mean reversal process based on the equation </w:t>
      </w:r>
      <w:r>
        <w:rPr>
          <w:rFonts w:hint="default"/>
          <w:lang w:val="en-US"/>
        </w:rPr>
        <w:br/>
      </w:r>
      <w:r>
        <w:rPr>
          <w:rFonts w:hint="default"/>
          <w:lang w:val="en-US"/>
        </w:rPr>
        <w:t>dR(t) = [0.064 - R(t)] dt + 0.27 R(t) dB(t) and R(0) = 3. The following figure is the plot of five realizations of mean reversal process.</w:t>
      </w:r>
    </w:p>
    <w:p>
      <w:pPr>
        <w:rPr>
          <w:rFonts w:hint="default"/>
          <w:lang w:val="en-US"/>
        </w:rPr>
      </w:pPr>
      <w:r>
        <w:rPr>
          <w:rFonts w:hint="default" w:ascii="Calibri" w:hAnsi="Calibri" w:eastAsia="Calibri"/>
          <w:sz w:val="22"/>
          <w:szCs w:val="22"/>
          <w:lang w:val="en-US" w:eastAsia="en-US" w:bidi="ar-SA"/>
        </w:rPr>
        <w:pict>
          <v:shape id="Picture 2" o:spid="_x0000_s1027" type="#_x0000_t75" style="height:349.05pt;width:467.7pt;rotation:0f;" o:ole="f" fillcolor="#FFFFFF" filled="f" o:preferrelative="t" stroked="f" coordorigin="0,0" coordsize="21600,21600">
            <v:fill on="f" color2="#FFFFFF" focus="0%"/>
            <v:imagedata gain="65536f" blacklevel="0f" gamma="0" o:title="figure_2" r:id="rId6"/>
            <o:lock v:ext="edit" position="f" selection="f" grouping="f" rotation="f" cropping="f" text="f" aspectratio="t"/>
            <w10:wrap type="none"/>
            <w10:anchorlock/>
          </v:shape>
        </w:pict>
      </w:r>
    </w:p>
    <w:p>
      <w:pPr>
        <w:rPr>
          <w:rFonts w:hint="default"/>
          <w:lang w:val="en-US"/>
        </w:rPr>
      </w:pPr>
      <w:r>
        <w:rPr>
          <w:rFonts w:hint="default"/>
          <w:lang w:val="en-US"/>
        </w:rPr>
        <w:t>E(R1) = 1.13698602573</w:t>
      </w:r>
    </w:p>
    <w:p>
      <w:pPr>
        <w:rPr>
          <w:rFonts w:hint="default"/>
          <w:lang w:val="en-US"/>
        </w:rPr>
      </w:pPr>
      <w:r>
        <w:rPr>
          <w:rFonts w:hint="default"/>
          <w:lang w:val="en-US"/>
        </w:rPr>
        <w:t xml:space="preserve"> P[R(1)&gt;2] = 0.012</w:t>
      </w:r>
    </w:p>
    <w:p>
      <w:pPr>
        <w:rPr>
          <w:rFonts w:hint="default"/>
          <w:lang w:val="en-US"/>
        </w:rPr>
      </w:pPr>
      <w:r>
        <w:rPr>
          <w:rFonts w:hint="default"/>
          <w:lang w:val="en-US"/>
        </w:rPr>
        <w:t>We use a numpy function, np.mean to find the value of the expectation value of R(1). Similarly to the first part of task 1, in order to obtain the probability of R(1) greater than 2, we form a new matrix consists of true false element (1 and 0)  and sum up the total number of path that exceeds 2, then divided by the number_path which is 1000.</w:t>
      </w:r>
    </w:p>
    <w:p>
      <w:pPr>
        <w:rPr>
          <w:rFonts w:hint="default"/>
          <w:sz w:val="28"/>
          <w:szCs w:val="28"/>
          <w:lang w:val="en-US"/>
        </w:rPr>
      </w:pPr>
    </w:p>
    <w:p>
      <w:pPr>
        <w:rPr>
          <w:rFonts w:hint="default"/>
          <w:b/>
          <w:bCs/>
          <w:sz w:val="28"/>
          <w:szCs w:val="28"/>
          <w:u w:val="single" w:color="auto"/>
          <w:lang w:val="en-US"/>
        </w:rPr>
      </w:pPr>
      <w:r>
        <w:rPr>
          <w:rFonts w:hint="default"/>
          <w:b/>
          <w:bCs/>
          <w:sz w:val="28"/>
          <w:szCs w:val="28"/>
          <w:u w:val="single" w:color="auto"/>
          <w:lang w:val="en-US"/>
        </w:rPr>
        <w:t>Task 2</w:t>
      </w:r>
    </w:p>
    <w:p>
      <w:pPr>
        <w:rPr>
          <w:rFonts w:hint="default"/>
          <w:lang w:val="en-US"/>
        </w:rPr>
      </w:pPr>
      <w:r>
        <w:rPr>
          <w:rFonts w:hint="default"/>
          <w:lang w:val="en-US"/>
        </w:rPr>
        <w:t>There are 30 components in FTSE Bursa Malaysia KLCI Index. By referring to the sources in Bloombeg, we create a table list the following information for all the component stocks: Stock Name, Stock Code, Stock Sector, Weightage in FTSEKLCI, PE ratio and Net Market Capital. The information is last updated at 24/7/2015.</w:t>
      </w:r>
    </w:p>
    <w:tbl>
      <w:tblPr>
        <w:tblW w:w="10008"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9"/>
        <w:gridCol w:w="991"/>
        <w:gridCol w:w="2362"/>
        <w:gridCol w:w="1238"/>
        <w:gridCol w:w="866"/>
        <w:gridCol w:w="1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Stock Name</w:t>
            </w:r>
          </w:p>
        </w:tc>
        <w:tc>
          <w:tcPr>
            <w:tcW w:w="991" w:type="dxa"/>
            <w:vAlign w:val="top"/>
          </w:tcPr>
          <w:p>
            <w:pPr>
              <w:spacing w:after="0" w:line="240" w:lineRule="auto"/>
            </w:pPr>
            <w:r>
              <w:t>Stock Code</w:t>
            </w:r>
          </w:p>
        </w:tc>
        <w:tc>
          <w:tcPr>
            <w:tcW w:w="2362" w:type="dxa"/>
            <w:vAlign w:val="top"/>
          </w:tcPr>
          <w:p>
            <w:pPr>
              <w:spacing w:after="0" w:line="240" w:lineRule="auto"/>
            </w:pPr>
            <w:r>
              <w:t>Stock Sector</w:t>
            </w:r>
          </w:p>
        </w:tc>
        <w:tc>
          <w:tcPr>
            <w:tcW w:w="1238" w:type="dxa"/>
            <w:vAlign w:val="top"/>
          </w:tcPr>
          <w:p>
            <w:pPr>
              <w:spacing w:after="0" w:line="240" w:lineRule="auto"/>
            </w:pPr>
            <w:r>
              <w:t xml:space="preserve">Weightage in FTSEKLCI </w:t>
            </w:r>
          </w:p>
        </w:tc>
        <w:tc>
          <w:tcPr>
            <w:tcW w:w="866" w:type="dxa"/>
            <w:vAlign w:val="top"/>
          </w:tcPr>
          <w:p>
            <w:pPr>
              <w:spacing w:after="0" w:line="240" w:lineRule="auto"/>
            </w:pPr>
            <w:r>
              <w:t>PE Ratio</w:t>
            </w:r>
          </w:p>
        </w:tc>
        <w:tc>
          <w:tcPr>
            <w:tcW w:w="1852" w:type="dxa"/>
            <w:vAlign w:val="top"/>
          </w:tcPr>
          <w:p>
            <w:pPr>
              <w:spacing w:after="0" w:line="240" w:lineRule="auto"/>
            </w:pPr>
            <w:r>
              <w:t>Net Market Capital (B,as billion)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699" w:type="dxa"/>
            <w:vAlign w:val="top"/>
          </w:tcPr>
          <w:p>
            <w:pPr>
              <w:spacing w:after="0" w:line="240" w:lineRule="auto"/>
            </w:pPr>
            <w:r>
              <w:t>Public Bank Bhd</w:t>
            </w:r>
          </w:p>
        </w:tc>
        <w:tc>
          <w:tcPr>
            <w:tcW w:w="991" w:type="dxa"/>
            <w:vAlign w:val="top"/>
          </w:tcPr>
          <w:p>
            <w:pPr>
              <w:spacing w:after="0" w:line="240" w:lineRule="auto"/>
            </w:pPr>
            <w:r>
              <w:t>1295</w:t>
            </w:r>
          </w:p>
        </w:tc>
        <w:tc>
          <w:tcPr>
            <w:tcW w:w="2362" w:type="dxa"/>
            <w:vAlign w:val="top"/>
          </w:tcPr>
          <w:p>
            <w:pPr>
              <w:spacing w:after="0" w:line="240" w:lineRule="auto"/>
            </w:pPr>
            <w:r>
              <w:t>Banks</w:t>
            </w:r>
          </w:p>
        </w:tc>
        <w:tc>
          <w:tcPr>
            <w:tcW w:w="1238" w:type="dxa"/>
            <w:vAlign w:val="top"/>
          </w:tcPr>
          <w:p>
            <w:pPr>
              <w:spacing w:after="0" w:line="240" w:lineRule="auto"/>
            </w:pPr>
            <w:r>
              <w:t>11.6</w:t>
            </w:r>
          </w:p>
        </w:tc>
        <w:tc>
          <w:tcPr>
            <w:tcW w:w="866" w:type="dxa"/>
            <w:vAlign w:val="top"/>
          </w:tcPr>
          <w:p>
            <w:pPr>
              <w:spacing w:after="0" w:line="240" w:lineRule="auto"/>
            </w:pPr>
            <w:r>
              <w:t>15.2</w:t>
            </w:r>
            <w:r>
              <w:rPr>
                <w:rFonts w:hint="default"/>
                <w:lang w:val="en-US"/>
              </w:rPr>
              <w:t>1</w:t>
            </w:r>
          </w:p>
        </w:tc>
        <w:tc>
          <w:tcPr>
            <w:tcW w:w="1852" w:type="dxa"/>
            <w:vAlign w:val="top"/>
          </w:tcPr>
          <w:p>
            <w:pPr>
              <w:spacing w:after="0" w:line="240" w:lineRule="auto"/>
              <w:rPr>
                <w:b/>
                <w:bCs/>
              </w:rPr>
            </w:pPr>
            <w:r>
              <w:rPr>
                <w:b w:val="0"/>
                <w:bCs w:val="0"/>
              </w:rPr>
              <w:t>73.</w:t>
            </w:r>
            <w:r>
              <w:rPr>
                <w:rFonts w:hint="default"/>
                <w:b w:val="0"/>
                <w:bCs w:val="0"/>
                <w:lang w:val="en-US"/>
              </w:rPr>
              <w:t>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Malayan Banking</w:t>
            </w:r>
          </w:p>
        </w:tc>
        <w:tc>
          <w:tcPr>
            <w:tcW w:w="991" w:type="dxa"/>
            <w:vAlign w:val="top"/>
          </w:tcPr>
          <w:p>
            <w:pPr>
              <w:spacing w:after="0" w:line="240" w:lineRule="auto"/>
            </w:pPr>
            <w:r>
              <w:t>1155</w:t>
            </w:r>
          </w:p>
        </w:tc>
        <w:tc>
          <w:tcPr>
            <w:tcW w:w="2362" w:type="dxa"/>
            <w:vAlign w:val="top"/>
          </w:tcPr>
          <w:p>
            <w:pPr>
              <w:spacing w:after="0" w:line="240" w:lineRule="auto"/>
            </w:pPr>
            <w:r>
              <w:t>Banks</w:t>
            </w:r>
          </w:p>
        </w:tc>
        <w:tc>
          <w:tcPr>
            <w:tcW w:w="1238" w:type="dxa"/>
            <w:vAlign w:val="top"/>
          </w:tcPr>
          <w:p>
            <w:pPr>
              <w:spacing w:after="0" w:line="240" w:lineRule="auto"/>
            </w:pPr>
            <w:r>
              <w:t>9.32</w:t>
            </w:r>
          </w:p>
        </w:tc>
        <w:tc>
          <w:tcPr>
            <w:tcW w:w="866" w:type="dxa"/>
            <w:vAlign w:val="top"/>
          </w:tcPr>
          <w:p>
            <w:pPr>
              <w:spacing w:after="0" w:line="240" w:lineRule="auto"/>
            </w:pPr>
            <w:r>
              <w:t>12.</w:t>
            </w:r>
            <w:r>
              <w:rPr>
                <w:rFonts w:hint="default"/>
                <w:lang w:val="en-US"/>
              </w:rPr>
              <w:t>4</w:t>
            </w:r>
          </w:p>
        </w:tc>
        <w:tc>
          <w:tcPr>
            <w:tcW w:w="1852" w:type="dxa"/>
            <w:vAlign w:val="top"/>
          </w:tcPr>
          <w:p>
            <w:pPr>
              <w:spacing w:after="0" w:line="240" w:lineRule="auto"/>
              <w:rPr>
                <w:b/>
                <w:bCs/>
              </w:rPr>
            </w:pPr>
            <w:r>
              <w:rPr>
                <w:b w:val="0"/>
                <w:bCs w:val="0"/>
              </w:rPr>
              <w:t>8</w:t>
            </w:r>
            <w:r>
              <w:rPr>
                <w:rFonts w:hint="default"/>
                <w:b w:val="0"/>
                <w:bCs w:val="0"/>
                <w:lang w:val="en-US"/>
              </w:rPr>
              <w:t>8.041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Tenaga Nasional</w:t>
            </w:r>
          </w:p>
        </w:tc>
        <w:tc>
          <w:tcPr>
            <w:tcW w:w="991" w:type="dxa"/>
            <w:vAlign w:val="top"/>
          </w:tcPr>
          <w:p>
            <w:pPr>
              <w:spacing w:after="0" w:line="240" w:lineRule="auto"/>
            </w:pPr>
            <w:r>
              <w:t>5347</w:t>
            </w:r>
          </w:p>
        </w:tc>
        <w:tc>
          <w:tcPr>
            <w:tcW w:w="2362" w:type="dxa"/>
            <w:vAlign w:val="top"/>
          </w:tcPr>
          <w:p>
            <w:pPr>
              <w:spacing w:after="0" w:line="240" w:lineRule="auto"/>
            </w:pPr>
            <w:r>
              <w:t>Alternative Electricity</w:t>
            </w:r>
          </w:p>
        </w:tc>
        <w:tc>
          <w:tcPr>
            <w:tcW w:w="1238" w:type="dxa"/>
            <w:vAlign w:val="top"/>
          </w:tcPr>
          <w:p>
            <w:pPr>
              <w:spacing w:after="0" w:line="240" w:lineRule="auto"/>
            </w:pPr>
            <w:r>
              <w:t>9.28</w:t>
            </w:r>
          </w:p>
        </w:tc>
        <w:tc>
          <w:tcPr>
            <w:tcW w:w="866" w:type="dxa"/>
            <w:vAlign w:val="top"/>
          </w:tcPr>
          <w:p>
            <w:pPr>
              <w:spacing w:after="0" w:line="240" w:lineRule="auto"/>
            </w:pPr>
            <w:r>
              <w:t>9.</w:t>
            </w:r>
            <w:r>
              <w:rPr>
                <w:rFonts w:hint="default"/>
                <w:lang w:val="en-US"/>
              </w:rPr>
              <w:t>15</w:t>
            </w:r>
          </w:p>
        </w:tc>
        <w:tc>
          <w:tcPr>
            <w:tcW w:w="1852" w:type="dxa"/>
            <w:vAlign w:val="top"/>
          </w:tcPr>
          <w:p>
            <w:pPr>
              <w:spacing w:after="0" w:line="240" w:lineRule="auto"/>
            </w:pPr>
            <w:r>
              <w:t>69</w:t>
            </w:r>
            <w:r>
              <w:rPr>
                <w:rFonts w:hint="default"/>
                <w:lang w:val="en-US"/>
              </w:rPr>
              <w:t>.304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CIMB Group Holdings</w:t>
            </w:r>
          </w:p>
        </w:tc>
        <w:tc>
          <w:tcPr>
            <w:tcW w:w="991" w:type="dxa"/>
            <w:vAlign w:val="top"/>
          </w:tcPr>
          <w:p>
            <w:pPr>
              <w:spacing w:after="0" w:line="240" w:lineRule="auto"/>
            </w:pPr>
            <w:r>
              <w:t>1023</w:t>
            </w:r>
          </w:p>
        </w:tc>
        <w:tc>
          <w:tcPr>
            <w:tcW w:w="2362" w:type="dxa"/>
            <w:vAlign w:val="top"/>
          </w:tcPr>
          <w:p>
            <w:pPr>
              <w:spacing w:after="0" w:line="240" w:lineRule="auto"/>
            </w:pPr>
            <w:r>
              <w:t>Banks</w:t>
            </w:r>
          </w:p>
        </w:tc>
        <w:tc>
          <w:tcPr>
            <w:tcW w:w="1238" w:type="dxa"/>
            <w:vAlign w:val="top"/>
          </w:tcPr>
          <w:p>
            <w:pPr>
              <w:spacing w:after="0" w:line="240" w:lineRule="auto"/>
            </w:pPr>
            <w:r>
              <w:t>5.76</w:t>
            </w:r>
          </w:p>
        </w:tc>
        <w:tc>
          <w:tcPr>
            <w:tcW w:w="866" w:type="dxa"/>
            <w:vAlign w:val="top"/>
          </w:tcPr>
          <w:p>
            <w:pPr>
              <w:spacing w:after="0" w:line="240" w:lineRule="auto"/>
            </w:pPr>
            <w:r>
              <w:t>17.</w:t>
            </w:r>
            <w:r>
              <w:rPr>
                <w:rFonts w:hint="default"/>
                <w:lang w:val="en-US"/>
              </w:rPr>
              <w:t>52</w:t>
            </w:r>
          </w:p>
        </w:tc>
        <w:tc>
          <w:tcPr>
            <w:tcW w:w="1852" w:type="dxa"/>
            <w:vAlign w:val="top"/>
          </w:tcPr>
          <w:p>
            <w:pPr>
              <w:spacing w:after="0" w:line="240" w:lineRule="auto"/>
            </w:pPr>
            <w:r>
              <w:t>46.694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Axiata Group Bhd</w:t>
            </w:r>
          </w:p>
        </w:tc>
        <w:tc>
          <w:tcPr>
            <w:tcW w:w="991" w:type="dxa"/>
            <w:vAlign w:val="top"/>
          </w:tcPr>
          <w:p>
            <w:pPr>
              <w:spacing w:after="0" w:line="240" w:lineRule="auto"/>
            </w:pPr>
            <w:r>
              <w:t>6888</w:t>
            </w:r>
          </w:p>
        </w:tc>
        <w:tc>
          <w:tcPr>
            <w:tcW w:w="2362" w:type="dxa"/>
            <w:vAlign w:val="top"/>
          </w:tcPr>
          <w:p>
            <w:pPr>
              <w:spacing w:after="0" w:line="240" w:lineRule="auto"/>
            </w:pPr>
            <w:r>
              <w:t>Mobile Telecommunications</w:t>
            </w:r>
          </w:p>
        </w:tc>
        <w:tc>
          <w:tcPr>
            <w:tcW w:w="1238" w:type="dxa"/>
            <w:vAlign w:val="top"/>
          </w:tcPr>
          <w:p>
            <w:pPr>
              <w:spacing w:after="0" w:line="240" w:lineRule="auto"/>
            </w:pPr>
            <w:r>
              <w:t>5.62</w:t>
            </w:r>
          </w:p>
        </w:tc>
        <w:tc>
          <w:tcPr>
            <w:tcW w:w="866" w:type="dxa"/>
            <w:vAlign w:val="top"/>
          </w:tcPr>
          <w:p>
            <w:pPr>
              <w:spacing w:after="0" w:line="240" w:lineRule="auto"/>
            </w:pPr>
            <w:r>
              <w:t>24.</w:t>
            </w:r>
            <w:r>
              <w:rPr>
                <w:rFonts w:hint="default"/>
                <w:lang w:val="en-US"/>
              </w:rPr>
              <w:t>3</w:t>
            </w:r>
          </w:p>
        </w:tc>
        <w:tc>
          <w:tcPr>
            <w:tcW w:w="1852" w:type="dxa"/>
            <w:vAlign w:val="top"/>
          </w:tcPr>
          <w:p>
            <w:pPr>
              <w:spacing w:after="0" w:line="240" w:lineRule="auto"/>
            </w:pPr>
            <w:r>
              <w:t>55.</w:t>
            </w:r>
            <w:r>
              <w:rPr>
                <w:rFonts w:hint="default"/>
                <w:lang w:val="en-US"/>
              </w:rPr>
              <w:t>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Sime Darby Bhd</w:t>
            </w:r>
          </w:p>
        </w:tc>
        <w:tc>
          <w:tcPr>
            <w:tcW w:w="991" w:type="dxa"/>
            <w:vAlign w:val="top"/>
          </w:tcPr>
          <w:p>
            <w:pPr>
              <w:spacing w:after="0" w:line="240" w:lineRule="auto"/>
            </w:pPr>
            <w:r>
              <w:t>4197</w:t>
            </w:r>
          </w:p>
        </w:tc>
        <w:tc>
          <w:tcPr>
            <w:tcW w:w="2362" w:type="dxa"/>
            <w:vAlign w:val="top"/>
          </w:tcPr>
          <w:p>
            <w:pPr>
              <w:spacing w:after="0" w:line="240" w:lineRule="auto"/>
            </w:pPr>
            <w:r>
              <w:t>Diversified Industrials</w:t>
            </w:r>
          </w:p>
        </w:tc>
        <w:tc>
          <w:tcPr>
            <w:tcW w:w="1238" w:type="dxa"/>
            <w:vAlign w:val="top"/>
          </w:tcPr>
          <w:p>
            <w:pPr>
              <w:spacing w:after="0" w:line="240" w:lineRule="auto"/>
            </w:pPr>
            <w:r>
              <w:t>5.51</w:t>
            </w:r>
          </w:p>
        </w:tc>
        <w:tc>
          <w:tcPr>
            <w:tcW w:w="866" w:type="dxa"/>
            <w:vAlign w:val="top"/>
          </w:tcPr>
          <w:p>
            <w:pPr>
              <w:spacing w:after="0" w:line="240" w:lineRule="auto"/>
            </w:pPr>
            <w:r>
              <w:t>2</w:t>
            </w:r>
            <w:r>
              <w:rPr>
                <w:rFonts w:hint="default"/>
                <w:lang w:val="en-US"/>
              </w:rPr>
              <w:t>1.89</w:t>
            </w:r>
          </w:p>
        </w:tc>
        <w:tc>
          <w:tcPr>
            <w:tcW w:w="1852" w:type="dxa"/>
            <w:vAlign w:val="top"/>
          </w:tcPr>
          <w:p>
            <w:pPr>
              <w:spacing w:after="0" w:line="240" w:lineRule="auto"/>
            </w:pPr>
            <w:r>
              <w:t>52.</w:t>
            </w:r>
            <w:r>
              <w:rPr>
                <w:rFonts w:hint="default"/>
                <w:lang w:val="en-US"/>
              </w:rPr>
              <w:t>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Digi.com</w:t>
            </w:r>
          </w:p>
        </w:tc>
        <w:tc>
          <w:tcPr>
            <w:tcW w:w="991" w:type="dxa"/>
            <w:vAlign w:val="top"/>
          </w:tcPr>
          <w:p>
            <w:pPr>
              <w:spacing w:after="0" w:line="240" w:lineRule="auto"/>
            </w:pPr>
            <w:r>
              <w:t>6947</w:t>
            </w:r>
          </w:p>
        </w:tc>
        <w:tc>
          <w:tcPr>
            <w:tcW w:w="2362" w:type="dxa"/>
            <w:vAlign w:val="top"/>
          </w:tcPr>
          <w:p>
            <w:pPr>
              <w:spacing w:after="0" w:line="240" w:lineRule="auto"/>
            </w:pPr>
            <w:r>
              <w:t>Mobile Telecommunications</w:t>
            </w:r>
          </w:p>
        </w:tc>
        <w:tc>
          <w:tcPr>
            <w:tcW w:w="1238" w:type="dxa"/>
            <w:vAlign w:val="top"/>
          </w:tcPr>
          <w:p>
            <w:pPr>
              <w:spacing w:after="0" w:line="240" w:lineRule="auto"/>
            </w:pPr>
            <w:r>
              <w:t>4.16</w:t>
            </w:r>
          </w:p>
        </w:tc>
        <w:tc>
          <w:tcPr>
            <w:tcW w:w="866" w:type="dxa"/>
            <w:vAlign w:val="top"/>
          </w:tcPr>
          <w:p>
            <w:pPr>
              <w:spacing w:after="0" w:line="240" w:lineRule="auto"/>
            </w:pPr>
            <w:r>
              <w:t>2</w:t>
            </w:r>
            <w:r>
              <w:rPr>
                <w:rFonts w:hint="default"/>
                <w:lang w:val="en-US"/>
              </w:rPr>
              <w:t>1.02</w:t>
            </w:r>
          </w:p>
        </w:tc>
        <w:tc>
          <w:tcPr>
            <w:tcW w:w="1852" w:type="dxa"/>
            <w:vAlign w:val="top"/>
          </w:tcPr>
          <w:p>
            <w:pPr>
              <w:spacing w:after="0" w:line="240" w:lineRule="auto"/>
            </w:pPr>
            <w:r>
              <w:t>41.</w:t>
            </w:r>
            <w:r>
              <w:rPr>
                <w:rFonts w:hint="default"/>
                <w:lang w:val="en-US"/>
              </w:rPr>
              <w:t>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Genting</w:t>
            </w:r>
          </w:p>
        </w:tc>
        <w:tc>
          <w:tcPr>
            <w:tcW w:w="991" w:type="dxa"/>
            <w:vAlign w:val="top"/>
          </w:tcPr>
          <w:p>
            <w:pPr>
              <w:spacing w:after="0" w:line="240" w:lineRule="auto"/>
            </w:pPr>
            <w:r>
              <w:t>3182</w:t>
            </w:r>
          </w:p>
        </w:tc>
        <w:tc>
          <w:tcPr>
            <w:tcW w:w="2362" w:type="dxa"/>
            <w:vAlign w:val="top"/>
          </w:tcPr>
          <w:p>
            <w:pPr>
              <w:spacing w:after="0" w:line="240" w:lineRule="auto"/>
            </w:pPr>
            <w:r>
              <w:t>Hotels</w:t>
            </w:r>
          </w:p>
        </w:tc>
        <w:tc>
          <w:tcPr>
            <w:tcW w:w="1238" w:type="dxa"/>
            <w:vAlign w:val="top"/>
          </w:tcPr>
          <w:p>
            <w:pPr>
              <w:spacing w:after="0" w:line="240" w:lineRule="auto"/>
            </w:pPr>
            <w:r>
              <w:t>3.68</w:t>
            </w:r>
          </w:p>
        </w:tc>
        <w:tc>
          <w:tcPr>
            <w:tcW w:w="866" w:type="dxa"/>
            <w:vAlign w:val="top"/>
          </w:tcPr>
          <w:p>
            <w:pPr>
              <w:spacing w:after="0" w:line="240" w:lineRule="auto"/>
            </w:pPr>
            <w:r>
              <w:t>19.</w:t>
            </w:r>
            <w:r>
              <w:rPr>
                <w:rFonts w:hint="default"/>
                <w:lang w:val="en-US"/>
              </w:rPr>
              <w:t>30</w:t>
            </w:r>
          </w:p>
        </w:tc>
        <w:tc>
          <w:tcPr>
            <w:tcW w:w="1852" w:type="dxa"/>
            <w:vAlign w:val="top"/>
          </w:tcPr>
          <w:p>
            <w:pPr>
              <w:spacing w:after="0" w:line="240" w:lineRule="auto"/>
            </w:pPr>
            <w:r>
              <w:t>30.</w:t>
            </w:r>
            <w:r>
              <w:rPr>
                <w:rFonts w:hint="default"/>
                <w:lang w:val="en-US"/>
              </w:rPr>
              <w:t>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PETRONAS Chemicals Group Bhd</w:t>
            </w:r>
          </w:p>
        </w:tc>
        <w:tc>
          <w:tcPr>
            <w:tcW w:w="991" w:type="dxa"/>
            <w:vAlign w:val="top"/>
          </w:tcPr>
          <w:p>
            <w:pPr>
              <w:spacing w:after="0" w:line="240" w:lineRule="auto"/>
            </w:pPr>
            <w:r>
              <w:t>5183</w:t>
            </w:r>
          </w:p>
        </w:tc>
        <w:tc>
          <w:tcPr>
            <w:tcW w:w="2362" w:type="dxa"/>
            <w:vAlign w:val="top"/>
          </w:tcPr>
          <w:p>
            <w:pPr>
              <w:spacing w:after="0" w:line="240" w:lineRule="auto"/>
            </w:pPr>
            <w:r>
              <w:t>Commodity Chemicals</w:t>
            </w:r>
          </w:p>
        </w:tc>
        <w:tc>
          <w:tcPr>
            <w:tcW w:w="1238" w:type="dxa"/>
            <w:vAlign w:val="top"/>
          </w:tcPr>
          <w:p>
            <w:pPr>
              <w:spacing w:after="0" w:line="240" w:lineRule="auto"/>
            </w:pPr>
            <w:r>
              <w:t>3.55</w:t>
            </w:r>
          </w:p>
        </w:tc>
        <w:tc>
          <w:tcPr>
            <w:tcW w:w="866" w:type="dxa"/>
            <w:vAlign w:val="top"/>
          </w:tcPr>
          <w:p>
            <w:pPr>
              <w:spacing w:after="0" w:line="240" w:lineRule="auto"/>
            </w:pPr>
            <w:r>
              <w:t>2</w:t>
            </w:r>
            <w:r>
              <w:rPr>
                <w:rFonts w:hint="default"/>
                <w:lang w:val="en-US"/>
              </w:rPr>
              <w:t>1.83</w:t>
            </w:r>
          </w:p>
        </w:tc>
        <w:tc>
          <w:tcPr>
            <w:tcW w:w="1852" w:type="dxa"/>
            <w:vAlign w:val="top"/>
          </w:tcPr>
          <w:p>
            <w:pPr>
              <w:spacing w:after="0" w:line="240" w:lineRule="auto"/>
            </w:pPr>
            <w:r>
              <w:t>5</w:t>
            </w:r>
            <w:r>
              <w:rPr>
                <w:rFonts w:hint="default"/>
                <w:lang w:val="en-US"/>
              </w:rPr>
              <w:t>0.640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Maxis Bhd</w:t>
            </w:r>
          </w:p>
        </w:tc>
        <w:tc>
          <w:tcPr>
            <w:tcW w:w="991" w:type="dxa"/>
            <w:vAlign w:val="top"/>
          </w:tcPr>
          <w:p>
            <w:pPr>
              <w:spacing w:after="0" w:line="240" w:lineRule="auto"/>
            </w:pPr>
            <w:r>
              <w:t>6012</w:t>
            </w:r>
          </w:p>
        </w:tc>
        <w:tc>
          <w:tcPr>
            <w:tcW w:w="2362" w:type="dxa"/>
            <w:vAlign w:val="top"/>
          </w:tcPr>
          <w:p>
            <w:pPr>
              <w:spacing w:after="0" w:line="240" w:lineRule="auto"/>
            </w:pPr>
            <w:r>
              <w:t>Mobile Telecommunications</w:t>
            </w:r>
          </w:p>
        </w:tc>
        <w:tc>
          <w:tcPr>
            <w:tcW w:w="1238" w:type="dxa"/>
            <w:vAlign w:val="top"/>
          </w:tcPr>
          <w:p>
            <w:pPr>
              <w:spacing w:after="0" w:line="240" w:lineRule="auto"/>
            </w:pPr>
            <w:r>
              <w:t>3.45</w:t>
            </w:r>
          </w:p>
        </w:tc>
        <w:tc>
          <w:tcPr>
            <w:tcW w:w="866" w:type="dxa"/>
            <w:vAlign w:val="top"/>
          </w:tcPr>
          <w:p>
            <w:pPr>
              <w:spacing w:after="0" w:line="240" w:lineRule="auto"/>
            </w:pPr>
            <w:r>
              <w:t>30.</w:t>
            </w:r>
            <w:r>
              <w:rPr>
                <w:rFonts w:hint="default"/>
                <w:lang w:val="en-US"/>
              </w:rPr>
              <w:t>05</w:t>
            </w:r>
          </w:p>
        </w:tc>
        <w:tc>
          <w:tcPr>
            <w:tcW w:w="1852" w:type="dxa"/>
            <w:vAlign w:val="top"/>
          </w:tcPr>
          <w:p>
            <w:pPr>
              <w:spacing w:after="0" w:line="240" w:lineRule="auto"/>
            </w:pPr>
            <w:r>
              <w:t>49.4</w:t>
            </w:r>
            <w:r>
              <w:rPr>
                <w:rFonts w:hint="default"/>
                <w:lang w:val="en-US"/>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Petronas Gas</w:t>
            </w:r>
          </w:p>
        </w:tc>
        <w:tc>
          <w:tcPr>
            <w:tcW w:w="991" w:type="dxa"/>
            <w:vAlign w:val="top"/>
          </w:tcPr>
          <w:p>
            <w:pPr>
              <w:spacing w:after="0" w:line="240" w:lineRule="auto"/>
            </w:pPr>
            <w:r>
              <w:t>6033</w:t>
            </w:r>
          </w:p>
        </w:tc>
        <w:tc>
          <w:tcPr>
            <w:tcW w:w="2362" w:type="dxa"/>
            <w:vAlign w:val="top"/>
          </w:tcPr>
          <w:p>
            <w:pPr>
              <w:spacing w:after="0" w:line="240" w:lineRule="auto"/>
            </w:pPr>
            <w:r>
              <w:t>Exploration &amp; Production</w:t>
            </w:r>
          </w:p>
        </w:tc>
        <w:tc>
          <w:tcPr>
            <w:tcW w:w="1238" w:type="dxa"/>
            <w:vAlign w:val="top"/>
          </w:tcPr>
          <w:p>
            <w:pPr>
              <w:spacing w:after="0" w:line="240" w:lineRule="auto"/>
            </w:pPr>
            <w:r>
              <w:t>3.4</w:t>
            </w:r>
          </w:p>
        </w:tc>
        <w:tc>
          <w:tcPr>
            <w:tcW w:w="866" w:type="dxa"/>
            <w:vAlign w:val="top"/>
          </w:tcPr>
          <w:p>
            <w:pPr>
              <w:spacing w:after="0" w:line="240" w:lineRule="auto"/>
            </w:pPr>
            <w:r>
              <w:t>22.</w:t>
            </w:r>
            <w:r>
              <w:rPr>
                <w:rFonts w:hint="default"/>
                <w:lang w:val="en-US"/>
              </w:rPr>
              <w:t>79</w:t>
            </w:r>
          </w:p>
        </w:tc>
        <w:tc>
          <w:tcPr>
            <w:tcW w:w="1852" w:type="dxa"/>
            <w:vAlign w:val="top"/>
          </w:tcPr>
          <w:p>
            <w:pPr>
              <w:spacing w:after="0" w:line="240" w:lineRule="auto"/>
            </w:pPr>
            <w:r>
              <w:t>42.</w:t>
            </w:r>
            <w:r>
              <w:rPr>
                <w:rFonts w:hint="default"/>
                <w:lang w:val="en-US"/>
              </w:rPr>
              <w:t>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IHH Healthcare</w:t>
            </w:r>
          </w:p>
        </w:tc>
        <w:tc>
          <w:tcPr>
            <w:tcW w:w="991" w:type="dxa"/>
            <w:vAlign w:val="top"/>
          </w:tcPr>
          <w:p>
            <w:pPr>
              <w:spacing w:after="0" w:line="240" w:lineRule="auto"/>
            </w:pPr>
            <w:r>
              <w:t>5225</w:t>
            </w:r>
          </w:p>
        </w:tc>
        <w:tc>
          <w:tcPr>
            <w:tcW w:w="2362" w:type="dxa"/>
            <w:vAlign w:val="top"/>
          </w:tcPr>
          <w:p>
            <w:pPr>
              <w:spacing w:after="0" w:line="240" w:lineRule="auto"/>
            </w:pPr>
            <w:r>
              <w:t>Health Care Providers</w:t>
            </w:r>
          </w:p>
        </w:tc>
        <w:tc>
          <w:tcPr>
            <w:tcW w:w="1238" w:type="dxa"/>
            <w:vAlign w:val="top"/>
          </w:tcPr>
          <w:p>
            <w:pPr>
              <w:spacing w:after="0" w:line="240" w:lineRule="auto"/>
            </w:pPr>
            <w:r>
              <w:t>3.28</w:t>
            </w:r>
          </w:p>
        </w:tc>
        <w:tc>
          <w:tcPr>
            <w:tcW w:w="866" w:type="dxa"/>
            <w:vAlign w:val="top"/>
          </w:tcPr>
          <w:p>
            <w:pPr>
              <w:spacing w:after="0" w:line="240" w:lineRule="auto"/>
            </w:pPr>
            <w:r>
              <w:t>63.</w:t>
            </w:r>
            <w:r>
              <w:rPr>
                <w:rFonts w:hint="default"/>
                <w:lang w:val="en-US"/>
              </w:rPr>
              <w:t>15</w:t>
            </w:r>
          </w:p>
        </w:tc>
        <w:tc>
          <w:tcPr>
            <w:tcW w:w="1852" w:type="dxa"/>
            <w:vAlign w:val="top"/>
          </w:tcPr>
          <w:p>
            <w:pPr>
              <w:spacing w:after="0" w:line="240" w:lineRule="auto"/>
            </w:pPr>
            <w:r>
              <w:t>48.7</w:t>
            </w:r>
            <w:r>
              <w:rPr>
                <w:rFonts w:hint="default"/>
                <w:lang w:val="en-US"/>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IOI</w:t>
            </w:r>
          </w:p>
        </w:tc>
        <w:tc>
          <w:tcPr>
            <w:tcW w:w="991" w:type="dxa"/>
            <w:vAlign w:val="top"/>
          </w:tcPr>
          <w:p>
            <w:pPr>
              <w:spacing w:after="0" w:line="240" w:lineRule="auto"/>
            </w:pPr>
            <w:r>
              <w:t>1961</w:t>
            </w:r>
          </w:p>
        </w:tc>
        <w:tc>
          <w:tcPr>
            <w:tcW w:w="2362" w:type="dxa"/>
            <w:vAlign w:val="top"/>
          </w:tcPr>
          <w:p>
            <w:pPr>
              <w:spacing w:after="0" w:line="240" w:lineRule="auto"/>
            </w:pPr>
            <w:r>
              <w:t>Farming &amp; Fishing</w:t>
            </w:r>
          </w:p>
        </w:tc>
        <w:tc>
          <w:tcPr>
            <w:tcW w:w="1238" w:type="dxa"/>
            <w:vAlign w:val="top"/>
          </w:tcPr>
          <w:p>
            <w:pPr>
              <w:spacing w:after="0" w:line="240" w:lineRule="auto"/>
            </w:pPr>
            <w:r>
              <w:t>2.99</w:t>
            </w:r>
          </w:p>
        </w:tc>
        <w:tc>
          <w:tcPr>
            <w:tcW w:w="866" w:type="dxa"/>
            <w:vAlign w:val="top"/>
          </w:tcPr>
          <w:p>
            <w:pPr>
              <w:spacing w:after="0" w:line="240" w:lineRule="auto"/>
            </w:pPr>
            <w:r>
              <w:t>73.65</w:t>
            </w:r>
          </w:p>
        </w:tc>
        <w:tc>
          <w:tcPr>
            <w:tcW w:w="1852" w:type="dxa"/>
            <w:vAlign w:val="top"/>
          </w:tcPr>
          <w:p>
            <w:pPr>
              <w:spacing w:after="0" w:line="240" w:lineRule="auto"/>
            </w:pPr>
            <w:r>
              <w:t>2</w:t>
            </w:r>
            <w:r>
              <w:rPr>
                <w:rFonts w:hint="default"/>
                <w:lang w:val="en-US"/>
              </w:rPr>
              <w:t>6.731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Telekom Malaysia</w:t>
            </w:r>
          </w:p>
        </w:tc>
        <w:tc>
          <w:tcPr>
            <w:tcW w:w="991" w:type="dxa"/>
            <w:vAlign w:val="top"/>
          </w:tcPr>
          <w:p>
            <w:pPr>
              <w:spacing w:after="0" w:line="240" w:lineRule="auto"/>
            </w:pPr>
            <w:r>
              <w:t>4863</w:t>
            </w:r>
          </w:p>
        </w:tc>
        <w:tc>
          <w:tcPr>
            <w:tcW w:w="2362" w:type="dxa"/>
            <w:vAlign w:val="top"/>
          </w:tcPr>
          <w:p>
            <w:pPr>
              <w:spacing w:after="0" w:line="240" w:lineRule="auto"/>
            </w:pPr>
            <w:r>
              <w:t>Fixed Line Telecommunications</w:t>
            </w:r>
          </w:p>
        </w:tc>
        <w:tc>
          <w:tcPr>
            <w:tcW w:w="1238" w:type="dxa"/>
            <w:vAlign w:val="top"/>
          </w:tcPr>
          <w:p>
            <w:pPr>
              <w:spacing w:after="0" w:line="240" w:lineRule="auto"/>
            </w:pPr>
            <w:r>
              <w:t>2.96</w:t>
            </w:r>
          </w:p>
        </w:tc>
        <w:tc>
          <w:tcPr>
            <w:tcW w:w="866" w:type="dxa"/>
            <w:vAlign w:val="top"/>
          </w:tcPr>
          <w:p>
            <w:pPr>
              <w:spacing w:after="0" w:line="240" w:lineRule="auto"/>
            </w:pPr>
            <w:r>
              <w:t>32.</w:t>
            </w:r>
            <w:r>
              <w:rPr>
                <w:rFonts w:hint="default"/>
                <w:lang w:val="en-US"/>
              </w:rPr>
              <w:t>34</w:t>
            </w:r>
          </w:p>
        </w:tc>
        <w:tc>
          <w:tcPr>
            <w:tcW w:w="1852" w:type="dxa"/>
            <w:vAlign w:val="top"/>
          </w:tcPr>
          <w:p>
            <w:pPr>
              <w:spacing w:after="0" w:line="240" w:lineRule="auto"/>
            </w:pPr>
            <w:r>
              <w:t>2</w:t>
            </w:r>
            <w:r>
              <w:rPr>
                <w:rFonts w:hint="default"/>
                <w:lang w:val="en-US"/>
              </w:rPr>
              <w:t>4.195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Genting Malaysia Bhd</w:t>
            </w:r>
          </w:p>
        </w:tc>
        <w:tc>
          <w:tcPr>
            <w:tcW w:w="991" w:type="dxa"/>
            <w:vAlign w:val="top"/>
          </w:tcPr>
          <w:p>
            <w:pPr>
              <w:spacing w:after="0" w:line="240" w:lineRule="auto"/>
            </w:pPr>
            <w:r>
              <w:t>4715</w:t>
            </w:r>
          </w:p>
        </w:tc>
        <w:tc>
          <w:tcPr>
            <w:tcW w:w="2362" w:type="dxa"/>
            <w:vAlign w:val="top"/>
          </w:tcPr>
          <w:p>
            <w:pPr>
              <w:spacing w:after="0" w:line="240" w:lineRule="auto"/>
            </w:pPr>
            <w:r>
              <w:t>Hotels</w:t>
            </w:r>
          </w:p>
        </w:tc>
        <w:tc>
          <w:tcPr>
            <w:tcW w:w="1238" w:type="dxa"/>
            <w:vAlign w:val="top"/>
          </w:tcPr>
          <w:p>
            <w:pPr>
              <w:spacing w:after="0" w:line="240" w:lineRule="auto"/>
            </w:pPr>
            <w:r>
              <w:t>2.5</w:t>
            </w:r>
          </w:p>
        </w:tc>
        <w:tc>
          <w:tcPr>
            <w:tcW w:w="866" w:type="dxa"/>
            <w:vAlign w:val="top"/>
          </w:tcPr>
          <w:p>
            <w:pPr>
              <w:spacing w:after="0" w:line="240" w:lineRule="auto"/>
            </w:pPr>
            <w:r>
              <w:t>20.</w:t>
            </w:r>
            <w:r>
              <w:rPr>
                <w:rFonts w:hint="default"/>
                <w:lang w:val="en-US"/>
              </w:rPr>
              <w:t>21</w:t>
            </w:r>
          </w:p>
        </w:tc>
        <w:tc>
          <w:tcPr>
            <w:tcW w:w="1852" w:type="dxa"/>
            <w:vAlign w:val="top"/>
          </w:tcPr>
          <w:p>
            <w:pPr>
              <w:spacing w:after="0" w:line="240" w:lineRule="auto"/>
              <w:rPr>
                <w:rFonts w:hint="default"/>
                <w:lang w:val="en-US"/>
              </w:rPr>
            </w:pPr>
            <w:r>
              <w:rPr>
                <w:rFonts w:hint="default"/>
                <w:lang w:val="en-US"/>
              </w:rPr>
              <w:t>24.097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MISC</w:t>
            </w:r>
          </w:p>
        </w:tc>
        <w:tc>
          <w:tcPr>
            <w:tcW w:w="991" w:type="dxa"/>
            <w:vAlign w:val="top"/>
          </w:tcPr>
          <w:p>
            <w:pPr>
              <w:spacing w:after="0" w:line="240" w:lineRule="auto"/>
            </w:pPr>
            <w:r>
              <w:t>3816</w:t>
            </w:r>
          </w:p>
        </w:tc>
        <w:tc>
          <w:tcPr>
            <w:tcW w:w="2362" w:type="dxa"/>
            <w:vAlign w:val="top"/>
          </w:tcPr>
          <w:p>
            <w:pPr>
              <w:spacing w:after="0" w:line="240" w:lineRule="auto"/>
            </w:pPr>
            <w:r>
              <w:t>Marine Transportation</w:t>
            </w:r>
          </w:p>
        </w:tc>
        <w:tc>
          <w:tcPr>
            <w:tcW w:w="1238" w:type="dxa"/>
            <w:vAlign w:val="top"/>
          </w:tcPr>
          <w:p>
            <w:pPr>
              <w:spacing w:after="0" w:line="240" w:lineRule="auto"/>
            </w:pPr>
            <w:r>
              <w:t>2.45</w:t>
            </w:r>
          </w:p>
        </w:tc>
        <w:tc>
          <w:tcPr>
            <w:tcW w:w="866" w:type="dxa"/>
            <w:vAlign w:val="top"/>
          </w:tcPr>
          <w:p>
            <w:pPr>
              <w:spacing w:after="0" w:line="240" w:lineRule="auto"/>
            </w:pPr>
            <w:r>
              <w:t>1</w:t>
            </w:r>
            <w:r>
              <w:rPr>
                <w:rFonts w:hint="default"/>
                <w:lang w:val="en-US"/>
              </w:rPr>
              <w:t>5.99</w:t>
            </w:r>
          </w:p>
        </w:tc>
        <w:tc>
          <w:tcPr>
            <w:tcW w:w="1852" w:type="dxa"/>
            <w:vAlign w:val="top"/>
          </w:tcPr>
          <w:p>
            <w:pPr>
              <w:spacing w:after="0" w:line="240" w:lineRule="auto"/>
            </w:pPr>
            <w:r>
              <w:t>35.</w:t>
            </w:r>
            <w:r>
              <w:rPr>
                <w:rFonts w:hint="default"/>
                <w:lang w:val="en-US"/>
              </w:rPr>
              <w:t>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AMMB Holdings</w:t>
            </w:r>
          </w:p>
        </w:tc>
        <w:tc>
          <w:tcPr>
            <w:tcW w:w="991" w:type="dxa"/>
            <w:vAlign w:val="top"/>
          </w:tcPr>
          <w:p>
            <w:pPr>
              <w:spacing w:after="0" w:line="240" w:lineRule="auto"/>
            </w:pPr>
            <w:r>
              <w:t>1015</w:t>
            </w:r>
          </w:p>
        </w:tc>
        <w:tc>
          <w:tcPr>
            <w:tcW w:w="2362" w:type="dxa"/>
            <w:vAlign w:val="top"/>
          </w:tcPr>
          <w:p>
            <w:pPr>
              <w:spacing w:after="0" w:line="240" w:lineRule="auto"/>
            </w:pPr>
            <w:r>
              <w:t>Banks</w:t>
            </w:r>
          </w:p>
        </w:tc>
        <w:tc>
          <w:tcPr>
            <w:tcW w:w="1238" w:type="dxa"/>
            <w:vAlign w:val="top"/>
          </w:tcPr>
          <w:p>
            <w:pPr>
              <w:spacing w:after="0" w:line="240" w:lineRule="auto"/>
            </w:pPr>
            <w:r>
              <w:t>2.38</w:t>
            </w:r>
          </w:p>
        </w:tc>
        <w:tc>
          <w:tcPr>
            <w:tcW w:w="866" w:type="dxa"/>
            <w:vAlign w:val="top"/>
          </w:tcPr>
          <w:p>
            <w:pPr>
              <w:spacing w:after="0" w:line="240" w:lineRule="auto"/>
            </w:pPr>
            <w:r>
              <w:t>8.8</w:t>
            </w:r>
            <w:r>
              <w:rPr>
                <w:rFonts w:hint="default"/>
                <w:lang w:val="en-US"/>
              </w:rPr>
              <w:t>2</w:t>
            </w:r>
          </w:p>
        </w:tc>
        <w:tc>
          <w:tcPr>
            <w:tcW w:w="1852" w:type="dxa"/>
            <w:vAlign w:val="top"/>
          </w:tcPr>
          <w:p>
            <w:pPr>
              <w:spacing w:after="0" w:line="240" w:lineRule="auto"/>
            </w:pPr>
            <w:r>
              <w:t>1</w:t>
            </w:r>
            <w:r>
              <w:rPr>
                <w:rFonts w:hint="default"/>
                <w:lang w:val="en-US"/>
              </w:rPr>
              <w:t>6.970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Kuala Lumpur Kepong</w:t>
            </w:r>
          </w:p>
        </w:tc>
        <w:tc>
          <w:tcPr>
            <w:tcW w:w="991" w:type="dxa"/>
            <w:vAlign w:val="top"/>
          </w:tcPr>
          <w:p>
            <w:pPr>
              <w:spacing w:after="0" w:line="240" w:lineRule="auto"/>
            </w:pPr>
            <w:r>
              <w:t>2445</w:t>
            </w:r>
          </w:p>
        </w:tc>
        <w:tc>
          <w:tcPr>
            <w:tcW w:w="2362" w:type="dxa"/>
            <w:vAlign w:val="top"/>
          </w:tcPr>
          <w:p>
            <w:pPr>
              <w:spacing w:after="0" w:line="240" w:lineRule="auto"/>
            </w:pPr>
            <w:r>
              <w:t>Farming &amp; Fishing</w:t>
            </w:r>
          </w:p>
        </w:tc>
        <w:tc>
          <w:tcPr>
            <w:tcW w:w="1238" w:type="dxa"/>
            <w:vAlign w:val="top"/>
          </w:tcPr>
          <w:p>
            <w:pPr>
              <w:spacing w:after="0" w:line="240" w:lineRule="auto"/>
            </w:pPr>
            <w:r>
              <w:t>2.28</w:t>
            </w:r>
          </w:p>
        </w:tc>
        <w:tc>
          <w:tcPr>
            <w:tcW w:w="866" w:type="dxa"/>
            <w:vAlign w:val="top"/>
          </w:tcPr>
          <w:p>
            <w:pPr>
              <w:spacing w:after="0" w:line="240" w:lineRule="auto"/>
            </w:pPr>
            <w:r>
              <w:t>29.</w:t>
            </w:r>
            <w:r>
              <w:rPr>
                <w:rFonts w:hint="default"/>
                <w:lang w:val="en-US"/>
              </w:rPr>
              <w:t>21</w:t>
            </w:r>
          </w:p>
        </w:tc>
        <w:tc>
          <w:tcPr>
            <w:tcW w:w="1852" w:type="dxa"/>
            <w:vAlign w:val="top"/>
          </w:tcPr>
          <w:p>
            <w:pPr>
              <w:spacing w:after="0" w:line="240" w:lineRule="auto"/>
            </w:pPr>
            <w:r>
              <w:t>2</w:t>
            </w:r>
            <w:r>
              <w:rPr>
                <w:rFonts w:hint="default"/>
                <w:lang w:val="en-US"/>
              </w:rPr>
              <w:t>3.983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SapuraKencana Petroleum</w:t>
            </w:r>
          </w:p>
        </w:tc>
        <w:tc>
          <w:tcPr>
            <w:tcW w:w="991" w:type="dxa"/>
            <w:vAlign w:val="top"/>
          </w:tcPr>
          <w:p>
            <w:pPr>
              <w:spacing w:after="0" w:line="240" w:lineRule="auto"/>
            </w:pPr>
            <w:r>
              <w:t>5218</w:t>
            </w:r>
          </w:p>
        </w:tc>
        <w:tc>
          <w:tcPr>
            <w:tcW w:w="2362" w:type="dxa"/>
            <w:vAlign w:val="top"/>
          </w:tcPr>
          <w:p>
            <w:pPr>
              <w:spacing w:after="0" w:line="240" w:lineRule="auto"/>
            </w:pPr>
            <w:r>
              <w:t>Oil Equipment &amp; Services</w:t>
            </w:r>
          </w:p>
        </w:tc>
        <w:tc>
          <w:tcPr>
            <w:tcW w:w="1238" w:type="dxa"/>
            <w:vAlign w:val="top"/>
          </w:tcPr>
          <w:p>
            <w:pPr>
              <w:spacing w:after="0" w:line="240" w:lineRule="auto"/>
            </w:pPr>
            <w:r>
              <w:t>1.98</w:t>
            </w:r>
          </w:p>
        </w:tc>
        <w:tc>
          <w:tcPr>
            <w:tcW w:w="866" w:type="dxa"/>
            <w:vAlign w:val="top"/>
          </w:tcPr>
          <w:p>
            <w:pPr>
              <w:spacing w:after="0" w:line="240" w:lineRule="auto"/>
            </w:pPr>
            <w:r>
              <w:t>12.0</w:t>
            </w:r>
            <w:r>
              <w:rPr>
                <w:rFonts w:hint="default"/>
                <w:lang w:val="en-US"/>
              </w:rPr>
              <w:t>8</w:t>
            </w:r>
          </w:p>
        </w:tc>
        <w:tc>
          <w:tcPr>
            <w:tcW w:w="1852" w:type="dxa"/>
            <w:vAlign w:val="top"/>
          </w:tcPr>
          <w:p>
            <w:pPr>
              <w:spacing w:after="0" w:line="240" w:lineRule="auto"/>
            </w:pPr>
            <w:r>
              <w:t>14.</w:t>
            </w:r>
            <w:r>
              <w:rPr>
                <w:rFonts w:hint="default"/>
                <w:lang w:val="en-US"/>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PBB Group</w:t>
            </w:r>
          </w:p>
        </w:tc>
        <w:tc>
          <w:tcPr>
            <w:tcW w:w="991" w:type="dxa"/>
            <w:vAlign w:val="top"/>
          </w:tcPr>
          <w:p>
            <w:pPr>
              <w:spacing w:after="0" w:line="240" w:lineRule="auto"/>
            </w:pPr>
            <w:r>
              <w:t>4065</w:t>
            </w:r>
          </w:p>
        </w:tc>
        <w:tc>
          <w:tcPr>
            <w:tcW w:w="2362" w:type="dxa"/>
            <w:vAlign w:val="top"/>
          </w:tcPr>
          <w:p>
            <w:pPr>
              <w:spacing w:after="0" w:line="240" w:lineRule="auto"/>
            </w:pPr>
            <w:r>
              <w:t>Food Products</w:t>
            </w:r>
          </w:p>
        </w:tc>
        <w:tc>
          <w:tcPr>
            <w:tcW w:w="1238" w:type="dxa"/>
            <w:vAlign w:val="top"/>
          </w:tcPr>
          <w:p>
            <w:pPr>
              <w:spacing w:after="0" w:line="240" w:lineRule="auto"/>
            </w:pPr>
            <w:r>
              <w:t>1.8</w:t>
            </w:r>
          </w:p>
        </w:tc>
        <w:tc>
          <w:tcPr>
            <w:tcW w:w="866" w:type="dxa"/>
            <w:vAlign w:val="top"/>
          </w:tcPr>
          <w:p>
            <w:pPr>
              <w:spacing w:after="0" w:line="240" w:lineRule="auto"/>
            </w:pPr>
            <w:r>
              <w:t>1</w:t>
            </w:r>
            <w:r>
              <w:rPr>
                <w:rFonts w:hint="default"/>
                <w:lang w:val="en-US"/>
              </w:rPr>
              <w:t>8.13</w:t>
            </w:r>
          </w:p>
        </w:tc>
        <w:tc>
          <w:tcPr>
            <w:tcW w:w="1852" w:type="dxa"/>
            <w:vAlign w:val="top"/>
          </w:tcPr>
          <w:p>
            <w:pPr>
              <w:spacing w:after="0" w:line="240" w:lineRule="auto"/>
            </w:pPr>
            <w:r>
              <w:t>1</w:t>
            </w:r>
            <w:r>
              <w:rPr>
                <w:rFonts w:hint="default"/>
                <w:lang w:val="en-US"/>
              </w:rPr>
              <w:t>8.233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British American Tobacco (Malaysia)</w:t>
            </w:r>
          </w:p>
        </w:tc>
        <w:tc>
          <w:tcPr>
            <w:tcW w:w="991" w:type="dxa"/>
            <w:vAlign w:val="top"/>
          </w:tcPr>
          <w:p>
            <w:pPr>
              <w:spacing w:after="0" w:line="240" w:lineRule="auto"/>
            </w:pPr>
            <w:r>
              <w:t>4162</w:t>
            </w:r>
          </w:p>
        </w:tc>
        <w:tc>
          <w:tcPr>
            <w:tcW w:w="2362" w:type="dxa"/>
            <w:vAlign w:val="top"/>
          </w:tcPr>
          <w:p>
            <w:pPr>
              <w:spacing w:after="0" w:line="240" w:lineRule="auto"/>
            </w:pPr>
            <w:r>
              <w:t>Tobacco</w:t>
            </w:r>
          </w:p>
        </w:tc>
        <w:tc>
          <w:tcPr>
            <w:tcW w:w="1238" w:type="dxa"/>
            <w:vAlign w:val="top"/>
          </w:tcPr>
          <w:p>
            <w:pPr>
              <w:spacing w:after="0" w:line="240" w:lineRule="auto"/>
            </w:pPr>
            <w:r>
              <w:t>1.7</w:t>
            </w:r>
          </w:p>
        </w:tc>
        <w:tc>
          <w:tcPr>
            <w:tcW w:w="866" w:type="dxa"/>
            <w:vAlign w:val="top"/>
          </w:tcPr>
          <w:p>
            <w:pPr>
              <w:spacing w:after="0" w:line="240" w:lineRule="auto"/>
            </w:pPr>
            <w:r>
              <w:t>20.</w:t>
            </w:r>
            <w:r>
              <w:rPr>
                <w:rFonts w:hint="default"/>
                <w:lang w:val="en-US"/>
              </w:rPr>
              <w:t>06</w:t>
            </w:r>
          </w:p>
        </w:tc>
        <w:tc>
          <w:tcPr>
            <w:tcW w:w="1852" w:type="dxa"/>
            <w:vAlign w:val="top"/>
          </w:tcPr>
          <w:p>
            <w:pPr>
              <w:spacing w:after="0" w:line="240" w:lineRule="auto"/>
            </w:pPr>
            <w:r>
              <w:t>18.</w:t>
            </w:r>
            <w:r>
              <w:rPr>
                <w:rFonts w:hint="default"/>
                <w:lang w:val="en-US"/>
              </w:rPr>
              <w:t>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Hong Leong Bank</w:t>
            </w:r>
          </w:p>
        </w:tc>
        <w:tc>
          <w:tcPr>
            <w:tcW w:w="991" w:type="dxa"/>
            <w:vAlign w:val="top"/>
          </w:tcPr>
          <w:p>
            <w:pPr>
              <w:spacing w:after="0" w:line="240" w:lineRule="auto"/>
            </w:pPr>
            <w:r>
              <w:t>5819</w:t>
            </w:r>
          </w:p>
        </w:tc>
        <w:tc>
          <w:tcPr>
            <w:tcW w:w="2362" w:type="dxa"/>
            <w:vAlign w:val="top"/>
          </w:tcPr>
          <w:p>
            <w:pPr>
              <w:spacing w:after="0" w:line="240" w:lineRule="auto"/>
            </w:pPr>
            <w:r>
              <w:t>Banks</w:t>
            </w:r>
          </w:p>
        </w:tc>
        <w:tc>
          <w:tcPr>
            <w:tcW w:w="1238" w:type="dxa"/>
            <w:vAlign w:val="top"/>
          </w:tcPr>
          <w:p>
            <w:pPr>
              <w:spacing w:after="0" w:line="240" w:lineRule="auto"/>
            </w:pPr>
            <w:r>
              <w:t>1.67</w:t>
            </w:r>
          </w:p>
        </w:tc>
        <w:tc>
          <w:tcPr>
            <w:tcW w:w="866" w:type="dxa"/>
            <w:vAlign w:val="top"/>
          </w:tcPr>
          <w:p>
            <w:pPr>
              <w:spacing w:after="0" w:line="240" w:lineRule="auto"/>
            </w:pPr>
            <w:r>
              <w:t>11.1</w:t>
            </w:r>
            <w:r>
              <w:rPr>
                <w:rFonts w:hint="default"/>
                <w:lang w:val="en-US"/>
              </w:rPr>
              <w:t>9</w:t>
            </w:r>
          </w:p>
        </w:tc>
        <w:tc>
          <w:tcPr>
            <w:tcW w:w="1852" w:type="dxa"/>
            <w:vAlign w:val="top"/>
          </w:tcPr>
          <w:p>
            <w:pPr>
              <w:spacing w:after="0" w:line="240" w:lineRule="auto"/>
            </w:pPr>
            <w:r>
              <w:t>2</w:t>
            </w:r>
            <w:r>
              <w:rPr>
                <w:rFonts w:hint="default"/>
                <w:lang w:val="en-US"/>
              </w:rPr>
              <w:t>4.572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YTL Corp</w:t>
            </w:r>
          </w:p>
        </w:tc>
        <w:tc>
          <w:tcPr>
            <w:tcW w:w="991" w:type="dxa"/>
            <w:vAlign w:val="top"/>
          </w:tcPr>
          <w:p>
            <w:pPr>
              <w:spacing w:after="0" w:line="240" w:lineRule="auto"/>
            </w:pPr>
            <w:r>
              <w:t>4677</w:t>
            </w:r>
          </w:p>
        </w:tc>
        <w:tc>
          <w:tcPr>
            <w:tcW w:w="2362" w:type="dxa"/>
            <w:vAlign w:val="top"/>
          </w:tcPr>
          <w:p>
            <w:pPr>
              <w:spacing w:after="0" w:line="240" w:lineRule="auto"/>
            </w:pPr>
            <w:r>
              <w:t>Multiutilities</w:t>
            </w:r>
          </w:p>
        </w:tc>
        <w:tc>
          <w:tcPr>
            <w:tcW w:w="1238" w:type="dxa"/>
            <w:vAlign w:val="top"/>
          </w:tcPr>
          <w:p>
            <w:pPr>
              <w:spacing w:after="0" w:line="240" w:lineRule="auto"/>
            </w:pPr>
            <w:r>
              <w:t>1.63</w:t>
            </w:r>
          </w:p>
        </w:tc>
        <w:tc>
          <w:tcPr>
            <w:tcW w:w="866" w:type="dxa"/>
            <w:vAlign w:val="top"/>
          </w:tcPr>
          <w:p>
            <w:pPr>
              <w:spacing w:after="0" w:line="240" w:lineRule="auto"/>
            </w:pPr>
            <w:r>
              <w:t>14.</w:t>
            </w:r>
            <w:r>
              <w:rPr>
                <w:rFonts w:hint="default"/>
                <w:lang w:val="en-US"/>
              </w:rPr>
              <w:t>9</w:t>
            </w:r>
            <w:r>
              <w:t>5</w:t>
            </w:r>
          </w:p>
        </w:tc>
        <w:tc>
          <w:tcPr>
            <w:tcW w:w="1852" w:type="dxa"/>
            <w:vAlign w:val="top"/>
          </w:tcPr>
          <w:p>
            <w:pPr>
              <w:spacing w:after="0" w:line="240" w:lineRule="auto"/>
            </w:pPr>
            <w:r>
              <w:t>1</w:t>
            </w:r>
            <w:r>
              <w:rPr>
                <w:rFonts w:hint="default"/>
                <w:lang w:val="en-US"/>
              </w:rPr>
              <w:t>6.670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UMW Holdings</w:t>
            </w:r>
          </w:p>
        </w:tc>
        <w:tc>
          <w:tcPr>
            <w:tcW w:w="991" w:type="dxa"/>
            <w:vAlign w:val="top"/>
          </w:tcPr>
          <w:p>
            <w:pPr>
              <w:spacing w:after="0" w:line="240" w:lineRule="auto"/>
            </w:pPr>
            <w:r>
              <w:t>4588</w:t>
            </w:r>
          </w:p>
        </w:tc>
        <w:tc>
          <w:tcPr>
            <w:tcW w:w="2362" w:type="dxa"/>
            <w:vAlign w:val="top"/>
          </w:tcPr>
          <w:p>
            <w:pPr>
              <w:spacing w:after="0" w:line="240" w:lineRule="auto"/>
            </w:pPr>
            <w:r>
              <w:t>Automobiles</w:t>
            </w:r>
          </w:p>
        </w:tc>
        <w:tc>
          <w:tcPr>
            <w:tcW w:w="1238" w:type="dxa"/>
            <w:vAlign w:val="top"/>
          </w:tcPr>
          <w:p>
            <w:pPr>
              <w:spacing w:after="0" w:line="240" w:lineRule="auto"/>
            </w:pPr>
            <w:r>
              <w:t>1.37</w:t>
            </w:r>
          </w:p>
        </w:tc>
        <w:tc>
          <w:tcPr>
            <w:tcW w:w="866" w:type="dxa"/>
            <w:vAlign w:val="top"/>
          </w:tcPr>
          <w:p>
            <w:pPr>
              <w:spacing w:after="0" w:line="240" w:lineRule="auto"/>
            </w:pPr>
            <w:r>
              <w:t>20.</w:t>
            </w:r>
            <w:r>
              <w:rPr>
                <w:rFonts w:hint="default"/>
                <w:lang w:val="en-US"/>
              </w:rPr>
              <w:t>41</w:t>
            </w:r>
          </w:p>
        </w:tc>
        <w:tc>
          <w:tcPr>
            <w:tcW w:w="1852" w:type="dxa"/>
            <w:vAlign w:val="top"/>
          </w:tcPr>
          <w:p>
            <w:pPr>
              <w:spacing w:after="0" w:line="240" w:lineRule="auto"/>
            </w:pPr>
            <w:r>
              <w:t>11.9</w:t>
            </w:r>
            <w:r>
              <w:rPr>
                <w:rFonts w:hint="default"/>
                <w:lang w:val="en-US"/>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Astro Malaysia Holdings</w:t>
            </w:r>
          </w:p>
        </w:tc>
        <w:tc>
          <w:tcPr>
            <w:tcW w:w="991" w:type="dxa"/>
            <w:vAlign w:val="top"/>
          </w:tcPr>
          <w:p>
            <w:pPr>
              <w:spacing w:after="0" w:line="240" w:lineRule="auto"/>
            </w:pPr>
            <w:r>
              <w:t>6399</w:t>
            </w:r>
          </w:p>
        </w:tc>
        <w:tc>
          <w:tcPr>
            <w:tcW w:w="2362" w:type="dxa"/>
            <w:vAlign w:val="top"/>
          </w:tcPr>
          <w:p>
            <w:pPr>
              <w:spacing w:after="0" w:line="240" w:lineRule="auto"/>
            </w:pPr>
            <w:r>
              <w:t>Broadcasting &amp; Entertainment</w:t>
            </w:r>
          </w:p>
        </w:tc>
        <w:tc>
          <w:tcPr>
            <w:tcW w:w="1238" w:type="dxa"/>
            <w:vAlign w:val="top"/>
          </w:tcPr>
          <w:p>
            <w:pPr>
              <w:spacing w:after="0" w:line="240" w:lineRule="auto"/>
            </w:pPr>
            <w:r>
              <w:t>1.22</w:t>
            </w:r>
          </w:p>
        </w:tc>
        <w:tc>
          <w:tcPr>
            <w:tcW w:w="866" w:type="dxa"/>
            <w:vAlign w:val="top"/>
          </w:tcPr>
          <w:p>
            <w:pPr>
              <w:spacing w:after="0" w:line="240" w:lineRule="auto"/>
            </w:pPr>
            <w:r>
              <w:t>28.</w:t>
            </w:r>
            <w:r>
              <w:rPr>
                <w:rFonts w:hint="default"/>
                <w:lang w:val="en-US"/>
              </w:rPr>
              <w:t>06</w:t>
            </w:r>
          </w:p>
        </w:tc>
        <w:tc>
          <w:tcPr>
            <w:tcW w:w="1852" w:type="dxa"/>
            <w:vAlign w:val="top"/>
          </w:tcPr>
          <w:p>
            <w:pPr>
              <w:spacing w:after="0" w:line="240" w:lineRule="auto"/>
            </w:pPr>
            <w:r>
              <w:t>15.</w:t>
            </w:r>
            <w:r>
              <w:rPr>
                <w:rFonts w:hint="default"/>
                <w:lang w:val="en-US"/>
              </w:rPr>
              <w:t>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Petronas Dagangan Bhd</w:t>
            </w:r>
          </w:p>
        </w:tc>
        <w:tc>
          <w:tcPr>
            <w:tcW w:w="991" w:type="dxa"/>
            <w:vAlign w:val="top"/>
          </w:tcPr>
          <w:p>
            <w:pPr>
              <w:spacing w:after="0" w:line="240" w:lineRule="auto"/>
            </w:pPr>
            <w:r>
              <w:t>5681</w:t>
            </w:r>
          </w:p>
        </w:tc>
        <w:tc>
          <w:tcPr>
            <w:tcW w:w="2362" w:type="dxa"/>
            <w:vAlign w:val="top"/>
          </w:tcPr>
          <w:p>
            <w:pPr>
              <w:spacing w:after="0" w:line="240" w:lineRule="auto"/>
            </w:pPr>
            <w:r>
              <w:t>Intrgrated Oil &amp; Gas</w:t>
            </w:r>
          </w:p>
        </w:tc>
        <w:tc>
          <w:tcPr>
            <w:tcW w:w="1238" w:type="dxa"/>
            <w:vAlign w:val="top"/>
          </w:tcPr>
          <w:p>
            <w:pPr>
              <w:spacing w:after="0" w:line="240" w:lineRule="auto"/>
            </w:pPr>
            <w:r>
              <w:t>1.21</w:t>
            </w:r>
          </w:p>
        </w:tc>
        <w:tc>
          <w:tcPr>
            <w:tcW w:w="866" w:type="dxa"/>
            <w:vAlign w:val="top"/>
          </w:tcPr>
          <w:p>
            <w:pPr>
              <w:spacing w:after="0" w:line="240" w:lineRule="auto"/>
            </w:pPr>
            <w:r>
              <w:t>3</w:t>
            </w:r>
            <w:r>
              <w:rPr>
                <w:rFonts w:hint="default"/>
                <w:lang w:val="en-US"/>
              </w:rPr>
              <w:t>7.05</w:t>
            </w:r>
          </w:p>
        </w:tc>
        <w:tc>
          <w:tcPr>
            <w:tcW w:w="1852" w:type="dxa"/>
            <w:vAlign w:val="top"/>
          </w:tcPr>
          <w:p>
            <w:pPr>
              <w:spacing w:after="0" w:line="240" w:lineRule="auto"/>
            </w:pPr>
            <w:r>
              <w:t>20.4</w:t>
            </w:r>
            <w:r>
              <w:rPr>
                <w:rFonts w:hint="default"/>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RHB Capital</w:t>
            </w:r>
          </w:p>
        </w:tc>
        <w:tc>
          <w:tcPr>
            <w:tcW w:w="991" w:type="dxa"/>
            <w:vAlign w:val="top"/>
          </w:tcPr>
          <w:p>
            <w:pPr>
              <w:spacing w:after="0" w:line="240" w:lineRule="auto"/>
            </w:pPr>
            <w:r>
              <w:t>1066</w:t>
            </w:r>
          </w:p>
        </w:tc>
        <w:tc>
          <w:tcPr>
            <w:tcW w:w="2362" w:type="dxa"/>
            <w:vAlign w:val="top"/>
          </w:tcPr>
          <w:p>
            <w:pPr>
              <w:spacing w:after="0" w:line="240" w:lineRule="auto"/>
            </w:pPr>
            <w:r>
              <w:t>Banks</w:t>
            </w:r>
          </w:p>
        </w:tc>
        <w:tc>
          <w:tcPr>
            <w:tcW w:w="1238" w:type="dxa"/>
            <w:vAlign w:val="top"/>
          </w:tcPr>
          <w:p>
            <w:pPr>
              <w:spacing w:after="0" w:line="240" w:lineRule="auto"/>
            </w:pPr>
            <w:r>
              <w:t>1.06</w:t>
            </w:r>
          </w:p>
        </w:tc>
        <w:tc>
          <w:tcPr>
            <w:tcW w:w="866" w:type="dxa"/>
            <w:vAlign w:val="top"/>
          </w:tcPr>
          <w:p>
            <w:pPr>
              <w:spacing w:after="0" w:line="240" w:lineRule="auto"/>
            </w:pPr>
            <w:r>
              <w:t>9.</w:t>
            </w:r>
            <w:r>
              <w:rPr>
                <w:rFonts w:hint="default"/>
                <w:lang w:val="en-US"/>
              </w:rPr>
              <w:t>18</w:t>
            </w:r>
          </w:p>
        </w:tc>
        <w:tc>
          <w:tcPr>
            <w:tcW w:w="1852" w:type="dxa"/>
            <w:vAlign w:val="top"/>
          </w:tcPr>
          <w:p>
            <w:pPr>
              <w:spacing w:after="0" w:line="240" w:lineRule="auto"/>
            </w:pPr>
            <w:r>
              <w:t>19.</w:t>
            </w:r>
            <w:r>
              <w:rPr>
                <w:rFonts w:hint="default"/>
                <w:lang w:val="en-US"/>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Westports Holdings</w:t>
            </w:r>
          </w:p>
        </w:tc>
        <w:tc>
          <w:tcPr>
            <w:tcW w:w="991" w:type="dxa"/>
            <w:vAlign w:val="top"/>
          </w:tcPr>
          <w:p>
            <w:pPr>
              <w:spacing w:after="0" w:line="240" w:lineRule="auto"/>
            </w:pPr>
            <w:r>
              <w:t>5246</w:t>
            </w:r>
          </w:p>
        </w:tc>
        <w:tc>
          <w:tcPr>
            <w:tcW w:w="2362" w:type="dxa"/>
            <w:vAlign w:val="top"/>
          </w:tcPr>
          <w:p>
            <w:pPr>
              <w:spacing w:after="0" w:line="240" w:lineRule="auto"/>
            </w:pPr>
            <w:r>
              <w:t>Transportation Services</w:t>
            </w:r>
          </w:p>
        </w:tc>
        <w:tc>
          <w:tcPr>
            <w:tcW w:w="1238" w:type="dxa"/>
            <w:vAlign w:val="top"/>
          </w:tcPr>
          <w:p>
            <w:pPr>
              <w:spacing w:after="0" w:line="240" w:lineRule="auto"/>
            </w:pPr>
            <w:r>
              <w:t>0.93</w:t>
            </w:r>
          </w:p>
        </w:tc>
        <w:tc>
          <w:tcPr>
            <w:tcW w:w="866" w:type="dxa"/>
            <w:vAlign w:val="top"/>
          </w:tcPr>
          <w:p>
            <w:pPr>
              <w:spacing w:after="0" w:line="240" w:lineRule="auto"/>
            </w:pPr>
            <w:r>
              <w:t>26.84</w:t>
            </w:r>
          </w:p>
        </w:tc>
        <w:tc>
          <w:tcPr>
            <w:tcW w:w="1852" w:type="dxa"/>
            <w:vAlign w:val="top"/>
          </w:tcPr>
          <w:p>
            <w:pPr>
              <w:spacing w:after="0" w:line="240" w:lineRule="auto"/>
            </w:pPr>
            <w:r>
              <w:t>14.</w:t>
            </w:r>
            <w:r>
              <w:rPr>
                <w:rFonts w:hint="default"/>
                <w:lang w:val="en-US"/>
              </w:rPr>
              <w:t>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Hong Leong Financial</w:t>
            </w:r>
          </w:p>
        </w:tc>
        <w:tc>
          <w:tcPr>
            <w:tcW w:w="991" w:type="dxa"/>
            <w:vAlign w:val="top"/>
          </w:tcPr>
          <w:p>
            <w:pPr>
              <w:spacing w:after="0" w:line="240" w:lineRule="auto"/>
            </w:pPr>
            <w:r>
              <w:t>1082</w:t>
            </w:r>
          </w:p>
        </w:tc>
        <w:tc>
          <w:tcPr>
            <w:tcW w:w="2362" w:type="dxa"/>
            <w:vAlign w:val="top"/>
          </w:tcPr>
          <w:p>
            <w:pPr>
              <w:spacing w:after="0" w:line="240" w:lineRule="auto"/>
            </w:pPr>
            <w:r>
              <w:t>Banks</w:t>
            </w:r>
          </w:p>
        </w:tc>
        <w:tc>
          <w:tcPr>
            <w:tcW w:w="1238" w:type="dxa"/>
            <w:vAlign w:val="top"/>
          </w:tcPr>
          <w:p>
            <w:pPr>
              <w:spacing w:after="0" w:line="240" w:lineRule="auto"/>
            </w:pPr>
            <w:r>
              <w:t>0.64</w:t>
            </w:r>
          </w:p>
        </w:tc>
        <w:tc>
          <w:tcPr>
            <w:tcW w:w="866" w:type="dxa"/>
            <w:vAlign w:val="top"/>
          </w:tcPr>
          <w:p>
            <w:pPr>
              <w:spacing w:after="0" w:line="240" w:lineRule="auto"/>
              <w:rPr>
                <w:rFonts w:hint="default"/>
                <w:lang w:val="en-US"/>
              </w:rPr>
            </w:pPr>
            <w:r>
              <w:rPr>
                <w:rFonts w:hint="default"/>
                <w:lang w:val="en-US"/>
              </w:rPr>
              <w:t>9.92</w:t>
            </w:r>
          </w:p>
        </w:tc>
        <w:tc>
          <w:tcPr>
            <w:tcW w:w="1852" w:type="dxa"/>
            <w:vAlign w:val="top"/>
          </w:tcPr>
          <w:p>
            <w:pPr>
              <w:spacing w:after="0" w:line="240" w:lineRule="auto"/>
            </w:pPr>
            <w:r>
              <w:t>16.</w:t>
            </w:r>
            <w:r>
              <w:rPr>
                <w:rFonts w:hint="default"/>
                <w:lang w:val="en-US"/>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99" w:type="dxa"/>
            <w:vAlign w:val="top"/>
          </w:tcPr>
          <w:p>
            <w:pPr>
              <w:spacing w:after="0" w:line="240" w:lineRule="auto"/>
            </w:pPr>
            <w:r>
              <w:t>KLCC Prop &amp; Reits - Stapled Sec</w:t>
            </w:r>
          </w:p>
        </w:tc>
        <w:tc>
          <w:tcPr>
            <w:tcW w:w="991" w:type="dxa"/>
            <w:vAlign w:val="top"/>
          </w:tcPr>
          <w:p>
            <w:pPr>
              <w:spacing w:after="0" w:line="240" w:lineRule="auto"/>
            </w:pPr>
            <w:r>
              <w:t>5235SS</w:t>
            </w:r>
          </w:p>
        </w:tc>
        <w:tc>
          <w:tcPr>
            <w:tcW w:w="2362" w:type="dxa"/>
            <w:vAlign w:val="top"/>
          </w:tcPr>
          <w:p>
            <w:pPr>
              <w:spacing w:after="0" w:line="240" w:lineRule="auto"/>
            </w:pPr>
            <w:r>
              <w:t>Real Estate Holding &amp; Development</w:t>
            </w:r>
          </w:p>
        </w:tc>
        <w:tc>
          <w:tcPr>
            <w:tcW w:w="1238" w:type="dxa"/>
            <w:vAlign w:val="top"/>
          </w:tcPr>
          <w:p>
            <w:pPr>
              <w:spacing w:after="0" w:line="240" w:lineRule="auto"/>
            </w:pPr>
            <w:r>
              <w:t>0.63</w:t>
            </w:r>
          </w:p>
        </w:tc>
        <w:tc>
          <w:tcPr>
            <w:tcW w:w="866" w:type="dxa"/>
            <w:vAlign w:val="top"/>
          </w:tcPr>
          <w:p>
            <w:pPr>
              <w:spacing w:after="0" w:line="240" w:lineRule="auto"/>
            </w:pPr>
            <w:r>
              <w:t>13.63</w:t>
            </w:r>
          </w:p>
        </w:tc>
        <w:tc>
          <w:tcPr>
            <w:tcW w:w="1852" w:type="dxa"/>
            <w:vAlign w:val="top"/>
          </w:tcPr>
          <w:p>
            <w:pPr>
              <w:spacing w:after="0" w:line="240" w:lineRule="auto"/>
            </w:pPr>
            <w:r>
              <w:t>12.</w:t>
            </w:r>
            <w:r>
              <w:rPr>
                <w:rFonts w:hint="default"/>
                <w:lang w:val="en-US"/>
              </w:rPr>
              <w:t>637</w:t>
            </w:r>
          </w:p>
        </w:tc>
      </w:tr>
    </w:tbl>
    <w:p>
      <w:pPr>
        <w:rPr>
          <w:rFonts w:hint="default"/>
          <w:lang w:val="en-US"/>
        </w:rPr>
      </w:pPr>
    </w:p>
    <w:p>
      <w:pPr>
        <w:rPr>
          <w:rFonts w:hint="default"/>
          <w:lang w:val="en-US"/>
        </w:rPr>
      </w:pPr>
      <w:r>
        <w:rPr>
          <w:rFonts w:hint="default"/>
          <w:lang w:val="en-US"/>
        </w:rPr>
        <w:t xml:space="preserve">2. </w:t>
      </w:r>
    </w:p>
    <w:p>
      <w:pPr>
        <w:rPr>
          <w:rFonts w:hint="default"/>
          <w:lang w:val="en-US"/>
        </w:rPr>
      </w:pPr>
      <w:r>
        <w:rPr>
          <w:rFonts w:hint="default"/>
          <w:lang w:val="en-US"/>
        </w:rPr>
        <w:t xml:space="preserve">We have chosen Malayan Banking with the code 1155 and downloaded its daily data start from </w:t>
      </w:r>
      <w:r>
        <w:rPr>
          <w:rFonts w:hint="default"/>
          <w:lang w:val="en-US"/>
        </w:rPr>
        <w:br/>
      </w:r>
      <w:r>
        <w:rPr>
          <w:rFonts w:hint="default"/>
          <w:lang w:val="en-US"/>
        </w:rPr>
        <w:t xml:space="preserve">Jan 1 2010 to July 24 2015. The following is the plotting for the 5-days moving average of Malayan Banking. </w:t>
      </w:r>
      <w:r>
        <w:rPr>
          <w:rFonts w:hint="default" w:ascii="Calibri" w:hAnsi="Calibri" w:eastAsia="Calibri"/>
          <w:sz w:val="22"/>
          <w:szCs w:val="22"/>
          <w:lang w:val="en-US" w:eastAsia="en-US" w:bidi="ar-SA"/>
        </w:rPr>
        <w:pict>
          <v:shape id="Picture 4" o:spid="_x0000_s1028" type="#_x0000_t75" style="height:349.05pt;width:467.7pt;rotation:0f;" o:ole="f" fillcolor="#FFFFFF" filled="f" o:preferrelative="t" stroked="f" coordorigin="0,0" coordsize="21600,21600">
            <v:fill on="f" color2="#FFFFFF" focus="0%"/>
            <v:imagedata gain="65536f" blacklevel="0f" gamma="0" o:title="f3" r:id="rId7"/>
            <o:lock v:ext="edit" position="f" selection="f" grouping="f" rotation="f" cropping="f" text="f" aspectratio="t"/>
            <w10:wrap type="none"/>
            <w10:anchorlock/>
          </v:shape>
        </w:pict>
      </w:r>
    </w:p>
    <w:p>
      <w:pPr>
        <w:rPr>
          <w:rFonts w:hint="default"/>
          <w:lang w:val="en-US"/>
        </w:rPr>
      </w:pPr>
      <w:r>
        <w:rPr>
          <w:rFonts w:hint="default"/>
          <w:lang w:val="en-US"/>
        </w:rPr>
        <w:t>In order to obtain the 5 days moving average, the closing price of Malayan Banking is added for 5 days, then the total is divided by 5. Next, the correlation between the FTSEKLCI and Malayan Banking for same duration is calculated and the results is as below:</w:t>
      </w:r>
    </w:p>
    <w:p>
      <w:pPr>
        <w:rPr>
          <w:rFonts w:hint="default"/>
          <w:lang w:val="en-US"/>
        </w:rPr>
      </w:pPr>
      <w:r>
        <w:rPr>
          <w:rFonts w:hint="default"/>
          <w:lang w:val="en-US"/>
        </w:rPr>
        <w:t>Correlation =           1155.KL     ^KLSE</w:t>
      </w:r>
    </w:p>
    <w:p>
      <w:pPr>
        <w:rPr>
          <w:rFonts w:hint="default"/>
          <w:lang w:val="en-US"/>
        </w:rPr>
      </w:pPr>
      <w:r>
        <w:rPr>
          <w:rFonts w:hint="default"/>
          <w:lang w:val="en-US"/>
        </w:rPr>
        <w:t>1155.KL  1.000000  0.975116</w:t>
      </w:r>
    </w:p>
    <w:p>
      <w:pPr>
        <w:rPr>
          <w:rFonts w:hint="default"/>
          <w:lang w:val="en-US"/>
        </w:rPr>
      </w:pPr>
      <w:r>
        <w:rPr>
          <w:rFonts w:hint="default"/>
          <w:lang w:val="en-US"/>
        </w:rPr>
        <w:t>^KLSE    0.975116  1.000000</w:t>
      </w:r>
    </w:p>
    <w:p>
      <w:pPr>
        <w:rPr>
          <w:rFonts w:hint="default"/>
          <w:lang w:val="en-US"/>
        </w:rPr>
      </w:pPr>
      <w:bookmarkStart w:id="0" w:name="_GoBack"/>
      <w:bookmarkEnd w:id="0"/>
    </w:p>
    <w:p>
      <w:pPr>
        <w:rPr>
          <w:rFonts w:hint="default"/>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5"/>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2">
    <w:name w:val="Default Paragraph Font"/>
    <w:semiHidden/>
    <w:unhideWhenUsed/>
    <w:uiPriority w:val="1"/>
  </w:style>
  <w:style w:type="character" w:styleId="3">
    <w:name w:val="Hyperlink"/>
    <w:basedOn w:val="2"/>
    <w:semiHidden/>
    <w:unhideWhenUsed/>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2015-07-13T01:39:00Z</dcterms:created>
  <dc:creator>Windows User</dc:creator>
  <cp:lastModifiedBy>Toshiba</cp:lastModifiedBy>
  <dcterms:modified xsi:type="dcterms:W3CDTF">2015-07-26T19:08:04Z</dcterms:modified>
  <dc:title>Task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