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693C55">
      <w:pPr>
        <w:spacing w:before="0" w:after="160" w:line="240" w:lineRule="auto"/>
        <w:jc w:val="center"/>
      </w:pPr>
      <w:r>
        <w:rPr>
          <w:rFonts w:ascii="Noto Sans CJK SC" w:hAnsi="Noto Sans CJK SC" w:eastAsia="Noto Sans CJK SC" w:cs="Noto Sans CJK SC"/>
          <w:b/>
          <w:color w:val="000000"/>
          <w:sz w:val="32"/>
        </w:rPr>
        <w:t>哈尔滨工业大学（深圳）毕业设计（论文）任务书</w:t>
      </w:r>
    </w:p>
    <w:tbl>
      <w:tblPr>
        <w:tblStyle w:val="32"/>
        <w:tblW w:w="0" w:type="auto"/>
        <w:jc w:val="center"/>
        <w:tblBorders>
          <w:top w:val="single" w:color="404040" w:sz="12" w:space="0"/>
          <w:left w:val="single" w:color="404040" w:sz="12" w:space="0"/>
          <w:bottom w:val="single" w:color="404040" w:sz="12" w:space="0"/>
          <w:right w:val="single" w:color="404040" w:sz="12" w:space="0"/>
          <w:insideH w:val="single" w:color="404040" w:sz="12" w:space="0"/>
          <w:insideV w:val="single" w:color="404040" w:sz="1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37"/>
        <w:gridCol w:w="2537"/>
        <w:gridCol w:w="2537"/>
        <w:gridCol w:w="2537"/>
      </w:tblGrid>
      <w:tr w14:paraId="02D94016">
        <w:trPr>
          <w:trHeight w:val="482" w:hRule="atLeast"/>
          <w:jc w:val="center"/>
        </w:trPr>
        <w:tc>
          <w:tcPr>
            <w:tcW w:w="1502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67712C4">
            <w:pPr>
              <w:spacing w:before="0" w:after="0" w:line="276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color w:val="000000"/>
                <w:sz w:val="21"/>
              </w:rPr>
              <w:t>姓　名</w:t>
            </w:r>
          </w:p>
        </w:tc>
        <w:tc>
          <w:tcPr>
            <w:tcW w:w="3487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497F1A9">
            <w:pPr>
              <w:spacing w:before="0" w:after="0" w:line="276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color w:val="000000"/>
                <w:sz w:val="21"/>
              </w:rPr>
              <w:t>张艺馨</w:t>
            </w:r>
          </w:p>
        </w:tc>
        <w:tc>
          <w:tcPr>
            <w:tcW w:w="1502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27611A6">
            <w:pPr>
              <w:spacing w:before="0" w:after="0" w:line="276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color w:val="000000"/>
                <w:sz w:val="21"/>
              </w:rPr>
              <w:t>学　号</w:t>
            </w:r>
          </w:p>
        </w:tc>
        <w:tc>
          <w:tcPr>
            <w:tcW w:w="3487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443E169">
            <w:pPr>
              <w:spacing w:before="0" w:after="0" w:line="276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color w:val="000000"/>
                <w:sz w:val="21"/>
              </w:rPr>
              <w:t>**********</w:t>
            </w:r>
          </w:p>
        </w:tc>
      </w:tr>
      <w:tr w14:paraId="40FCA655">
        <w:trPr>
          <w:trHeight w:val="482" w:hRule="atLeast"/>
          <w:jc w:val="center"/>
        </w:trPr>
        <w:tc>
          <w:tcPr>
            <w:tcW w:w="1502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91A3E6A">
            <w:pPr>
              <w:spacing w:before="0" w:after="0" w:line="276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color w:val="000000"/>
                <w:sz w:val="21"/>
              </w:rPr>
              <w:t>专　业</w:t>
            </w:r>
          </w:p>
        </w:tc>
        <w:tc>
          <w:tcPr>
            <w:tcW w:w="8476" w:type="dxa"/>
            <w:gridSpan w:val="3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5ED2947">
            <w:pPr>
              <w:spacing w:before="0" w:after="0" w:line="276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color w:val="000000"/>
                <w:sz w:val="21"/>
              </w:rPr>
              <w:t>计算机科学与技术</w:t>
            </w:r>
          </w:p>
        </w:tc>
      </w:tr>
      <w:tr w14:paraId="040AB02B">
        <w:trPr>
          <w:trHeight w:val="482" w:hRule="atLeast"/>
          <w:jc w:val="center"/>
        </w:trPr>
        <w:tc>
          <w:tcPr>
            <w:tcW w:w="1502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F38156E">
            <w:pPr>
              <w:spacing w:before="0" w:after="0" w:line="276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color w:val="000000"/>
                <w:sz w:val="20"/>
              </w:rPr>
              <w:t>任务起至日期</w:t>
            </w:r>
          </w:p>
        </w:tc>
        <w:tc>
          <w:tcPr>
            <w:tcW w:w="8476" w:type="dxa"/>
            <w:gridSpan w:val="3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47FA671">
            <w:pPr>
              <w:spacing w:before="0" w:after="0" w:line="276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color w:val="000000"/>
                <w:sz w:val="21"/>
              </w:rPr>
              <w:t>2026年9月至2027年5月</w:t>
            </w:r>
          </w:p>
        </w:tc>
      </w:tr>
      <w:tr w14:paraId="78F0317E">
        <w:trPr>
          <w:trHeight w:val="567" w:hRule="atLeast"/>
          <w:jc w:val="center"/>
        </w:trPr>
        <w:tc>
          <w:tcPr>
            <w:tcW w:w="1502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A212502">
            <w:pPr>
              <w:spacing w:before="0" w:after="0" w:line="276" w:lineRule="auto"/>
              <w:jc w:val="center"/>
            </w:pPr>
            <w:r>
              <w:rPr>
                <w:rFonts w:ascii="Songti SC" w:hAnsi="Songti SC" w:eastAsia="Songti SC" w:cs="Songti SC"/>
                <w:b w:val="0"/>
                <w:color w:val="000000"/>
                <w:sz w:val="19"/>
              </w:rPr>
              <w:t>设计（论文）题目</w:t>
            </w:r>
          </w:p>
        </w:tc>
        <w:tc>
          <w:tcPr>
            <w:tcW w:w="8476" w:type="dxa"/>
            <w:gridSpan w:val="3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0C8382E">
            <w:pPr>
              <w:spacing w:before="0" w:after="0" w:line="276" w:lineRule="auto"/>
              <w:jc w:val="center"/>
            </w:pPr>
            <w:r>
              <w:rPr>
                <w:rFonts w:ascii="Songti SC" w:hAnsi="Songti SC" w:eastAsia="Songti SC" w:cs="Songti SC"/>
                <w:b/>
                <w:color w:val="000000"/>
                <w:sz w:val="21"/>
              </w:rPr>
              <w:t>大规模医学知识图谱的疾病实体标准化方法</w:t>
            </w:r>
          </w:p>
        </w:tc>
      </w:tr>
      <w:tr w14:paraId="1EA2A398">
        <w:trPr>
          <w:trHeight w:val="3402" w:hRule="atLeast"/>
          <w:jc w:val="center"/>
        </w:trPr>
        <w:tc>
          <w:tcPr>
            <w:tcW w:w="9978" w:type="dxa"/>
            <w:gridSpan w:val="4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105F8747">
            <w:pPr>
              <w:spacing w:before="0" w:after="60" w:line="260" w:lineRule="exact"/>
              <w:jc w:val="left"/>
            </w:pPr>
            <w:r>
              <w:rPr>
                <w:rFonts w:ascii="Songti SC" w:hAnsi="Songti SC" w:eastAsia="Songti SC" w:cs="Songti SC"/>
                <w:b/>
                <w:color w:val="000000"/>
                <w:sz w:val="21"/>
              </w:rPr>
              <w:t>立题的目的和意义：</w:t>
            </w:r>
          </w:p>
          <w:p w14:paraId="16170BF0">
            <w:pPr>
              <w:spacing w:before="0" w:after="0" w:line="220" w:lineRule="exact"/>
              <w:ind w:firstLine="0"/>
              <w:jc w:val="left"/>
              <w:rPr>
                <w:rFonts w:ascii="Songti SC" w:hAnsi="Songti SC" w:eastAsia="Songti SC" w:cs="Songti SC"/>
                <w:b w:val="0"/>
                <w:color w:val="000000"/>
                <w:sz w:val="18"/>
              </w:rPr>
            </w:pPr>
            <w:r>
              <w:rPr>
                <w:rFonts w:ascii="Songti SC" w:hAnsi="Songti SC" w:eastAsia="Songti SC"/>
                <w:b/>
                <w:sz w:val="18"/>
              </w:rPr>
              <w:t>1.目的</w:t>
            </w:r>
          </w:p>
          <w:p w14:paraId="36DBE287">
            <w:pPr>
              <w:spacing w:before="0" w:after="0" w:line="220" w:lineRule="exact"/>
              <w:ind w:firstLine="360"/>
              <w:jc w:val="left"/>
              <w:rPr>
                <w:rFonts w:ascii="Songti SC" w:hAnsi="Songti SC" w:eastAsia="Songti SC" w:cs="Songti SC"/>
                <w:b w:val="0"/>
                <w:color w:val="000000"/>
                <w:sz w:val="18"/>
              </w:rPr>
            </w:pPr>
            <w:r>
              <w:rPr>
                <w:rFonts w:ascii="Songti SC" w:hAnsi="Songti SC" w:eastAsia="Songti SC"/>
                <w:sz w:val="18"/>
              </w:rPr>
              <w:t>本课题旨在针对中文临床诊断名称中简称、别名、中英文混写及多个疾病概念组合等现象，研究面向大规模医学知识图谱的疾病实体标准化方法。以 ICD-10 标准疾病词表为候选库，结合字符检索、语义检索、预训练语言模型、知识图谱别名与关系证据以及实体数量预测，构建“候选召回—候选排序—多实体输出”的标准化流程，重点解决候选漏召回、语义匹配不准确和输出数量错误等问题，实现非规范诊断名称到一个或多个标准疾病实体的自动映射。</w:t>
            </w:r>
          </w:p>
          <w:p w14:paraId="751F0A6A">
            <w:pPr>
              <w:spacing w:before="0" w:after="0" w:line="220" w:lineRule="exact"/>
              <w:ind w:firstLine="0"/>
              <w:jc w:val="left"/>
              <w:rPr>
                <w:rFonts w:ascii="Songti SC" w:hAnsi="Songti SC" w:eastAsia="Songti SC" w:cs="Songti SC"/>
                <w:b w:val="0"/>
                <w:color w:val="000000"/>
                <w:sz w:val="18"/>
              </w:rPr>
            </w:pPr>
            <w:r>
              <w:rPr>
                <w:rFonts w:ascii="Songti SC" w:hAnsi="Songti SC" w:eastAsia="Songti SC"/>
                <w:b/>
                <w:sz w:val="18"/>
              </w:rPr>
              <w:t>2.意义</w:t>
            </w:r>
          </w:p>
          <w:p w14:paraId="4F83698C">
            <w:pPr>
              <w:spacing w:before="0" w:after="0" w:line="220" w:lineRule="exact"/>
              <w:ind w:firstLine="360"/>
              <w:jc w:val="left"/>
              <w:rPr>
                <w:rFonts w:ascii="Songti SC" w:hAnsi="Songti SC" w:eastAsia="Songti SC" w:cs="Songti SC"/>
                <w:b w:val="0"/>
                <w:color w:val="000000"/>
                <w:sz w:val="18"/>
              </w:rPr>
            </w:pPr>
            <w:r>
              <w:rPr>
                <w:rFonts w:ascii="Songti SC" w:hAnsi="Songti SC" w:eastAsia="Songti SC"/>
                <w:sz w:val="18"/>
              </w:rPr>
              <w:t>理论层面：研究知识图谱与深度语义模型在中文疾病实体标准化中的互补作用，分析候选覆盖、语义匹配与实体数量控制对标准化效果的影响，为多实体诊断短语的规范化表示提供实验依据。</w:t>
            </w:r>
          </w:p>
          <w:p w14:paraId="603F8CD5">
            <w:pPr>
              <w:spacing w:before="0" w:after="0" w:line="220" w:lineRule="exact"/>
              <w:ind w:firstLine="360"/>
              <w:jc w:val="left"/>
              <w:rPr>
                <w:rFonts w:ascii="Songti SC" w:hAnsi="Songti SC" w:eastAsia="Songti SC" w:cs="Songti SC"/>
                <w:b w:val="0"/>
                <w:color w:val="000000"/>
                <w:sz w:val="18"/>
              </w:rPr>
            </w:pPr>
            <w:r>
              <w:rPr>
                <w:rFonts w:ascii="Songti SC" w:hAnsi="Songti SC" w:eastAsia="Songti SC"/>
                <w:sz w:val="18"/>
              </w:rPr>
              <w:t>技术层面：融合字面特征、语义特征和图谱知识，探索大规模候选词表下的疾病实体检索与排序方法，形成可复现、可评测的标准化流程，为其他中文医学术语标准化任务提供参考。</w:t>
            </w:r>
          </w:p>
          <w:p w14:paraId="7DC6FEE4">
            <w:pPr>
              <w:spacing w:before="0" w:after="0" w:line="220" w:lineRule="exact"/>
              <w:ind w:firstLine="360"/>
              <w:jc w:val="left"/>
              <w:rPr>
                <w:rFonts w:ascii="Songti SC" w:hAnsi="Songti SC" w:eastAsia="Songti SC" w:cs="Songti SC"/>
                <w:b w:val="0"/>
                <w:color w:val="000000"/>
                <w:sz w:val="18"/>
              </w:rPr>
            </w:pPr>
            <w:r>
              <w:rPr>
                <w:rFonts w:ascii="Songti SC" w:hAnsi="Songti SC" w:eastAsia="Songti SC"/>
                <w:sz w:val="18"/>
              </w:rPr>
              <w:t>应用层面：为病案编码辅助、临床数据治理、疾病统计和科研队列筛选提供统一的疾病名称及编码映射支持，减少不同写法造成的数据重复或遗漏，为医学知识库对齐和医疗数据利用提供基础。</w:t>
            </w:r>
          </w:p>
        </w:tc>
      </w:tr>
      <w:tr w14:paraId="4E4053F1">
        <w:trPr>
          <w:trHeight w:val="3628" w:hRule="atLeast"/>
          <w:jc w:val="center"/>
        </w:trPr>
        <w:tc>
          <w:tcPr>
            <w:tcW w:w="9978" w:type="dxa"/>
            <w:gridSpan w:val="4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5BB3344A">
            <w:pPr>
              <w:spacing w:before="0" w:after="60" w:line="260" w:lineRule="exact"/>
              <w:jc w:val="left"/>
            </w:pPr>
            <w:r>
              <w:rPr>
                <w:rFonts w:ascii="Songti SC" w:hAnsi="Songti SC" w:eastAsia="Songti SC" w:cs="Songti SC"/>
                <w:b/>
                <w:color w:val="000000"/>
                <w:sz w:val="21"/>
              </w:rPr>
              <w:t>技术指标与主要内容：</w:t>
            </w:r>
          </w:p>
          <w:p w14:paraId="2CBBFD42">
            <w:pPr>
              <w:spacing w:before="0" w:after="0" w:line="220" w:lineRule="exact"/>
              <w:ind w:firstLine="0"/>
              <w:jc w:val="left"/>
              <w:rPr>
                <w:rFonts w:ascii="Songti SC" w:hAnsi="Songti SC" w:eastAsia="Songti SC" w:cs="Songti SC"/>
                <w:b w:val="0"/>
                <w:color w:val="000000"/>
                <w:sz w:val="18"/>
              </w:rPr>
            </w:pPr>
            <w:r>
              <w:rPr>
                <w:rFonts w:ascii="Songti SC" w:hAnsi="Songti SC" w:eastAsia="Songti SC"/>
                <w:b/>
                <w:sz w:val="18"/>
              </w:rPr>
              <w:t>1.主要内容</w:t>
            </w:r>
          </w:p>
          <w:p w14:paraId="67E46D58">
            <w:pPr>
              <w:spacing w:before="0" w:after="0" w:line="220" w:lineRule="exact"/>
              <w:ind w:firstLine="360"/>
              <w:jc w:val="left"/>
              <w:rPr>
                <w:rFonts w:ascii="Songti SC" w:hAnsi="Songti SC" w:eastAsia="Songti SC" w:cs="Songti SC"/>
                <w:b w:val="0"/>
                <w:color w:val="000000"/>
                <w:sz w:val="18"/>
              </w:rPr>
            </w:pPr>
            <w:r>
              <w:rPr>
                <w:rFonts w:ascii="Songti SC" w:hAnsi="Songti SC" w:eastAsia="Songti SC"/>
                <w:sz w:val="18"/>
              </w:rPr>
              <w:t>数据整理与候选库构建：整理 CHIP-CDN 数据集、ICD-10 北京临床版标准疾病名称及编码和 CPubMed-KG 2.0 医学知识图谱，完成数据清洗、名称规范化和图谱证据整理，构建固定标准候选库，明确训练与评价数据划分。</w:t>
            </w:r>
          </w:p>
          <w:p w14:paraId="3E860A31">
            <w:pPr>
              <w:spacing w:before="0" w:after="0" w:line="220" w:lineRule="exact"/>
              <w:ind w:firstLine="360"/>
              <w:jc w:val="left"/>
              <w:rPr>
                <w:rFonts w:ascii="Songti SC" w:hAnsi="Songti SC" w:eastAsia="Songti SC" w:cs="Songti SC"/>
                <w:b w:val="0"/>
                <w:color w:val="000000"/>
                <w:sz w:val="18"/>
              </w:rPr>
            </w:pPr>
            <w:r>
              <w:rPr>
                <w:rFonts w:ascii="Songti SC" w:hAnsi="Songti SC" w:eastAsia="Songti SC"/>
                <w:sz w:val="18"/>
              </w:rPr>
              <w:t>疾病实体标准化方法研究：结合字符检索与语义检索召回候选疾病实体，利用预训练语言模型进行语义匹配与候选排序，引入图谱别名和关系证据，并结合实体数量预测控制多实体输出，构建完整的疾病实体标准化流程。</w:t>
            </w:r>
          </w:p>
          <w:p w14:paraId="703D499A">
            <w:pPr>
              <w:spacing w:before="0" w:after="0" w:line="220" w:lineRule="exact"/>
              <w:ind w:firstLine="360"/>
              <w:jc w:val="left"/>
              <w:rPr>
                <w:rFonts w:ascii="Songti SC" w:hAnsi="Songti SC" w:eastAsia="Songti SC" w:cs="Songti SC"/>
                <w:b w:val="0"/>
                <w:color w:val="000000"/>
                <w:sz w:val="18"/>
              </w:rPr>
            </w:pPr>
            <w:r>
              <w:rPr>
                <w:rFonts w:ascii="Songti SC" w:hAnsi="Songti SC" w:eastAsia="Songti SC"/>
                <w:sz w:val="18"/>
              </w:rPr>
              <w:t>实验评价与系统实现：开展基线对比、消融实验、单实体与多实体分组实验及典型错误分析，评价各组成部分的实际作用，完成可运行的标准化演示程序。</w:t>
            </w:r>
          </w:p>
          <w:p w14:paraId="6510CE1F">
            <w:pPr>
              <w:spacing w:before="0" w:after="0" w:line="220" w:lineRule="exact"/>
              <w:ind w:firstLine="0"/>
              <w:jc w:val="left"/>
              <w:rPr>
                <w:rFonts w:ascii="Songti SC" w:hAnsi="Songti SC" w:eastAsia="Songti SC" w:cs="Songti SC"/>
                <w:b w:val="0"/>
                <w:color w:val="000000"/>
                <w:sz w:val="18"/>
              </w:rPr>
            </w:pPr>
            <w:r>
              <w:rPr>
                <w:rFonts w:ascii="Songti SC" w:hAnsi="Songti SC" w:eastAsia="Songti SC"/>
                <w:b/>
                <w:sz w:val="18"/>
              </w:rPr>
              <w:t>2.技术指标</w:t>
            </w:r>
          </w:p>
          <w:p w14:paraId="0A7F9E62">
            <w:pPr>
              <w:spacing w:before="0" w:after="0" w:line="220" w:lineRule="exact"/>
              <w:ind w:firstLine="360"/>
              <w:jc w:val="left"/>
              <w:rPr>
                <w:rFonts w:ascii="Songti SC" w:hAnsi="Songti SC" w:eastAsia="Songti SC" w:cs="Songti SC"/>
                <w:b w:val="0"/>
                <w:color w:val="000000"/>
                <w:sz w:val="18"/>
              </w:rPr>
            </w:pPr>
            <w:r>
              <w:rPr>
                <w:rFonts w:ascii="Songti SC" w:hAnsi="Songti SC" w:eastAsia="Songti SC"/>
                <w:sz w:val="18"/>
              </w:rPr>
              <w:t>数据与候选规模：使用包含37645个去重标准疾病名称的 ICD-10 候选库，以及包含4580058条三元组、45种关系类型的 CPubMed-KG 2.0 知识图谱。</w:t>
            </w:r>
          </w:p>
          <w:p w14:paraId="06C69BE6">
            <w:pPr>
              <w:spacing w:before="0" w:after="0" w:line="220" w:lineRule="exact"/>
              <w:ind w:firstLine="360"/>
              <w:jc w:val="left"/>
              <w:rPr>
                <w:rFonts w:ascii="Songti SC" w:hAnsi="Songti SC" w:eastAsia="Songti SC" w:cs="Songti SC"/>
                <w:b w:val="0"/>
                <w:color w:val="000000"/>
                <w:sz w:val="18"/>
              </w:rPr>
            </w:pPr>
            <w:r>
              <w:rPr>
                <w:rFonts w:ascii="Songti SC" w:hAnsi="Songti SC" w:eastAsia="Songti SC"/>
                <w:sz w:val="18"/>
              </w:rPr>
              <w:t>候选召回指标：每条诊断名称保留 Top-400 候选，在 CHIP-CDN 官方验证集上的正确标签召回率不低于90%。</w:t>
            </w:r>
          </w:p>
          <w:p w14:paraId="6908E844">
            <w:pPr>
              <w:spacing w:before="0" w:after="0" w:line="220" w:lineRule="exact"/>
              <w:ind w:firstLine="360"/>
              <w:jc w:val="left"/>
              <w:rPr>
                <w:rFonts w:ascii="Songti SC" w:hAnsi="Songti SC" w:eastAsia="Songti SC" w:cs="Songti SC"/>
                <w:b w:val="0"/>
                <w:color w:val="000000"/>
                <w:sz w:val="18"/>
              </w:rPr>
            </w:pPr>
            <w:r>
              <w:rPr>
                <w:rFonts w:ascii="Songti SC" w:hAnsi="Songti SC" w:eastAsia="Songti SC"/>
                <w:sz w:val="18"/>
              </w:rPr>
              <w:t>端到端效果指标：在包含2000条样本的 CHIP-CDN 官方验证集上，疾病实体标准化 Micro-F1 不低于70%，同时报告精确率、召回率及单实体、多实体分组结果。</w:t>
            </w:r>
          </w:p>
          <w:p w14:paraId="409977ED">
            <w:pPr>
              <w:spacing w:before="0" w:after="0" w:line="220" w:lineRule="exact"/>
              <w:ind w:firstLine="0"/>
              <w:jc w:val="left"/>
              <w:rPr>
                <w:rFonts w:ascii="Songti SC" w:hAnsi="Songti SC" w:eastAsia="Songti SC" w:cs="Songti SC"/>
                <w:b w:val="0"/>
                <w:color w:val="000000"/>
                <w:sz w:val="18"/>
              </w:rPr>
            </w:pPr>
            <w:r>
              <w:rPr>
                <w:rFonts w:ascii="Songti SC" w:hAnsi="Songti SC" w:eastAsia="Songti SC"/>
                <w:b/>
                <w:sz w:val="18"/>
              </w:rPr>
              <w:t>3.预期成果</w:t>
            </w:r>
          </w:p>
          <w:p w14:paraId="757BB402">
            <w:pPr>
              <w:spacing w:before="0" w:after="0" w:line="220" w:lineRule="exact"/>
              <w:ind w:firstLine="360"/>
              <w:jc w:val="left"/>
              <w:rPr>
                <w:rFonts w:ascii="Songti SC" w:hAnsi="Songti SC" w:eastAsia="Songti SC" w:cs="Songti SC"/>
                <w:b w:val="0"/>
                <w:color w:val="000000"/>
                <w:sz w:val="18"/>
              </w:rPr>
            </w:pPr>
            <w:r>
              <w:rPr>
                <w:rFonts w:ascii="Songti SC" w:hAnsi="Songti SC" w:eastAsia="Songti SC"/>
                <w:sz w:val="18"/>
              </w:rPr>
              <w:t>交付疾病实体标准化算法源码及可运行演示程序1套，形成包含基线对比、消融实验和错误分析的实验结果，撰写并提交符合学校学术规范的毕业论文1篇。</w:t>
            </w:r>
            <w:bookmarkStart w:id="0" w:name="_GoBack"/>
            <w:bookmarkEnd w:id="0"/>
          </w:p>
        </w:tc>
      </w:tr>
      <w:tr w14:paraId="1018D968">
        <w:trPr>
          <w:trHeight w:val="1134" w:hRule="atLeast"/>
          <w:jc w:val="center"/>
          <w:cantSplit/>
        </w:trPr>
        <w:tc>
          <w:tcPr>
            <w:tcW w:w="9978" w:type="dxa"/>
            <w:gridSpan w:val="4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125340F6">
            <w:pPr>
              <w:pageBreakBefore w:val="0"/>
              <w:spacing w:before="0" w:after="60" w:line="260" w:lineRule="exact"/>
              <w:jc w:val="left"/>
            </w:pPr>
            <w:r>
              <w:rPr>
                <w:rFonts w:ascii="Songti SC" w:hAnsi="Songti SC" w:eastAsia="Songti SC" w:cs="Songti SC"/>
                <w:b/>
                <w:color w:val="000000"/>
                <w:sz w:val="21"/>
              </w:rPr>
              <w:t>进度安排：</w:t>
            </w:r>
          </w:p>
          <w:p w14:paraId="7D307B37">
            <w:pPr>
              <w:spacing w:before="0" w:after="100" w:line="220" w:lineRule="exact"/>
              <w:ind w:firstLine="360"/>
              <w:jc w:val="left"/>
              <w:rPr>
                <w:rFonts w:ascii="Songti SC" w:hAnsi="Songti SC" w:eastAsia="Songti SC" w:cs="Songti SC"/>
                <w:b w:val="0"/>
                <w:color w:val="000000"/>
                <w:sz w:val="18"/>
              </w:rPr>
            </w:pPr>
            <w:r>
              <w:rPr>
                <w:rFonts w:ascii="Songti SC" w:hAnsi="Songti SC" w:eastAsia="Songti SC"/>
                <w:b/>
                <w:sz w:val="18"/>
              </w:rPr>
              <w:t>2026年9—10月：</w:t>
            </w:r>
            <w:r>
              <w:rPr>
                <w:rFonts w:ascii="Songti SC" w:hAnsi="Songti SC" w:eastAsia="Songti SC"/>
                <w:b w:val="0"/>
                <w:sz w:val="18"/>
              </w:rPr>
              <w:t>查阅中文医学实体标准化、实体链接、语义检索和知识图谱增强等方向的相关文献，梳理国内外研究现状及现有方法的适用范围。结合临床诊断名称中别名、缩写和多疾病概念组合等问题，明确课题的研究目标、输入输出形式及评价指标。了解所用数据集与医学知识图谱的基本结构，确定总体技术路线和实验方案，完成任务书与开题报告，并根据指导教师意见修改完善。</w:t>
            </w:r>
          </w:p>
          <w:p w14:paraId="7D307B37">
            <w:pPr>
              <w:spacing w:before="0" w:after="100" w:line="220" w:lineRule="exact"/>
              <w:ind w:firstLine="360"/>
              <w:jc w:val="left"/>
              <w:rPr>
                <w:rFonts w:ascii="Songti SC" w:hAnsi="Songti SC" w:eastAsia="Songti SC" w:cs="Songti SC"/>
                <w:b w:val="0"/>
                <w:color w:val="000000"/>
                <w:sz w:val="18"/>
              </w:rPr>
            </w:pPr>
            <w:r>
              <w:rPr>
                <w:rFonts w:ascii="Songti SC" w:hAnsi="Songti SC" w:eastAsia="Songti SC"/>
                <w:b/>
                <w:sz w:val="18"/>
              </w:rPr>
              <w:t>2026年10—11月：</w:t>
            </w:r>
            <w:r>
              <w:rPr>
                <w:rFonts w:ascii="Songti SC" w:hAnsi="Songti SC" w:eastAsia="Songti SC"/>
                <w:b w:val="0"/>
                <w:sz w:val="18"/>
              </w:rPr>
              <w:t>整理中文临床诊断名称数据、标准疾病词表与医学知识图谱，完成数据清洗、名称规范化、重复项检查及训练和评价数据划分。构建固定的标准疾病候选库，整理可用于标准化的图谱别名与关系证据。实现字符匹配及基础语义检索方法，开展候选召回与文本匹配基线实验，记录评价结果和典型错误，形成可复用的数据处理流程，为后续模型设计与实验对比提供依据。</w:t>
            </w:r>
          </w:p>
          <w:p w14:paraId="7D307B37">
            <w:pPr>
              <w:spacing w:before="0" w:after="100" w:line="220" w:lineRule="exact"/>
              <w:ind w:firstLine="360"/>
              <w:jc w:val="left"/>
              <w:rPr>
                <w:rFonts w:ascii="Songti SC" w:hAnsi="Songti SC" w:eastAsia="Songti SC" w:cs="Songti SC"/>
                <w:b w:val="0"/>
                <w:color w:val="000000"/>
                <w:sz w:val="18"/>
              </w:rPr>
            </w:pPr>
            <w:r>
              <w:rPr>
                <w:rFonts w:ascii="Songti SC" w:hAnsi="Songti SC" w:eastAsia="Songti SC"/>
                <w:b/>
                <w:sz w:val="18"/>
              </w:rPr>
              <w:t>2026年12月至2027年2月：</w:t>
            </w:r>
            <w:r>
              <w:rPr>
                <w:rFonts w:ascii="Songti SC" w:hAnsi="Songti SC" w:eastAsia="Songti SC"/>
                <w:b w:val="0"/>
                <w:sz w:val="18"/>
              </w:rPr>
              <w:t>在前期数据整理和基线实验的基础上，设计结合字符检索与语义检索的候选召回方法，研究基于预训练语言模型的候选排序方法。将医学知识图谱中的别名和关系证据引入标准化流程，并结合实体数量预测处理包含多个疾病概念的诊断短语。完成各组成模型的训练、参数选择及流程联调，保存模型配置、训练记录与实验结果，形成能够运行的疾病实体标准化程序。</w:t>
            </w:r>
          </w:p>
          <w:p w14:paraId="7D307B37">
            <w:pPr>
              <w:spacing w:before="0" w:after="100" w:line="220" w:lineRule="exact"/>
              <w:ind w:firstLine="360"/>
              <w:jc w:val="left"/>
              <w:rPr>
                <w:rFonts w:ascii="Songti SC" w:hAnsi="Songti SC" w:eastAsia="Songti SC" w:cs="Songti SC"/>
                <w:b w:val="0"/>
                <w:color w:val="000000"/>
                <w:sz w:val="18"/>
              </w:rPr>
            </w:pPr>
            <w:r>
              <w:rPr>
                <w:rFonts w:ascii="Songti SC" w:hAnsi="Songti SC" w:eastAsia="Songti SC"/>
                <w:b/>
                <w:sz w:val="18"/>
              </w:rPr>
              <w:t>2027年3—4月：</w:t>
            </w:r>
            <w:r>
              <w:rPr>
                <w:rFonts w:ascii="Songti SC" w:hAnsi="Songti SC" w:eastAsia="Songti SC"/>
                <w:b w:val="0"/>
                <w:sz w:val="18"/>
              </w:rPr>
              <w:t>按照统一的评价口径开展正式实验，统计候选召回率以及端到端精确率、召回率和综合评价指标，并分别分析单实体与多实体样本的标准化效果。完成与基线方法的对比实验及主要组成部分的消融实验，检查图谱证据、召回得分和数量控制等因素的实际作用。结合典型预测案例分析候选遗漏、语义混淆和输出数量错误，复核评价程序与实验记录，整理结果表格并完善演示程序。</w:t>
            </w:r>
          </w:p>
          <w:p w14:paraId="7D307B37">
            <w:pPr>
              <w:spacing w:before="0" w:after="100" w:line="220" w:lineRule="exact"/>
              <w:ind w:firstLine="360"/>
              <w:jc w:val="left"/>
              <w:rPr>
                <w:rFonts w:ascii="Songti SC" w:hAnsi="Songti SC" w:eastAsia="Songti SC" w:cs="Songti SC"/>
                <w:b w:val="0"/>
                <w:color w:val="000000"/>
                <w:sz w:val="18"/>
              </w:rPr>
            </w:pPr>
            <w:r>
              <w:rPr>
                <w:rFonts w:ascii="Songti SC" w:hAnsi="Songti SC" w:eastAsia="Songti SC"/>
                <w:b/>
                <w:sz w:val="18"/>
              </w:rPr>
              <w:t>2027年5月：</w:t>
            </w:r>
            <w:r>
              <w:rPr>
                <w:rFonts w:ascii="Songti SC" w:hAnsi="Songti SC" w:eastAsia="Songti SC"/>
                <w:b w:val="0"/>
                <w:sz w:val="18"/>
              </w:rPr>
              <w:t>在已有研究和实验结果的基础上完成毕业论文定稿，系统说明研究背景、相关工作、数据处理、模型方法、实验设置及结果分析。根据指导教师反馈修改论述和图表，核对参考文献、术语、公式及评价指标的一致性，按学校要求检查论文格式。整理算法源码、运行说明和实验材料，准备答辩演示文稿及系统展示，梳理研究贡献、方法局限和后续工作，完成答辩准备与材料提交。</w:t>
            </w:r>
          </w:p>
        </w:tc>
      </w:tr>
      <w:tr w14:paraId="5B86EE2D">
        <w:trPr>
          <w:trHeight w:val="709" w:hRule="atLeast"/>
          <w:jc w:val="center"/>
        </w:trPr>
        <w:tc>
          <w:tcPr>
            <w:tcW w:w="9978" w:type="dxa"/>
            <w:gridSpan w:val="4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 w14:paraId="5762BFBD">
            <w:pPr>
              <w:spacing w:before="0" w:after="60" w:line="260" w:lineRule="exact"/>
              <w:jc w:val="left"/>
            </w:pPr>
            <w:r>
              <w:rPr>
                <w:rFonts w:ascii="Songti SC" w:hAnsi="Songti SC" w:eastAsia="Songti SC" w:cs="Songti SC"/>
                <w:b/>
                <w:color w:val="000000"/>
                <w:sz w:val="21"/>
              </w:rPr>
              <w:t>同组设计者及分工：</w:t>
            </w:r>
          </w:p>
          <w:p w14:paraId="4030847B">
            <w:pPr>
              <w:spacing w:before="0" w:after="0" w:line="220" w:lineRule="exact"/>
              <w:ind w:firstLine="360"/>
              <w:jc w:val="left"/>
            </w:pPr>
            <w:r>
              <w:rPr>
                <w:rFonts w:ascii="Songti SC" w:hAnsi="Songti SC" w:eastAsia="Songti SC" w:cs="Songti SC"/>
                <w:b w:val="0"/>
                <w:color w:val="000000"/>
                <w:sz w:val="18"/>
              </w:rPr>
              <w:t>无</w:t>
            </w:r>
          </w:p>
        </w:tc>
      </w:tr>
    </w:tbl>
    <w:p w14:paraId="0A63EBBD"/>
    <w:sectPr>
      <w:pgSz w:w="11906" w:h="16838"/>
      <w:pgMar w:top="765" w:right="879" w:bottom="765" w:left="879" w:header="283" w:footer="283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Noto Sans CJK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AD5B1FC"/>
    <w:rsid w:val="A9775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Songti SC" w:hAnsi="Songti SC" w:eastAsia="Songti SC" w:cs="Songti SC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Office_7.2.1.8947_F1E327BC-269C-435d-A152-05C5408002CA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张艺馨</dc:creator>
  <dc:description>generated by python-docx</dc:description>
  <cp:keywords>毕业设计；任务书；疾病实体标准化；医学知识图谱</cp:keywords>
  <cp:lastModifiedBy>雨已停，风依旧</cp:lastModifiedBy>
  <dcterms:modified xsi:type="dcterms:W3CDTF">2026-09-10T10:53:00Z</dcterms:modified>
  <dc:subject>哈尔滨工业大学（深圳）本科毕业设计任务书</dc:subject>
  <dc:title>大规模医学知识图谱的疾病实体标准化方法——毕业设计任务书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2052-7.2.1.8947</vt:lpwstr>
  </property>
  <property fmtid="{D5CDD505-2E9C-101B-9397-08002B2CF9AE}" pid="3" name="ICV">
    <vt:lpwstr>A3E6E49B1A45FB8767E4966A63B0EAB3_42</vt:lpwstr>
  </property>
</Properties>
</file>