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380" w:before="240" w:after="0"/>
        <w:rPr>
          <w:rFonts w:eastAsia="隶书"/>
          <w:spacing w:val="80"/>
          <w:sz w:val="48"/>
          <w:szCs w:val="48"/>
        </w:rPr>
      </w:pPr>
      <w:r>
        <mc:AlternateContent>
          <mc:Choice Requires="wps"/>
          <mc:Fallback/>
        </mc:AlternateContent>
      </w:r>
      <w:r>
        <w:rPr>
          <w:rFonts w:eastAsia="Wingdings 2" w:cs="Wingdings 2" w:ascii="Wingdings 2" w:hAnsi="Wingdings 2"/>
        </w:rPr>
        <w:sym w:font="Wingdings 2" w:char="0052"/>
      </w:r>
      <w:r>
        <w:rPr>
          <w:rFonts w:ascii="Times New Roman" w:hAnsi="Times New Roman" w:cs="Times New Roman" w:hint="eastAsia"/>
        </w:rPr>
        <w:t>毕业论文</w:t>
      </w:r>
      <w:r>
        <w:rPr>
          <w:rFonts w:hint="eastAsia"/>
        </w:rPr>
        <w:t xml:space="preserve">  </w:t>
      </w:r>
      <w:r>
        <w:rPr>
          <w:rFonts w:eastAsia="Wingdings 2" w:cs="Wingdings 2" w:hint="eastAsia" w:ascii="Wingdings 2" w:hAnsi="Wingdings 2"/>
        </w:rPr>
        <w:sym w:font="Wingdings 2" w:char="00a3"/>
      </w:r>
      <w:r>
        <w:rPr>
          <w:rFonts w:ascii="Times New Roman" w:hAnsi="Times New Roman" w:cs="Times New Roman" w:hint="eastAsia"/>
        </w:rPr>
        <w:t>毕业设计</w:t>
      </w:r>
    </w:p>
    <w:p>
      <w:pPr>
        <w:pStyle w:val="Normal"/>
        <w:spacing w:lineRule="auto" w:line="300" w:before="240" w:after="0"/>
        <w:jc w:val="center"/>
        <w:rPr>
          <w:rFonts w:eastAsia="隶书"/>
          <w:b/>
          <w:spacing w:val="80"/>
          <w:sz w:val="44"/>
          <w:szCs w:val="44"/>
        </w:rPr>
      </w:pPr>
      <w:r>
        <w:rPr>
          <w:rFonts w:eastAsia="隶书"/>
          <w:b/>
          <w:spacing w:val="80"/>
          <w:sz w:val="44"/>
          <w:szCs w:val="44"/>
        </w:rPr>
      </w:r>
    </w:p>
    <w:p>
      <w:pPr>
        <w:pStyle w:val="Normal"/>
        <w:snapToGrid w:val="false"/>
        <w:spacing w:lineRule="auto" w:line="288"/>
        <w:jc w:val="center"/>
        <w:rPr>
          <w:rFonts w:eastAsia="华文新魏" w:hint="eastAsia"/>
          <w:b/>
          <w:spacing w:val="20"/>
          <w:w w:val="90"/>
          <w:sz w:val="72"/>
          <w:szCs w:val="72"/>
        </w:rPr>
      </w:pPr>
      <w:r>
        <w:rPr>
          <w:rFonts w:hint="eastAsia" w:eastAsia="华文新魏"/>
          <w:b/>
          <w:spacing w:val="20"/>
          <w:w w:val="90"/>
          <w:sz w:val="72"/>
          <w:szCs w:val="72"/>
        </w:rPr>
        <w:t>哈尔滨工业大学深圳校区</w:t>
      </w:r>
    </w:p>
    <w:p>
      <w:pPr>
        <w:pStyle w:val="Normal"/>
        <w:snapToGrid w:val="false"/>
        <w:spacing w:lineRule="auto" w:line="288"/>
        <w:jc w:val="center"/>
        <w:rPr>
          <w:rFonts w:eastAsia="华文新魏"/>
          <w:b/>
          <w:spacing w:val="20"/>
          <w:w w:val="90"/>
          <w:sz w:val="72"/>
          <w:szCs w:val="72"/>
        </w:rPr>
      </w:pPr>
      <w:r>
        <w:rPr>
          <w:rFonts w:hint="eastAsia" w:eastAsia="华文新魏"/>
          <w:b/>
          <w:spacing w:val="20"/>
          <w:w w:val="90"/>
          <w:sz w:val="72"/>
          <w:szCs w:val="72"/>
        </w:rPr>
        <w:t>毕业论文（设计）</w:t>
      </w:r>
      <w:r>
        <w:rPr>
          <w:rFonts w:eastAsia="华文新魏"/>
          <w:b/>
          <w:spacing w:val="20"/>
          <w:w w:val="90"/>
          <w:sz w:val="72"/>
          <w:szCs w:val="72"/>
        </w:rPr>
        <w:t>开题报告</w:t>
      </w:r>
    </w:p>
    <w:tbl>
      <w:tblPr>
        <w:tblpPr w:vertAnchor="text" w:horzAnchor="page" w:tblpXSpec="center" w:leftFromText="180" w:rightFromText="180" w:tblpY="995"/>
        <w:tblOverlap w:val="never"/>
        <w:tblW w:w="5000" w:type="pct"/>
        <w:jc w:val="start"/>
        <w:tblInd w:w="108" w:type="dxa"/>
        <w:tblLayout w:type="fixed"/>
        <w:tblCellMar>
          <w:top w:w="0" w:type="dxa"/>
          <w:start w:w="108" w:type="dxa"/>
          <w:bottom w:w="0" w:type="dxa"/>
          <w:end w:w="108" w:type="dxa"/>
        </w:tblCellMar>
      </w:tblPr>
      <w:tblGrid>
        <w:gridCol w:w="2250"/>
        <w:gridCol w:w="3691"/>
      </w:tblGrid>
      <w:tr>
        <w:trPr>
          <w:trHeight w:val="2251" w:hRule="atLeast"/>
        </w:trPr>
        <w:tc>
          <w:tcPr>
            <w:tcW w:w="2250" w:type="dxa"/>
            <w:tcBorders/>
          </w:tcPr>
          <w:p>
            <w:pPr>
              <w:pStyle w:val="Normal"/>
              <w:spacing w:lineRule="auto" w:line="360" w:before="240" w:after="0"/>
              <w:rPr>
                <w:rFonts w:eastAsia="黑体" w:hint="eastAsia"/>
                <w:sz w:val="36"/>
                <w:szCs w:val="36"/>
              </w:rPr>
            </w:pPr>
            <w:r>
              <w:rPr>
                <w:rFonts w:eastAsia="黑体"/>
                <w:sz w:val="36"/>
                <w:szCs w:val="36"/>
              </w:rPr>
              <w:t>题</w:t>
            </w:r>
            <w:r>
              <w:rPr>
                <w:rFonts w:eastAsia="黑体"/>
                <w:sz w:val="30"/>
                <w:szCs w:val="30"/>
              </w:rPr>
              <w:t xml:space="preserve">       </w:t>
            </w:r>
            <w:r>
              <w:rPr>
                <w:rFonts w:eastAsia="黑体"/>
                <w:sz w:val="36"/>
                <w:szCs w:val="36"/>
              </w:rPr>
              <w:t>目</w:t>
            </w:r>
            <w:r>
              <w:rPr>
                <w:rFonts w:hint="eastAsia" w:eastAsia="黑体"/>
                <w:sz w:val="36"/>
                <w:szCs w:val="36"/>
              </w:rPr>
              <w:t>：</w:t>
            </w:r>
          </w:p>
        </w:tc>
        <w:tc>
          <w:tcPr>
            <w:tcW w:w="3691" w:type="dxa"/>
            <w:tcBorders/>
          </w:tcPr>
          <w:p>
            <w:pPr>
              <w:pStyle w:val="Normal"/>
              <w:tabs>
                <w:tab w:val="clear" w:pos="420"/>
                <w:tab w:val="left" w:pos="490" w:leader="none"/>
              </w:tabs>
              <w:spacing w:lineRule="auto" w:line="360" w:before="240" w:after="0"/>
              <w:jc w:val="start"/>
              <w:rPr>
                <w:rFonts w:eastAsia="黑体"/>
                <w:sz w:val="36"/>
                <w:szCs w:val="36"/>
                <w:u w:val="single"/>
              </w:rPr>
            </w:pPr>
            <w:r>
              <w:rPr>
                <w:rFonts w:eastAsia="黑体"/>
                <w:sz w:val="36"/>
                <w:szCs w:val="36"/>
                <w:u w:val="single"/>
              </w:rPr>
              <w:t>大规模医学知识图谱的</w:t>
            </w:r>
          </w:p>
          <w:p>
            <w:pPr>
              <w:pStyle w:val="Normal"/>
              <w:tabs>
                <w:tab w:val="clear" w:pos="420"/>
                <w:tab w:val="left" w:pos="490" w:leader="none"/>
              </w:tabs>
              <w:spacing w:lineRule="auto" w:line="360" w:before="240" w:after="0"/>
              <w:jc w:val="start"/>
              <w:rPr>
                <w:rFonts w:eastAsia="黑体"/>
                <w:sz w:val="36"/>
                <w:szCs w:val="36"/>
                <w:u w:val="single"/>
              </w:rPr>
            </w:pPr>
            <w:r>
              <w:rPr>
                <w:rFonts w:eastAsia="黑体"/>
                <w:sz w:val="36"/>
                <w:szCs w:val="36"/>
                <w:u w:val="single"/>
              </w:rPr>
              <w:t>疾病实体标准化方法</w:t>
            </w:r>
          </w:p>
        </w:tc>
      </w:tr>
      <w:tr>
        <w:trPr/>
        <w:tc>
          <w:tcPr>
            <w:tcW w:w="2250" w:type="dxa"/>
            <w:tcBorders/>
          </w:tcPr>
          <w:p>
            <w:pPr>
              <w:pStyle w:val="Normal"/>
              <w:spacing w:lineRule="auto" w:line="360" w:before="240" w:after="0"/>
              <w:jc w:val="start"/>
              <w:rPr>
                <w:rFonts w:eastAsia="黑体" w:hint="eastAsia"/>
                <w:sz w:val="30"/>
                <w:szCs w:val="30"/>
              </w:rPr>
            </w:pPr>
            <w:r>
              <w:rPr>
                <w:rFonts w:eastAsia="黑体"/>
                <w:sz w:val="30"/>
                <w:szCs w:val="30"/>
              </w:rPr>
              <w:t>姓       名</w:t>
            </w:r>
            <w:r>
              <w:rPr>
                <w:rFonts w:hint="eastAsia" w:eastAsia="黑体"/>
                <w:sz w:val="30"/>
                <w:szCs w:val="30"/>
              </w:rPr>
              <w:t>：</w:t>
            </w:r>
          </w:p>
        </w:tc>
        <w:tc>
          <w:tcPr>
            <w:tcW w:w="3691" w:type="dxa"/>
            <w:tcBorders/>
          </w:tcPr>
          <w:p>
            <w:pPr>
              <w:pStyle w:val="Normal"/>
              <w:spacing w:lineRule="auto" w:line="360" w:before="240" w:after="0"/>
              <w:rPr>
                <w:sz w:val="30"/>
                <w:szCs w:val="30"/>
                <w:u w:val="single"/>
              </w:rPr>
            </w:pPr>
            <w:r>
              <w:rPr>
                <w:sz w:val="30"/>
                <w:szCs w:val="30"/>
                <w:u w:val="single"/>
              </w:rPr>
              <w:t>张艺馨</w:t>
            </w:r>
          </w:p>
        </w:tc>
      </w:tr>
      <w:tr>
        <w:trPr/>
        <w:tc>
          <w:tcPr>
            <w:tcW w:w="2250" w:type="dxa"/>
            <w:tcBorders/>
          </w:tcPr>
          <w:p>
            <w:pPr>
              <w:pStyle w:val="Normal"/>
              <w:spacing w:lineRule="auto" w:line="360" w:before="240" w:after="0"/>
              <w:jc w:val="start"/>
              <w:rPr>
                <w:rFonts w:eastAsia="黑体" w:hint="eastAsia"/>
                <w:sz w:val="30"/>
                <w:szCs w:val="30"/>
              </w:rPr>
            </w:pPr>
            <w:r>
              <w:rPr>
                <w:rFonts w:eastAsia="黑体"/>
                <w:sz w:val="30"/>
                <w:szCs w:val="30"/>
              </w:rPr>
              <w:t>学       号</w:t>
            </w:r>
            <w:r>
              <w:rPr>
                <w:rFonts w:hint="eastAsia" w:eastAsia="黑体"/>
                <w:sz w:val="30"/>
                <w:szCs w:val="30"/>
              </w:rPr>
              <w:t>：</w:t>
            </w:r>
          </w:p>
        </w:tc>
        <w:tc>
          <w:tcPr>
            <w:tcW w:w="3691" w:type="dxa"/>
            <w:tcBorders/>
          </w:tcPr>
          <w:p>
            <w:pPr>
              <w:pStyle w:val="Normal"/>
              <w:spacing w:lineRule="auto" w:line="360" w:before="240" w:after="0"/>
              <w:jc w:val="start"/>
              <w:rPr>
                <w:sz w:val="30"/>
                <w:szCs w:val="30"/>
                <w:u w:val="single"/>
              </w:rPr>
            </w:pPr>
            <w:r>
              <w:rPr>
                <w:sz w:val="30"/>
                <w:szCs w:val="30"/>
                <w:u w:val="single"/>
              </w:rPr>
              <w:t>**********</w:t>
            </w:r>
          </w:p>
        </w:tc>
      </w:tr>
      <w:tr>
        <w:trPr/>
        <w:tc>
          <w:tcPr>
            <w:tcW w:w="2250" w:type="dxa"/>
            <w:tcBorders/>
          </w:tcPr>
          <w:p>
            <w:pPr>
              <w:pStyle w:val="Normal"/>
              <w:spacing w:lineRule="auto" w:line="360" w:before="240" w:after="0"/>
              <w:jc w:val="start"/>
              <w:rPr>
                <w:rFonts w:eastAsia="黑体" w:hint="eastAsia"/>
                <w:sz w:val="30"/>
                <w:szCs w:val="30"/>
              </w:rPr>
            </w:pPr>
            <w:r>
              <w:rPr>
                <w:rFonts w:eastAsia="黑体"/>
                <w:sz w:val="30"/>
                <w:szCs w:val="30"/>
              </w:rPr>
              <w:t>学       院</w:t>
            </w:r>
            <w:r>
              <w:rPr>
                <w:rFonts w:hint="eastAsia" w:eastAsia="黑体"/>
                <w:sz w:val="30"/>
                <w:szCs w:val="30"/>
              </w:rPr>
              <w:t>：</w:t>
            </w:r>
          </w:p>
        </w:tc>
        <w:tc>
          <w:tcPr>
            <w:tcW w:w="3691" w:type="dxa"/>
            <w:tcBorders/>
          </w:tcPr>
          <w:p>
            <w:pPr>
              <w:pStyle w:val="Normal"/>
              <w:spacing w:lineRule="auto" w:line="360" w:before="240" w:after="0"/>
              <w:jc w:val="start"/>
              <w:rPr>
                <w:sz w:val="30"/>
                <w:szCs w:val="30"/>
                <w:u w:val="single"/>
              </w:rPr>
            </w:pPr>
            <w:r>
              <w:rPr>
                <w:sz w:val="30"/>
                <w:szCs w:val="30"/>
                <w:u w:val="single"/>
              </w:rPr>
            </w:r>
            <w:r>
              <w:rPr>
                <w:rFonts w:hint="eastAsia"/>
                <w:sz w:val="30"/>
                <w:szCs w:val="30"/>
                <w:u w:val="single"/>
              </w:rPr>
            </w:r>
            <w:r>
              <w:rPr>
                <w:rFonts w:hint="eastAsia"/>
                <w:sz w:val="30"/>
                <w:szCs w:val="30"/>
                <w:u w:val="single"/>
              </w:rPr>
            </w:r>
            <w:r>
              <w:rPr>
                <w:rFonts w:hint="eastAsia"/>
                <w:sz w:val="30"/>
                <w:szCs w:val="30"/>
                <w:u w:val="single"/>
              </w:rPr>
            </w:r>
            <w:r>
              <w:rPr>
                <w:sz w:val="30"/>
                <w:szCs w:val="30"/>
                <w:u w:val="single"/>
              </w:rPr>
            </w:r>
          </w:p>
        </w:tc>
      </w:tr>
      <w:tr>
        <w:trPr/>
        <w:tc>
          <w:tcPr>
            <w:tcW w:w="2250" w:type="dxa"/>
            <w:tcBorders/>
          </w:tcPr>
          <w:p>
            <w:pPr>
              <w:pStyle w:val="Normal"/>
              <w:spacing w:lineRule="auto" w:line="360" w:before="240" w:after="0"/>
              <w:jc w:val="start"/>
              <w:rPr>
                <w:rFonts w:eastAsia="黑体" w:hint="eastAsia"/>
                <w:sz w:val="30"/>
                <w:szCs w:val="30"/>
              </w:rPr>
            </w:pPr>
            <w:r>
              <w:rPr>
                <w:rFonts w:eastAsia="黑体"/>
                <w:sz w:val="30"/>
                <w:szCs w:val="30"/>
              </w:rPr>
              <w:t>专       业</w:t>
            </w:r>
            <w:r>
              <w:rPr>
                <w:rFonts w:hint="eastAsia" w:eastAsia="黑体"/>
                <w:sz w:val="30"/>
                <w:szCs w:val="30"/>
              </w:rPr>
              <w:t>：</w:t>
            </w:r>
          </w:p>
        </w:tc>
        <w:tc>
          <w:tcPr>
            <w:tcW w:w="3691" w:type="dxa"/>
            <w:tcBorders/>
          </w:tcPr>
          <w:p>
            <w:pPr>
              <w:pStyle w:val="Normal"/>
              <w:spacing w:lineRule="auto" w:line="360" w:before="240" w:after="0"/>
              <w:jc w:val="start"/>
              <w:rPr>
                <w:sz w:val="30"/>
                <w:szCs w:val="30"/>
                <w:u w:val="single"/>
              </w:rPr>
            </w:pPr>
            <w:r>
              <w:rPr>
                <w:sz w:val="30"/>
                <w:szCs w:val="30"/>
                <w:u w:val="single"/>
              </w:rPr>
              <w:t>计算机科学与技术</w:t>
            </w:r>
          </w:p>
        </w:tc>
      </w:tr>
      <w:tr>
        <w:trPr/>
        <w:tc>
          <w:tcPr>
            <w:tcW w:w="2250" w:type="dxa"/>
            <w:tcBorders/>
          </w:tcPr>
          <w:p>
            <w:pPr>
              <w:pStyle w:val="Normal"/>
              <w:spacing w:lineRule="auto" w:line="360" w:before="240" w:after="0"/>
              <w:jc w:val="start"/>
              <w:rPr>
                <w:rFonts w:eastAsia="黑体" w:hint="eastAsia"/>
                <w:sz w:val="30"/>
                <w:szCs w:val="30"/>
              </w:rPr>
            </w:pPr>
            <w:r>
              <w:rPr>
                <w:rFonts w:eastAsia="黑体"/>
                <w:sz w:val="30"/>
                <w:szCs w:val="30"/>
              </w:rPr>
              <w:t>指 导 教 师</w:t>
            </w:r>
            <w:r>
              <w:rPr>
                <w:rFonts w:hint="eastAsia" w:eastAsia="黑体"/>
                <w:sz w:val="30"/>
                <w:szCs w:val="30"/>
              </w:rPr>
              <w:t>：</w:t>
            </w:r>
          </w:p>
        </w:tc>
        <w:tc>
          <w:tcPr>
            <w:tcW w:w="3691" w:type="dxa"/>
            <w:tcBorders/>
          </w:tcPr>
          <w:p>
            <w:pPr>
              <w:pStyle w:val="Normal"/>
              <w:spacing w:lineRule="auto" w:line="360" w:before="240" w:after="0"/>
              <w:jc w:val="start"/>
              <w:rPr>
                <w:sz w:val="30"/>
                <w:szCs w:val="30"/>
                <w:u w:val="single"/>
              </w:rPr>
            </w:pPr>
            <w:r>
              <w:rPr>
                <w:sz w:val="30"/>
                <w:szCs w:val="30"/>
                <w:u w:val="single"/>
              </w:rPr>
            </w:r>
          </w:p>
        </w:tc>
      </w:tr>
      <w:tr>
        <w:trPr/>
        <w:tc>
          <w:tcPr>
            <w:tcW w:w="2250" w:type="dxa"/>
            <w:tcBorders/>
          </w:tcPr>
          <w:p>
            <w:pPr>
              <w:pStyle w:val="Normal"/>
              <w:spacing w:lineRule="auto" w:line="360" w:before="240" w:after="0"/>
              <w:jc w:val="start"/>
              <w:rPr>
                <w:rFonts w:eastAsia="黑体" w:hint="eastAsia"/>
                <w:sz w:val="30"/>
                <w:szCs w:val="30"/>
              </w:rPr>
            </w:pPr>
            <w:r>
              <w:rPr>
                <w:rFonts w:eastAsia="黑体"/>
                <w:sz w:val="30"/>
                <w:szCs w:val="30"/>
              </w:rPr>
              <w:t>日       期</w:t>
            </w:r>
            <w:r>
              <w:rPr>
                <w:rFonts w:hint="eastAsia" w:eastAsia="黑体"/>
                <w:sz w:val="30"/>
                <w:szCs w:val="30"/>
              </w:rPr>
              <w:t>：</w:t>
            </w:r>
          </w:p>
        </w:tc>
        <w:tc>
          <w:tcPr>
            <w:tcW w:w="3691" w:type="dxa"/>
            <w:tcBorders/>
          </w:tcPr>
          <w:p>
            <w:pPr>
              <w:pStyle w:val="Normal"/>
              <w:spacing w:lineRule="auto" w:line="360" w:before="240" w:after="0"/>
              <w:jc w:val="start"/>
              <w:rPr>
                <w:sz w:val="30"/>
                <w:szCs w:val="30"/>
                <w:u w:val="single"/>
              </w:rPr>
            </w:pPr>
            <w:r>
              <w:rPr>
                <w:sz w:val="30"/>
                <w:szCs w:val="30"/>
                <w:u w:val="single"/>
              </w:rPr>
              <w:t>2026 年 9 月 25 日</w:t>
            </w:r>
          </w:p>
        </w:tc>
      </w:tr>
    </w:tbl>
    <w:p>
      <w:pPr>
        <w:pStyle w:val="Normal"/>
        <w:rPr/>
        <w:sectPr>
          <w:footerReference w:type="default" r:id="rId2"/>
          <w:type w:val="nextPage"/>
          <w:pgSz w:w="11906" w:h="16838"/>
          <w:pgMar w:left="1800" w:right="1800" w:gutter="0" w:header="0" w:top="1440" w:footer="1304" w:bottom="1440"/>
          <w:pgNumType w:start="1" w:fmt="decimal"/>
          <w:formProt w:val="false"/>
          <w:textDirection w:val="lrTb"/>
          <w:docGrid w:type="default" w:linePitch="395" w:charSpace="1842"/>
        </w:sectPr>
      </w:pPr>
      <w:r>
        <w:rPr/>
      </w:r>
      <w:r>
        <w:br w:type="page"/>
      </w:r>
    </w:p>
    <w:p>
      <w:pPr>
        <w:pStyle w:val="Normal"/>
        <w:snapToGrid w:val="false"/>
        <w:spacing w:lineRule="auto" w:line="300" w:before="240" w:after="192"/>
        <w:jc w:val="center"/>
        <w:rPr>
          <w:rFonts w:eastAsia="黑体"/>
          <w:bCs/>
          <w:sz w:val="36"/>
          <w:szCs w:val="36"/>
        </w:rPr>
      </w:pPr>
      <w:r>
        <w:rPr>
          <w:rFonts w:eastAsia="黑体"/>
          <w:bCs/>
          <w:sz w:val="36"/>
          <w:szCs w:val="36"/>
        </w:rPr>
        <w:t>目  录</w:t>
      </w:r>
    </w:p>
    <w:p>
      <w:pPr>
        <w:pStyle w:val="TOC1"/>
        <w:tabs>
          <w:tab w:pos="8277" w:val="right" w:leader="dot"/>
        </w:tabs>
        <w:spacing w:before="0" w:after="0" w:line="300" w:lineRule="auto"/>
        <w:ind w:left="0"/>
      </w:pPr>
      <w:r>
        <w:rPr>
          <w:rFonts w:ascii="Times New Roman" w:hAnsi="Times New Roman" w:cs="Times New Roman" w:eastAsia="黑体"/>
          <w:sz w:val="21"/>
        </w:rPr>
        <w:t>1  课题背景及研究的目的和意义</w:t>
      </w:r>
      <w:r>
        <w:tab/>
      </w:r>
      <w:r>
        <w:rPr>
          <w:rFonts w:ascii="Times New Roman" w:hAnsi="Times New Roman" w:cs="Times New Roman" w:eastAsia="宋体"/>
          <w:sz w:val="21"/>
        </w:rPr>
        <w:t>1</w:t>
      </w:r>
    </w:p>
    <w:p>
      <w:pPr>
        <w:pStyle w:val="TOC2"/>
        <w:tabs>
          <w:tab w:pos="8277" w:val="right" w:leader="dot"/>
        </w:tabs>
        <w:spacing w:before="0" w:after="0" w:line="300" w:lineRule="auto"/>
        <w:ind w:left="312"/>
      </w:pPr>
      <w:r>
        <w:rPr>
          <w:rFonts w:ascii="Times New Roman" w:hAnsi="Times New Roman" w:cs="Times New Roman" w:eastAsia="宋体"/>
          <w:sz w:val="21"/>
        </w:rPr>
        <w:t>1.1  课题背景</w:t>
      </w:r>
      <w:r>
        <w:tab/>
      </w:r>
      <w:r>
        <w:rPr>
          <w:rFonts w:ascii="Times New Roman" w:hAnsi="Times New Roman" w:cs="Times New Roman" w:eastAsia="宋体"/>
          <w:sz w:val="21"/>
        </w:rPr>
        <w:t>1</w:t>
      </w:r>
    </w:p>
    <w:p>
      <w:pPr>
        <w:pStyle w:val="TOC2"/>
        <w:tabs>
          <w:tab w:pos="8277" w:val="right" w:leader="dot"/>
        </w:tabs>
        <w:spacing w:before="0" w:after="0" w:line="300" w:lineRule="auto"/>
        <w:ind w:left="312"/>
      </w:pPr>
      <w:r>
        <w:rPr>
          <w:rFonts w:ascii="Times New Roman" w:hAnsi="Times New Roman" w:cs="Times New Roman" w:eastAsia="宋体"/>
          <w:sz w:val="21"/>
        </w:rPr>
        <w:t>1.2  研究的目的和意义</w:t>
      </w:r>
      <w:r>
        <w:tab/>
      </w:r>
      <w:r>
        <w:rPr>
          <w:rFonts w:ascii="Times New Roman" w:hAnsi="Times New Roman" w:cs="Times New Roman" w:eastAsia="宋体"/>
          <w:sz w:val="21"/>
        </w:rPr>
        <w:t>1</w:t>
      </w:r>
    </w:p>
    <w:p>
      <w:pPr>
        <w:pStyle w:val="TOC1"/>
        <w:tabs>
          <w:tab w:pos="8277" w:val="right" w:leader="dot"/>
        </w:tabs>
        <w:spacing w:before="0" w:after="0" w:line="300" w:lineRule="auto"/>
        <w:ind w:left="0"/>
      </w:pPr>
      <w:r>
        <w:rPr>
          <w:rFonts w:ascii="Times New Roman" w:hAnsi="Times New Roman" w:cs="Times New Roman" w:eastAsia="黑体"/>
          <w:sz w:val="21"/>
        </w:rPr>
        <w:t>2  国内外研究现状及分析</w:t>
      </w:r>
      <w:r>
        <w:tab/>
      </w:r>
      <w:r>
        <w:rPr>
          <w:rFonts w:ascii="Times New Roman" w:hAnsi="Times New Roman" w:cs="Times New Roman" w:eastAsia="宋体"/>
          <w:sz w:val="21"/>
        </w:rPr>
        <w:t>3</w:t>
      </w:r>
    </w:p>
    <w:p>
      <w:pPr>
        <w:pStyle w:val="TOC2"/>
        <w:tabs>
          <w:tab w:pos="8277" w:val="right" w:leader="dot"/>
        </w:tabs>
        <w:spacing w:before="0" w:after="0" w:line="300" w:lineRule="auto"/>
        <w:ind w:left="312"/>
      </w:pPr>
      <w:r>
        <w:rPr>
          <w:rFonts w:ascii="Times New Roman" w:hAnsi="Times New Roman" w:cs="Times New Roman" w:eastAsia="宋体"/>
          <w:sz w:val="21"/>
        </w:rPr>
        <w:t>2.1  国内外研究现状</w:t>
      </w:r>
      <w:r>
        <w:tab/>
      </w:r>
      <w:r>
        <w:rPr>
          <w:rFonts w:ascii="Times New Roman" w:hAnsi="Times New Roman" w:cs="Times New Roman" w:eastAsia="宋体"/>
          <w:sz w:val="21"/>
        </w:rPr>
        <w:t>3</w:t>
      </w:r>
    </w:p>
    <w:p>
      <w:pPr>
        <w:pStyle w:val="TOC2"/>
        <w:tabs>
          <w:tab w:pos="8277" w:val="right" w:leader="dot"/>
        </w:tabs>
        <w:spacing w:before="0" w:after="0" w:line="300" w:lineRule="auto"/>
        <w:ind w:left="312"/>
      </w:pPr>
      <w:r>
        <w:rPr>
          <w:rFonts w:ascii="Times New Roman" w:hAnsi="Times New Roman" w:cs="Times New Roman" w:eastAsia="宋体"/>
          <w:sz w:val="21"/>
        </w:rPr>
        <w:t>2.2  国内外文献综述及简析</w:t>
      </w:r>
      <w:r>
        <w:tab/>
      </w:r>
      <w:r>
        <w:rPr>
          <w:rFonts w:ascii="Times New Roman" w:hAnsi="Times New Roman" w:cs="Times New Roman" w:eastAsia="宋体"/>
          <w:sz w:val="21"/>
        </w:rPr>
        <w:t>4</w:t>
      </w:r>
    </w:p>
    <w:p>
      <w:pPr>
        <w:pStyle w:val="TOC3"/>
        <w:tabs>
          <w:tab w:pos="8277" w:val="right" w:leader="dot"/>
        </w:tabs>
        <w:spacing w:before="0" w:after="0" w:line="300" w:lineRule="auto"/>
        <w:ind w:left="624"/>
      </w:pPr>
      <w:r>
        <w:rPr>
          <w:rFonts w:ascii="Times New Roman" w:hAnsi="Times New Roman" w:cs="Times New Roman" w:eastAsia="宋体"/>
          <w:sz w:val="21"/>
        </w:rPr>
        <w:t>2.2.1  代表性文献的主要结论</w:t>
      </w:r>
      <w:r>
        <w:tab/>
      </w:r>
      <w:r>
        <w:rPr>
          <w:rFonts w:ascii="Times New Roman" w:hAnsi="Times New Roman" w:cs="Times New Roman" w:eastAsia="宋体"/>
          <w:sz w:val="21"/>
        </w:rPr>
        <w:t>4</w:t>
      </w:r>
    </w:p>
    <w:p>
      <w:pPr>
        <w:pStyle w:val="TOC3"/>
        <w:tabs>
          <w:tab w:pos="8277" w:val="right" w:leader="dot"/>
        </w:tabs>
        <w:spacing w:before="0" w:after="0" w:line="300" w:lineRule="auto"/>
        <w:ind w:left="624"/>
      </w:pPr>
      <w:r>
        <w:rPr>
          <w:rFonts w:ascii="Times New Roman" w:hAnsi="Times New Roman" w:cs="Times New Roman" w:eastAsia="宋体"/>
          <w:sz w:val="21"/>
        </w:rPr>
        <w:t>2.2.2  现有研究的局限与本课题切入点</w:t>
      </w:r>
      <w:r>
        <w:tab/>
      </w:r>
      <w:r>
        <w:rPr>
          <w:rFonts w:ascii="Times New Roman" w:hAnsi="Times New Roman" w:cs="Times New Roman" w:eastAsia="宋体"/>
          <w:sz w:val="21"/>
        </w:rPr>
        <w:t>4</w:t>
      </w:r>
    </w:p>
    <w:p>
      <w:pPr>
        <w:pStyle w:val="TOC1"/>
        <w:tabs>
          <w:tab w:pos="8277" w:val="right" w:leader="dot"/>
        </w:tabs>
        <w:spacing w:before="0" w:after="0" w:line="300" w:lineRule="auto"/>
        <w:ind w:left="0"/>
      </w:pPr>
      <w:r>
        <w:rPr>
          <w:rFonts w:ascii="Times New Roman" w:hAnsi="Times New Roman" w:cs="Times New Roman" w:eastAsia="黑体"/>
          <w:sz w:val="21"/>
        </w:rPr>
        <w:t>3  主要研究内容及研究方案</w:t>
      </w:r>
      <w:r>
        <w:tab/>
      </w:r>
      <w:r>
        <w:rPr>
          <w:rFonts w:ascii="Times New Roman" w:hAnsi="Times New Roman" w:cs="Times New Roman" w:eastAsia="宋体"/>
          <w:sz w:val="21"/>
        </w:rPr>
        <w:t>6</w:t>
      </w:r>
    </w:p>
    <w:p>
      <w:pPr>
        <w:pStyle w:val="TOC2"/>
        <w:tabs>
          <w:tab w:pos="8277" w:val="right" w:leader="dot"/>
        </w:tabs>
        <w:spacing w:before="0" w:after="0" w:line="300" w:lineRule="auto"/>
        <w:ind w:left="312"/>
      </w:pPr>
      <w:r>
        <w:rPr>
          <w:rFonts w:ascii="Times New Roman" w:hAnsi="Times New Roman" w:cs="Times New Roman" w:eastAsia="宋体"/>
          <w:sz w:val="21"/>
        </w:rPr>
        <w:t>3.1  研究内容</w:t>
      </w:r>
      <w:r>
        <w:tab/>
      </w:r>
      <w:r>
        <w:rPr>
          <w:rFonts w:ascii="Times New Roman" w:hAnsi="Times New Roman" w:cs="Times New Roman" w:eastAsia="宋体"/>
          <w:sz w:val="21"/>
        </w:rPr>
        <w:t>6</w:t>
      </w:r>
    </w:p>
    <w:p>
      <w:pPr>
        <w:pStyle w:val="TOC3"/>
        <w:tabs>
          <w:tab w:pos="8277" w:val="right" w:leader="dot"/>
        </w:tabs>
        <w:spacing w:before="0" w:after="0" w:line="300" w:lineRule="auto"/>
        <w:ind w:left="624"/>
      </w:pPr>
      <w:r>
        <w:rPr>
          <w:rFonts w:ascii="Times New Roman" w:hAnsi="Times New Roman" w:cs="Times New Roman" w:eastAsia="宋体"/>
          <w:sz w:val="21"/>
        </w:rPr>
        <w:t>3.1.1  标准词表、数据与任务定义</w:t>
      </w:r>
      <w:r>
        <w:tab/>
      </w:r>
      <w:r>
        <w:rPr>
          <w:rFonts w:ascii="Times New Roman" w:hAnsi="Times New Roman" w:cs="Times New Roman" w:eastAsia="宋体"/>
          <w:sz w:val="21"/>
        </w:rPr>
        <w:t>6</w:t>
      </w:r>
    </w:p>
    <w:p>
      <w:pPr>
        <w:pStyle w:val="TOC3"/>
        <w:tabs>
          <w:tab w:pos="8277" w:val="right" w:leader="dot"/>
        </w:tabs>
        <w:spacing w:before="0" w:after="0" w:line="300" w:lineRule="auto"/>
        <w:ind w:left="624"/>
      </w:pPr>
      <w:r>
        <w:rPr>
          <w:rFonts w:ascii="Times New Roman" w:hAnsi="Times New Roman" w:cs="Times New Roman" w:eastAsia="宋体"/>
          <w:sz w:val="21"/>
        </w:rPr>
        <w:t>3.1.2  标准名称的查找与判别</w:t>
      </w:r>
      <w:r>
        <w:tab/>
      </w:r>
      <w:r>
        <w:rPr>
          <w:rFonts w:ascii="Times New Roman" w:hAnsi="Times New Roman" w:cs="Times New Roman" w:eastAsia="宋体"/>
          <w:sz w:val="21"/>
        </w:rPr>
        <w:t>6</w:t>
      </w:r>
    </w:p>
    <w:p>
      <w:pPr>
        <w:pStyle w:val="TOC3"/>
        <w:tabs>
          <w:tab w:pos="8277" w:val="right" w:leader="dot"/>
        </w:tabs>
        <w:spacing w:before="0" w:after="0" w:line="300" w:lineRule="auto"/>
        <w:ind w:left="624"/>
      </w:pPr>
      <w:r>
        <w:rPr>
          <w:rFonts w:ascii="Times New Roman" w:hAnsi="Times New Roman" w:cs="Times New Roman" w:eastAsia="宋体"/>
          <w:sz w:val="21"/>
        </w:rPr>
        <w:t>3.1.3  多实体输出与实验分析</w:t>
      </w:r>
      <w:r>
        <w:tab/>
      </w:r>
      <w:r>
        <w:rPr>
          <w:rFonts w:ascii="Times New Roman" w:hAnsi="Times New Roman" w:cs="Times New Roman" w:eastAsia="宋体"/>
          <w:sz w:val="21"/>
        </w:rPr>
        <w:t>7</w:t>
      </w:r>
    </w:p>
    <w:p>
      <w:pPr>
        <w:pStyle w:val="TOC2"/>
        <w:tabs>
          <w:tab w:pos="8277" w:val="right" w:leader="dot"/>
        </w:tabs>
        <w:spacing w:before="0" w:after="0" w:line="300" w:lineRule="auto"/>
        <w:ind w:left="312"/>
      </w:pPr>
      <w:r>
        <w:rPr>
          <w:rFonts w:ascii="Times New Roman" w:hAnsi="Times New Roman" w:cs="Times New Roman" w:eastAsia="宋体"/>
          <w:sz w:val="21"/>
        </w:rPr>
        <w:t>3.2  研究方案</w:t>
      </w:r>
      <w:r>
        <w:tab/>
      </w:r>
      <w:r>
        <w:rPr>
          <w:rFonts w:ascii="Times New Roman" w:hAnsi="Times New Roman" w:cs="Times New Roman" w:eastAsia="宋体"/>
          <w:sz w:val="21"/>
        </w:rPr>
        <w:t>7</w:t>
      </w:r>
    </w:p>
    <w:p>
      <w:pPr>
        <w:pStyle w:val="TOC1"/>
        <w:tabs>
          <w:tab w:pos="8277" w:val="right" w:leader="dot"/>
        </w:tabs>
        <w:spacing w:before="0" w:after="0" w:line="300" w:lineRule="auto"/>
        <w:ind w:left="0"/>
      </w:pPr>
      <w:r>
        <w:rPr>
          <w:rFonts w:ascii="Times New Roman" w:hAnsi="Times New Roman" w:cs="Times New Roman" w:eastAsia="黑体"/>
          <w:sz w:val="21"/>
        </w:rPr>
        <w:t>4  进度安排及预期目标</w:t>
      </w:r>
      <w:r>
        <w:tab/>
      </w:r>
      <w:r>
        <w:rPr>
          <w:rFonts w:ascii="Times New Roman" w:hAnsi="Times New Roman" w:cs="Times New Roman" w:eastAsia="宋体"/>
          <w:sz w:val="21"/>
        </w:rPr>
        <w:t>9</w:t>
      </w:r>
    </w:p>
    <w:p>
      <w:pPr>
        <w:pStyle w:val="TOC2"/>
        <w:tabs>
          <w:tab w:pos="8277" w:val="right" w:leader="dot"/>
        </w:tabs>
        <w:spacing w:before="0" w:after="0" w:line="300" w:lineRule="auto"/>
        <w:ind w:left="312"/>
      </w:pPr>
      <w:r>
        <w:rPr>
          <w:rFonts w:ascii="Times New Roman" w:hAnsi="Times New Roman" w:cs="Times New Roman" w:eastAsia="宋体"/>
          <w:sz w:val="21"/>
        </w:rPr>
        <w:t>4.1  进度安排</w:t>
      </w:r>
      <w:r>
        <w:tab/>
      </w:r>
      <w:r>
        <w:rPr>
          <w:rFonts w:ascii="Times New Roman" w:hAnsi="Times New Roman" w:cs="Times New Roman" w:eastAsia="宋体"/>
          <w:sz w:val="21"/>
        </w:rPr>
        <w:t>9</w:t>
      </w:r>
    </w:p>
    <w:p>
      <w:pPr>
        <w:pStyle w:val="TOC2"/>
        <w:tabs>
          <w:tab w:pos="8277" w:val="right" w:leader="dot"/>
        </w:tabs>
        <w:spacing w:before="0" w:after="0" w:line="300" w:lineRule="auto"/>
        <w:ind w:left="312"/>
      </w:pPr>
      <w:r>
        <w:rPr>
          <w:rFonts w:ascii="Times New Roman" w:hAnsi="Times New Roman" w:cs="Times New Roman" w:eastAsia="宋体"/>
          <w:sz w:val="21"/>
        </w:rPr>
        <w:t>4.2  预期目标</w:t>
      </w:r>
      <w:r>
        <w:tab/>
      </w:r>
      <w:r>
        <w:rPr>
          <w:rFonts w:ascii="Times New Roman" w:hAnsi="Times New Roman" w:cs="Times New Roman" w:eastAsia="宋体"/>
          <w:sz w:val="21"/>
        </w:rPr>
        <w:t>9</w:t>
      </w:r>
    </w:p>
    <w:p>
      <w:pPr>
        <w:pStyle w:val="TOC1"/>
        <w:tabs>
          <w:tab w:pos="8277" w:val="right" w:leader="dot"/>
        </w:tabs>
        <w:spacing w:before="0" w:after="0" w:line="300" w:lineRule="auto"/>
        <w:ind w:left="0"/>
      </w:pPr>
      <w:r>
        <w:rPr>
          <w:rFonts w:ascii="Times New Roman" w:hAnsi="Times New Roman" w:cs="Times New Roman" w:eastAsia="黑体"/>
          <w:sz w:val="21"/>
        </w:rPr>
        <w:t>5  已具备和所需的条件和经费</w:t>
      </w:r>
      <w:r>
        <w:tab/>
      </w:r>
      <w:r>
        <w:rPr>
          <w:rFonts w:ascii="Times New Roman" w:hAnsi="Times New Roman" w:cs="Times New Roman" w:eastAsia="宋体"/>
          <w:sz w:val="21"/>
        </w:rPr>
        <w:t>10</w:t>
      </w:r>
    </w:p>
    <w:p>
      <w:pPr>
        <w:pStyle w:val="TOC2"/>
        <w:tabs>
          <w:tab w:pos="8277" w:val="right" w:leader="dot"/>
        </w:tabs>
        <w:spacing w:before="0" w:after="0" w:line="300" w:lineRule="auto"/>
        <w:ind w:left="312"/>
      </w:pPr>
      <w:r>
        <w:rPr>
          <w:rFonts w:ascii="Times New Roman" w:hAnsi="Times New Roman" w:cs="Times New Roman" w:eastAsia="宋体"/>
          <w:sz w:val="21"/>
        </w:rPr>
        <w:t>5.1  已具备的条件和经费保障</w:t>
      </w:r>
      <w:r>
        <w:tab/>
      </w:r>
      <w:r>
        <w:rPr>
          <w:rFonts w:ascii="Times New Roman" w:hAnsi="Times New Roman" w:cs="Times New Roman" w:eastAsia="宋体"/>
          <w:sz w:val="21"/>
        </w:rPr>
        <w:t>10</w:t>
      </w:r>
    </w:p>
    <w:p>
      <w:pPr>
        <w:pStyle w:val="TOC2"/>
        <w:tabs>
          <w:tab w:pos="8277" w:val="right" w:leader="dot"/>
        </w:tabs>
        <w:spacing w:before="0" w:after="0" w:line="300" w:lineRule="auto"/>
        <w:ind w:left="312"/>
      </w:pPr>
      <w:r>
        <w:rPr>
          <w:rFonts w:ascii="Times New Roman" w:hAnsi="Times New Roman" w:cs="Times New Roman" w:eastAsia="宋体"/>
          <w:sz w:val="21"/>
        </w:rPr>
        <w:t>5.2  所需条件和经费</w:t>
      </w:r>
      <w:r>
        <w:tab/>
      </w:r>
      <w:r>
        <w:rPr>
          <w:rFonts w:ascii="Times New Roman" w:hAnsi="Times New Roman" w:cs="Times New Roman" w:eastAsia="宋体"/>
          <w:sz w:val="21"/>
        </w:rPr>
        <w:t>10</w:t>
      </w:r>
    </w:p>
    <w:p>
      <w:pPr>
        <w:pStyle w:val="TOC1"/>
        <w:tabs>
          <w:tab w:pos="8277" w:val="right" w:leader="dot"/>
        </w:tabs>
        <w:spacing w:before="0" w:after="0" w:line="300" w:lineRule="auto"/>
        <w:ind w:left="0"/>
      </w:pPr>
      <w:r>
        <w:rPr>
          <w:rFonts w:ascii="Times New Roman" w:hAnsi="Times New Roman" w:cs="Times New Roman" w:eastAsia="黑体"/>
          <w:sz w:val="21"/>
        </w:rPr>
        <w:t>6  预计困难及解决方案</w:t>
      </w:r>
      <w:r>
        <w:tab/>
      </w:r>
      <w:r>
        <w:rPr>
          <w:rFonts w:ascii="Times New Roman" w:hAnsi="Times New Roman" w:cs="Times New Roman" w:eastAsia="宋体"/>
          <w:sz w:val="21"/>
        </w:rPr>
        <w:t>11</w:t>
      </w:r>
    </w:p>
    <w:p>
      <w:pPr>
        <w:pStyle w:val="TOC2"/>
        <w:tabs>
          <w:tab w:pos="8277" w:val="right" w:leader="dot"/>
        </w:tabs>
        <w:spacing w:before="0" w:after="0" w:line="300" w:lineRule="auto"/>
        <w:ind w:left="312"/>
      </w:pPr>
      <w:r>
        <w:rPr>
          <w:rFonts w:ascii="Times New Roman" w:hAnsi="Times New Roman" w:cs="Times New Roman" w:eastAsia="宋体"/>
          <w:sz w:val="21"/>
        </w:rPr>
        <w:t>6.1  预计困难与技术难点</w:t>
      </w:r>
      <w:r>
        <w:tab/>
      </w:r>
      <w:r>
        <w:rPr>
          <w:rFonts w:ascii="Times New Roman" w:hAnsi="Times New Roman" w:cs="Times New Roman" w:eastAsia="宋体"/>
          <w:sz w:val="21"/>
        </w:rPr>
        <w:t>11</w:t>
      </w:r>
    </w:p>
    <w:p>
      <w:pPr>
        <w:pStyle w:val="TOC2"/>
        <w:tabs>
          <w:tab w:pos="8277" w:val="right" w:leader="dot"/>
        </w:tabs>
        <w:spacing w:before="0" w:after="0" w:line="300" w:lineRule="auto"/>
        <w:ind w:left="312"/>
      </w:pPr>
      <w:r>
        <w:rPr>
          <w:rFonts w:ascii="Times New Roman" w:hAnsi="Times New Roman" w:cs="Times New Roman" w:eastAsia="宋体"/>
          <w:sz w:val="21"/>
        </w:rPr>
        <w:t>6.2  解决方案</w:t>
      </w:r>
      <w:r>
        <w:tab/>
      </w:r>
      <w:r>
        <w:rPr>
          <w:rFonts w:ascii="Times New Roman" w:hAnsi="Times New Roman" w:cs="Times New Roman" w:eastAsia="宋体"/>
          <w:sz w:val="21"/>
        </w:rPr>
        <w:t>11</w:t>
      </w:r>
    </w:p>
    <w:p>
      <w:pPr>
        <w:pStyle w:val="TOC1"/>
        <w:tabs>
          <w:tab w:pos="8277" w:val="right" w:leader="dot"/>
        </w:tabs>
        <w:spacing w:before="0" w:after="0" w:line="300" w:lineRule="auto"/>
        <w:ind w:left="0"/>
      </w:pPr>
      <w:r>
        <w:rPr>
          <w:rFonts w:ascii="Times New Roman" w:hAnsi="Times New Roman" w:cs="Times New Roman" w:eastAsia="黑体"/>
          <w:sz w:val="21"/>
        </w:rPr>
        <w:t>参考文献</w:t>
      </w:r>
      <w:r>
        <w:tab/>
      </w:r>
      <w:r>
        <w:rPr>
          <w:rFonts w:ascii="Times New Roman" w:hAnsi="Times New Roman" w:cs="Times New Roman" w:eastAsia="宋体"/>
          <w:sz w:val="21"/>
        </w:rPr>
        <w:t>12</w:t>
      </w:r>
    </w:p>
    <w:p>
      <w:pPr>
        <w:pStyle w:val="Normal"/>
        <w:spacing w:lineRule="auto" w:line="300"/>
        <w:jc w:val="center"/>
        <w:rPr>
          <w:sz w:val="21"/>
          <w:szCs w:val="21"/>
        </w:rPr>
        <w:sectPr>
          <w:headerReference w:type="default" r:id="rId3"/>
          <w:footerReference w:type="default" r:id="rId4"/>
          <w:footerReference w:type="first" r:id="rId5"/>
          <w:type w:val="nextPage"/>
          <w:pgSz w:w="11906" w:h="16838"/>
          <w:pgMar w:left="1701" w:right="1701" w:gutter="0" w:header="1361" w:top="2154" w:footer="1304" w:bottom="1701"/>
          <w:pgNumType w:start="1" w:fmt="decimal"/>
          <w:formProt w:val="false"/>
          <w:textDirection w:val="lrTb"/>
          <w:docGrid w:type="default" w:linePitch="391" w:charSpace="1842"/>
        </w:sectPr>
      </w:pPr>
      <w:r>
        <w:rPr/>
        <w:t xml:space="preserve">   </w:t>
      </w:r>
      <w:r>
        <w:br w:type="page"/>
      </w:r>
    </w:p>
    <w:p>
      <w:pPr>
        <w:pStyle w:val="Heading1"/>
        <w:keepNext/>
        <w:pageBreakBefore w:val="0"/>
        <w:spacing w:lineRule="auto" w:line="300" w:beforeLines="100" w:afterLines="80"/>
      </w:pPr>
      <w:r>
        <w:rPr>
          <w:rFonts w:ascii="Times New Roman" w:hAnsi="Times New Roman" w:cs="Times New Roman" w:eastAsia="黑体"/>
          <w:sz w:val="36"/>
        </w:rPr>
        <w:t xml:space="preserve">1  </w:t>
      </w:r>
      <w:r>
        <w:rPr>
          <w:rFonts w:ascii="Times New Roman" w:hAnsi="Times New Roman" w:cs="Times New Roman" w:eastAsia="黑体"/>
          <w:sz w:val="36"/>
        </w:rPr>
        <w:t>课题背景及研究的目的和意义</w:t>
      </w:r>
    </w:p>
    <w:p>
      <w:pPr>
        <w:pStyle w:val="Heading2"/>
        <w:keepNext/>
        <w:spacing w:lineRule="auto" w:line="300" w:beforeLines="50" w:afterLines="50"/>
      </w:pPr>
      <w:r>
        <w:rPr>
          <w:rFonts w:ascii="Times New Roman" w:hAnsi="Times New Roman" w:cs="Times New Roman" w:eastAsia="黑体"/>
          <w:sz w:val="30"/>
        </w:rPr>
        <w:t xml:space="preserve">1.1  </w:t>
      </w:r>
      <w:r>
        <w:rPr>
          <w:rFonts w:ascii="Times New Roman" w:hAnsi="Times New Roman" w:cs="Times New Roman" w:eastAsia="黑体"/>
          <w:sz w:val="30"/>
        </w:rPr>
        <w:t>课题背景</w:t>
      </w:r>
    </w:p>
    <w:p>
      <w:pPr>
        <w:pStyle w:val="Style17"/>
        <w:spacing w:line="300" w:lineRule="auto" w:before="0" w:after="0"/>
      </w:pPr>
      <w:r>
        <w:rPr>
          <w:rFonts w:ascii="Times New Roman" w:hAnsi="Times New Roman" w:cs="Times New Roman" w:eastAsia="宋体"/>
          <w:sz w:val="24"/>
        </w:rPr>
        <w:t>医院病案中的诊断名称通常按医生的书写习惯记录，而疾病统计和病案编码需要使用相对统一的标准名称。同一种疾病可能有全称、简称、英文缩写等不同写法；相反，字面相近的两个名称也可能指向不同疾病。如果直接把原始名称用于检索和统计，同一种疾病可能被拆成多组记录，不同疾病也可能被错误合并。把病案中的诊断名称对应到标准词表中的疾病实体，就是本课题所说的疾病实体标准化。</w:t>
      </w:r>
    </w:p>
    <w:p>
      <w:pPr>
        <w:pStyle w:val="Style17"/>
        <w:spacing w:line="300" w:lineRule="auto" w:before="0" w:after="0"/>
      </w:pPr>
      <w:r>
        <w:rPr>
          <w:rFonts w:ascii="Times New Roman" w:hAnsi="Times New Roman" w:cs="Times New Roman" w:eastAsia="宋体"/>
          <w:sz w:val="24"/>
        </w:rPr>
        <w:t>本课题处理病案中已经写出的诊断文字。例如，诊断短语“左膝退变伴游离体”同时包含膝关节退变和关节游离体两个含义，需要与标准词表中的相应名称对应。诊断文字还常省略连接词或改变部位词的顺序，因此仅比较两段文字是否完全相同不能解决问题。CHIP-CDN 所在的 CBLUE 中文医学语言理解基准为这类诊断名称标准化研究提供了数据和统一的任务定义[1]。</w:t>
      </w:r>
    </w:p>
    <w:p>
      <w:pPr>
        <w:pStyle w:val="Style17"/>
        <w:spacing w:line="300" w:lineRule="auto" w:before="0" w:after="0"/>
      </w:pPr>
      <w:r>
        <w:rPr>
          <w:rFonts w:ascii="Times New Roman" w:hAnsi="Times New Roman" w:cs="Times New Roman" w:eastAsia="宋体"/>
          <w:sz w:val="24"/>
        </w:rPr>
        <w:t>本课题面对的具体情形是：输入一条中文临床诊断短语，从约 3.76 万个固定的 ICD 标准疾病名称中找出与其对应的一个或多个名称。候选词表较大，原始短语的写法又不稳定，还可能包含多个概念。医学知识图谱虽然保存了部分疾病别名和关联信息，但“有关联”不一定意味着“是同一个病”。如何同时避免漏掉正确名称、选错相似疾病，以及漏报第二个实体，是需要研究的核心问题。</w:t>
      </w:r>
    </w:p>
    <w:p>
      <w:pPr>
        <w:pStyle w:val="Heading2"/>
        <w:keepNext/>
        <w:spacing w:lineRule="auto" w:line="300" w:beforeLines="50" w:afterLines="50"/>
      </w:pPr>
      <w:r>
        <w:rPr>
          <w:rFonts w:ascii="Times New Roman" w:hAnsi="Times New Roman" w:cs="Times New Roman" w:eastAsia="黑体"/>
          <w:sz w:val="30"/>
        </w:rPr>
        <w:t xml:space="preserve">1.2  </w:t>
      </w:r>
      <w:r>
        <w:rPr>
          <w:rFonts w:ascii="Times New Roman" w:hAnsi="Times New Roman" w:cs="Times New Roman" w:eastAsia="黑体"/>
          <w:sz w:val="30"/>
        </w:rPr>
        <w:t>研究的目的和意义</w:t>
      </w:r>
    </w:p>
    <w:p>
      <w:pPr>
        <w:pStyle w:val="Style17"/>
        <w:spacing w:line="300" w:lineRule="auto" w:before="0" w:after="0"/>
      </w:pPr>
      <w:r>
        <w:rPr>
          <w:rFonts w:ascii="Times New Roman" w:hAnsi="Times New Roman" w:cs="Times New Roman" w:eastAsia="宋体"/>
          <w:sz w:val="24"/>
        </w:rPr>
        <w:t>本课题的研究目的，是提高中文诊断名称到固定标准疾病词表的映射质量，重点回答三个问题：面对大量标准名称，能否把正确答案稳定地找进候选范围；面对简称、词序变化和相似疾病，能否判断哪个候选真正对应原始短语；面对一条短语含有多个概念的情况，能否正确决定应输出几个标准名称。课题将以候选召回率和最终标准化的精确率、召回率等指标检验这些目标。</w:t>
      </w:r>
    </w:p>
    <w:p>
      <w:pPr>
        <w:pStyle w:val="Style17"/>
        <w:spacing w:line="300" w:lineRule="auto" w:before="0" w:after="0"/>
      </w:pPr>
      <w:r>
        <w:rPr>
          <w:rFonts w:ascii="Times New Roman" w:hAnsi="Times New Roman" w:cs="Times New Roman" w:eastAsia="宋体"/>
          <w:sz w:val="24"/>
        </w:rPr>
        <w:t>在研究意义上，本课题把字面信息、语义表示和经过筛选的知识图谱证据放到同一评价条件下比较，分析它们分别解决了什么问题、又在哪些情况下会引入错误。对多实体短语单独分析，还能说明“找对名称”和“确定答案数量”之间的关系，为中文医学术语标准化提供可复核的经验。</w:t>
      </w:r>
    </w:p>
    <w:p>
      <w:pPr>
        <w:pStyle w:val="Style17"/>
        <w:spacing w:line="300" w:lineRule="auto" w:before="0" w:after="0"/>
      </w:pPr>
      <w:r>
        <w:rPr>
          <w:rFonts w:ascii="Times New Roman" w:hAnsi="Times New Roman" w:cs="Times New Roman" w:eastAsia="宋体"/>
          <w:sz w:val="24"/>
        </w:rPr>
        <w:t>在应用意义上，标准化后的名称可为病案检索、疾病统计、编码辅助和科研数据整理提供统一入口，减少不同写法造成的重复或遗漏，并提高跨来源医疗数据按疾病名称汇总和比较的效率。</w:t>
      </w:r>
    </w:p>
    <w:p>
      <w:pPr>
        <w:pStyle w:val="Heading1"/>
        <w:keepNext/>
        <w:spacing w:lineRule="auto" w:line="300" w:beforeLines="100" w:afterLines="80"/>
      </w:pPr>
      <w:r>
        <w:rPr>
          <w:rFonts w:ascii="Times New Roman" w:hAnsi="Times New Roman" w:cs="Times New Roman" w:eastAsia="黑体"/>
          <w:sz w:val="36"/>
        </w:rPr>
        <w:t xml:space="preserve">2  </w:t>
      </w:r>
      <w:r>
        <w:rPr>
          <w:rFonts w:ascii="Times New Roman" w:hAnsi="Times New Roman" w:cs="Times New Roman" w:eastAsia="黑体"/>
          <w:sz w:val="36"/>
        </w:rPr>
        <w:t>国内外研究现状及分析</w:t>
      </w:r>
    </w:p>
    <w:p>
      <w:pPr>
        <w:pStyle w:val="Heading2"/>
        <w:keepNext/>
        <w:spacing w:lineRule="auto" w:line="300" w:beforeLines="50" w:afterLines="50"/>
      </w:pPr>
      <w:r>
        <w:rPr>
          <w:rFonts w:ascii="Times New Roman" w:hAnsi="Times New Roman" w:cs="Times New Roman" w:eastAsia="黑体"/>
          <w:sz w:val="30"/>
        </w:rPr>
        <w:t xml:space="preserve">2.1  </w:t>
      </w:r>
      <w:r>
        <w:rPr>
          <w:rFonts w:ascii="Times New Roman" w:hAnsi="Times New Roman" w:cs="Times New Roman" w:eastAsia="黑体"/>
          <w:sz w:val="30"/>
        </w:rPr>
        <w:t>国内外研究现状</w:t>
      </w:r>
    </w:p>
    <w:p>
      <w:pPr>
        <w:pStyle w:val="Style17"/>
        <w:spacing w:line="300" w:lineRule="auto" w:before="0" w:after="0"/>
      </w:pPr>
      <w:r>
        <w:rPr>
          <w:rFonts w:ascii="Times New Roman" w:hAnsi="Times New Roman" w:cs="Times New Roman" w:eastAsia="宋体"/>
          <w:sz w:val="24"/>
        </w:rPr>
        <w:t>从国外研究看，早期的生物医学实体标准化主要借助术语词典、人工整理的同义词和字符串相似度：输入与标准名称写法接近时容易匹配，缩写或别名未收入词典时则容易漏掉。随着预训练模型的发展，研究开始学习术语的语义表示，使不同写法的同一实体在表示空间里更接近。Sung 等在 2020 年提出 BioSyn，利用实体同义词学习生物医学名称表示，并处理同义词表不完整带来的候选匹配问题[2]。</w:t>
      </w:r>
    </w:p>
    <w:p>
      <w:pPr>
        <w:pStyle w:val="Style17"/>
        <w:spacing w:line="300" w:lineRule="auto" w:before="0" w:after="0"/>
      </w:pPr>
      <w:r>
        <w:rPr>
          <w:rFonts w:ascii="Times New Roman" w:hAnsi="Times New Roman" w:cs="Times New Roman" w:eastAsia="宋体"/>
          <w:sz w:val="24"/>
        </w:rPr>
        <w:t>Liu 等在 2021 年提出 SapBERT，通过已有医学术语的同义名称进行自对齐训练，改善实体链接时对细微语义差别的识别[3]。这些研究说明，仅依靠字面重合不足以处理医学名称的多种写法，可靠的同义信息和语义表示有帮助。不过，它们所研究的词表、语言和标注形式与本课题使用的中文诊断短语不完全相同；其结论可以提供方法启发，效果仍需在中文固定候选词表和多实体标注下重新验证。</w:t>
      </w:r>
    </w:p>
    <w:p>
      <w:pPr>
        <w:pStyle w:val="Style17"/>
        <w:spacing w:line="300" w:lineRule="auto" w:before="0" w:after="0"/>
      </w:pPr>
      <w:r>
        <w:rPr>
          <w:rFonts w:ascii="Times New Roman" w:hAnsi="Times New Roman" w:cs="Times New Roman" w:eastAsia="宋体"/>
          <w:sz w:val="24"/>
        </w:rPr>
        <w:t>从国内研究看，面向中文临床术语，Wang 等研究了把诊断和操作名称链接到 ICD 编码的方法，反映出中文表达与标准编码之间存在名称差异、歧义和映射问题[4]。随后，CBLUE 将 CHIP-CDN 纳入中文生物医学语言理解评测，使“给定原始诊断名称，返回标准化名称”成为能够使用公开数据比较的方法任务[1]。与国外常用的术语资源相比，这类中文任务更直接面对临床书写中的简称、中英文混写和多个概念连写。</w:t>
      </w:r>
    </w:p>
    <w:p>
      <w:pPr>
        <w:pStyle w:val="Style17"/>
        <w:spacing w:line="300" w:lineRule="auto" w:before="0" w:after="0"/>
      </w:pPr>
      <w:r>
        <w:rPr>
          <w:rFonts w:ascii="Times New Roman" w:hAnsi="Times New Roman" w:cs="Times New Roman" w:eastAsia="宋体"/>
          <w:sz w:val="24"/>
        </w:rPr>
        <w:t>对于一条短语包含多个含义的难点，Fan 等在 2024 年提出 RRNorm。该研究指出，诊断名称中的缩写、并列和连写会造成多含义问题，并通过术语成分识别与重构帮助标准化[5]。这表明研究重点已从单纯判断两段名称是否相似，扩展到理解整条诊断短语的组成。针对本课题的固定 ICD 词表，还需要同时考察正确名称的候选覆盖率、最终输出质量以及多实体样本的效果。</w:t>
      </w:r>
    </w:p>
    <w:p>
      <w:pPr>
        <w:pStyle w:val="Heading2"/>
        <w:keepNext/>
        <w:spacing w:lineRule="auto" w:line="300" w:beforeLines="50" w:afterLines="50"/>
      </w:pPr>
      <w:r>
        <w:rPr>
          <w:rFonts w:ascii="Times New Roman" w:hAnsi="Times New Roman" w:cs="Times New Roman" w:eastAsia="黑体"/>
          <w:sz w:val="30"/>
        </w:rPr>
        <w:t xml:space="preserve">2.2  </w:t>
      </w:r>
      <w:r>
        <w:rPr>
          <w:rFonts w:ascii="Times New Roman" w:hAnsi="Times New Roman" w:cs="Times New Roman" w:eastAsia="黑体"/>
          <w:sz w:val="30"/>
        </w:rPr>
        <w:t>国内外文献综述及简析</w:t>
      </w:r>
    </w:p>
    <w:p>
      <w:pPr>
        <w:pStyle w:val="Heading3"/>
        <w:keepNext/>
        <w:spacing w:lineRule="auto" w:line="300" w:beforeLines="50" w:afterLines="50"/>
      </w:pPr>
      <w:r>
        <w:rPr>
          <w:rFonts w:ascii="Times New Roman" w:hAnsi="Times New Roman" w:cs="Times New Roman" w:eastAsia="黑体"/>
          <w:sz w:val="28"/>
        </w:rPr>
        <w:t xml:space="preserve">2.2.1  </w:t>
      </w:r>
      <w:r>
        <w:rPr>
          <w:rFonts w:ascii="Times New Roman" w:hAnsi="Times New Roman" w:cs="Times New Roman" w:eastAsia="黑体"/>
          <w:sz w:val="28"/>
        </w:rPr>
        <w:t>代表性文献的主要结论</w:t>
      </w:r>
    </w:p>
    <w:p>
      <w:pPr>
        <w:pStyle w:val="Style17"/>
        <w:spacing w:line="300" w:lineRule="auto" w:before="0" w:after="0"/>
      </w:pPr>
      <w:r>
        <w:rPr>
          <w:rFonts w:ascii="Times New Roman" w:hAnsi="Times New Roman" w:cs="Times New Roman" w:eastAsia="宋体"/>
          <w:sz w:val="24"/>
        </w:rPr>
        <w:t>综合上述文献，可以看到三个逐步明确的认识。第一，医学术语存在大量同义写法，仅靠精确匹配或一般字符串相似度不足以识别全部对应关系；BioSyn 与 SapBERT 因而重视同义名称所提供的学习信号[2-3]。第二，标准化效果必须依赖明确的任务边界与数据资源：CBLUE 的贡献不仅是提供模型结果，更是给出了中文诊断名称标准化的可比较任务[1]；中文术语到 ICD 编码的研究则提醒我们，标准名称与编码映射还需单独处理[4]。</w:t>
      </w:r>
    </w:p>
    <w:p>
      <w:pPr>
        <w:pStyle w:val="Style17"/>
        <w:spacing w:line="300" w:lineRule="auto" w:before="0" w:after="0"/>
      </w:pPr>
      <w:r>
        <w:rPr>
          <w:rFonts w:ascii="Times New Roman" w:hAnsi="Times New Roman" w:cs="Times New Roman" w:eastAsia="宋体"/>
          <w:sz w:val="24"/>
        </w:rPr>
        <w:t>第三，复杂诊断短语可能不止对应一个标准实体。RRNorm 从诊断术语的成分出发处理多含义问题[5]。另有针对中文医疗操作名称的生成式标准化研究，说明复杂表达也可通过生成方式处理，但它研究的是医疗操作，不等同于本课题的疾病实体任务[6]。对本课题而言，最终答案必须来自固定疾病词表，因此无论中间怎样理解短语，都需要检查输出是否属于该词表。</w:t>
      </w:r>
    </w:p>
    <w:p>
      <w:pPr>
        <w:pStyle w:val="Heading3"/>
        <w:keepNext/>
        <w:spacing w:lineRule="auto" w:line="300" w:beforeLines="50" w:afterLines="50"/>
      </w:pPr>
      <w:r>
        <w:rPr>
          <w:rFonts w:ascii="Times New Roman" w:hAnsi="Times New Roman" w:cs="Times New Roman" w:eastAsia="黑体"/>
          <w:sz w:val="28"/>
        </w:rPr>
        <w:t xml:space="preserve">2.2.2  </w:t>
      </w:r>
      <w:r>
        <w:rPr>
          <w:rFonts w:ascii="Times New Roman" w:hAnsi="Times New Roman" w:cs="Times New Roman" w:eastAsia="黑体"/>
          <w:sz w:val="28"/>
        </w:rPr>
        <w:t>现有研究的局限与本课题切入点</w:t>
      </w:r>
    </w:p>
    <w:p>
      <w:pPr>
        <w:pStyle w:val="Style17"/>
        <w:spacing w:line="300" w:lineRule="auto" w:before="0" w:after="0"/>
      </w:pPr>
      <w:r>
        <w:rPr>
          <w:rFonts w:ascii="Times New Roman" w:hAnsi="Times New Roman" w:cs="Times New Roman" w:eastAsia="宋体"/>
          <w:sz w:val="24"/>
        </w:rPr>
        <w:t>文献提示的第一个问题是候选覆盖：如果正确名称一开始没有被找出来，后续再强的判别模型也无法选中它。第二个问题是证据含义：知识图谱中的“同义词”可以帮助识别别名，“并发症”“鉴别诊断”等关联却不能直接当作同义词，否则会把相关疾病误判为同一实体。第三个问题是答案数量：对于含有多个概念的短语，只返回最相似的一个名称会漏报，简单放宽阈值又可能多报。</w:t>
      </w:r>
    </w:p>
    <w:p>
      <w:pPr>
        <w:pStyle w:val="Style17"/>
        <w:spacing w:line="300" w:lineRule="auto" w:before="0" w:after="0"/>
      </w:pPr>
      <w:r>
        <w:rPr>
          <w:rFonts w:ascii="Times New Roman" w:hAnsi="Times New Roman" w:cs="Times New Roman" w:eastAsia="宋体"/>
          <w:sz w:val="24"/>
        </w:rPr>
        <w:t>因此，本课题将在同一套中文诊断数据和固定 ICD 词表下，分别检查“正确名称是否进入候选”“进入候选后能否排对”“最终输出数量是否合适”。知识图谱只在关系可信、实体可对齐的情况下提供补充证据。这样的切入点承接了已有的名称表示、中文评测和复杂短语研究，也使各环节的作用与错误来源能够被分别检验。</w:t>
      </w:r>
    </w:p>
    <w:p>
      <w:pPr>
        <w:pStyle w:val="Heading1"/>
        <w:keepNext/>
        <w:spacing w:lineRule="auto" w:line="300" w:beforeLines="100" w:afterLines="80"/>
      </w:pPr>
      <w:r>
        <w:rPr>
          <w:rFonts w:ascii="Times New Roman" w:hAnsi="Times New Roman" w:cs="Times New Roman" w:eastAsia="黑体"/>
          <w:sz w:val="36"/>
        </w:rPr>
        <w:t xml:space="preserve">3  </w:t>
      </w:r>
      <w:r>
        <w:rPr>
          <w:rFonts w:ascii="Times New Roman" w:hAnsi="Times New Roman" w:cs="Times New Roman" w:eastAsia="黑体"/>
          <w:sz w:val="36"/>
        </w:rPr>
        <w:t>主要研究内容及研究方案</w:t>
      </w:r>
    </w:p>
    <w:p>
      <w:pPr>
        <w:pStyle w:val="Heading2"/>
        <w:keepNext/>
        <w:spacing w:lineRule="auto" w:line="300" w:beforeLines="50" w:afterLines="50"/>
      </w:pPr>
      <w:r>
        <w:rPr>
          <w:rFonts w:ascii="Times New Roman" w:hAnsi="Times New Roman" w:cs="Times New Roman" w:eastAsia="黑体"/>
          <w:sz w:val="30"/>
        </w:rPr>
        <w:t xml:space="preserve">3.1  </w:t>
      </w:r>
      <w:r>
        <w:rPr>
          <w:rFonts w:ascii="Times New Roman" w:hAnsi="Times New Roman" w:cs="Times New Roman" w:eastAsia="黑体"/>
          <w:sz w:val="30"/>
        </w:rPr>
        <w:t>研究内容</w:t>
      </w:r>
    </w:p>
    <w:p>
      <w:pPr>
        <w:pStyle w:val="Heading3"/>
        <w:keepNext/>
        <w:spacing w:lineRule="auto" w:line="300" w:beforeLines="50" w:afterLines="50"/>
      </w:pPr>
      <w:r>
        <w:rPr>
          <w:rFonts w:ascii="Times New Roman" w:hAnsi="Times New Roman" w:cs="Times New Roman" w:eastAsia="黑体"/>
          <w:sz w:val="28"/>
        </w:rPr>
        <w:t xml:space="preserve">3.1.1  </w:t>
      </w:r>
      <w:r>
        <w:rPr>
          <w:rFonts w:ascii="Times New Roman" w:hAnsi="Times New Roman" w:cs="Times New Roman" w:eastAsia="黑体"/>
          <w:sz w:val="28"/>
        </w:rPr>
        <w:t>标准词表、数据与任务定义</w:t>
      </w:r>
    </w:p>
    <w:p>
      <w:pPr>
        <w:pStyle w:val="Style17"/>
        <w:spacing w:line="300" w:lineRule="auto" w:before="0" w:after="0"/>
      </w:pPr>
      <w:r>
        <w:rPr>
          <w:rFonts w:ascii="Times New Roman" w:hAnsi="Times New Roman" w:cs="Times New Roman" w:eastAsia="宋体"/>
          <w:sz w:val="24"/>
        </w:rPr>
        <w:t>课题使用 CHIP-CDN 的中文诊断短语及标准答案作为训练和评价数据，以 ICD-10 北京临床版的标准疾病名称作为最终候选词表[7]，并使用 CPubMed-KG 2.0 中可核实的疾病别名与关系作为外部知识[8]。经空值清理、字符统一和名称去重后，候选词表约有 37,645 个标准疾病名称。研究输入是一条已有的诊断短语；输出是该词表中的一个或多个标准名称，多个名称的先后顺序不影响结果判断。</w:t>
      </w:r>
    </w:p>
    <w:p>
      <w:pPr>
        <w:pStyle w:val="Style17"/>
        <w:spacing w:line="300" w:lineRule="auto" w:before="0" w:after="0"/>
      </w:pPr>
      <w:r>
        <w:rPr>
          <w:rFonts w:ascii="Times New Roman" w:hAnsi="Times New Roman" w:cs="Times New Roman" w:eastAsia="宋体"/>
          <w:sz w:val="24"/>
        </w:rPr>
        <w:t>数据整理还包括检查原始名称与标准名称的对应关系、统计单实体和多实体记录的分布，并将词表外答案作为独立的错误类别。标准名称和 ICD 编码分别保存：实验先评价名称匹配结果，再依据名称—编码映射表处理编码。</w:t>
      </w:r>
    </w:p>
    <w:p>
      <w:pPr>
        <w:pStyle w:val="Heading3"/>
        <w:keepNext/>
        <w:spacing w:lineRule="auto" w:line="300" w:beforeLines="50" w:afterLines="50"/>
      </w:pPr>
      <w:r>
        <w:rPr>
          <w:rFonts w:ascii="Times New Roman" w:hAnsi="Times New Roman" w:cs="Times New Roman" w:eastAsia="黑体"/>
          <w:sz w:val="28"/>
        </w:rPr>
        <w:t xml:space="preserve">3.1.2  </w:t>
      </w:r>
      <w:r>
        <w:rPr>
          <w:rFonts w:ascii="Times New Roman" w:hAnsi="Times New Roman" w:cs="Times New Roman" w:eastAsia="黑体"/>
          <w:sz w:val="28"/>
        </w:rPr>
        <w:t>标准名称的查找与判别</w:t>
      </w:r>
    </w:p>
    <w:p>
      <w:pPr>
        <w:pStyle w:val="Style17"/>
        <w:spacing w:line="300" w:lineRule="auto" w:before="0" w:after="0"/>
      </w:pPr>
      <w:r>
        <w:rPr>
          <w:rFonts w:ascii="Times New Roman" w:hAnsi="Times New Roman" w:cs="Times New Roman" w:eastAsia="宋体"/>
          <w:sz w:val="24"/>
        </w:rPr>
        <w:t>研究首先检查能否从完整词表中找到正确名称。字符重合有助于发现部位词、简称与局部字面相似的候选，语义表示有助于补充写法差异较大的候选。对每条输入保留有限数量的候选，单独计算正确答案进入候选的比例，以区分“没找到答案”和“找到后选错”两类错误。</w:t>
      </w:r>
    </w:p>
    <w:p>
      <w:pPr>
        <w:pStyle w:val="Style17"/>
        <w:spacing w:line="300" w:lineRule="auto" w:before="0" w:after="0"/>
      </w:pPr>
      <w:r>
        <w:rPr>
          <w:rFonts w:ascii="Times New Roman" w:hAnsi="Times New Roman" w:cs="Times New Roman" w:eastAsia="宋体"/>
          <w:sz w:val="24"/>
        </w:rPr>
        <w:t>在已有候选中，再比较原始诊断短语与标准名称是否指向同一疾病实体。对能够可靠对齐的图谱节点，只引入直接的疾病别名作补充信息；对医学上有关联却不是同义的名称，作为需要重点区分的错误候选。研究比较有无这些图谱信息时的结果，判断外部知识是在帮助辨别，还是增加了噪声。</w:t>
      </w:r>
    </w:p>
    <w:p>
      <w:pPr>
        <w:pStyle w:val="Heading3"/>
        <w:keepNext/>
        <w:spacing w:lineRule="auto" w:line="300" w:beforeLines="50" w:afterLines="50"/>
      </w:pPr>
      <w:r>
        <w:rPr>
          <w:rFonts w:ascii="Times New Roman" w:hAnsi="Times New Roman" w:cs="Times New Roman" w:eastAsia="黑体"/>
          <w:sz w:val="28"/>
        </w:rPr>
        <w:t xml:space="preserve">3.1.3  </w:t>
      </w:r>
      <w:r>
        <w:rPr>
          <w:rFonts w:ascii="Times New Roman" w:hAnsi="Times New Roman" w:cs="Times New Roman" w:eastAsia="黑体"/>
          <w:sz w:val="28"/>
        </w:rPr>
        <w:t>多实体输出与实验分析</w:t>
      </w:r>
    </w:p>
    <w:p>
      <w:pPr>
        <w:pStyle w:val="Style17"/>
        <w:spacing w:line="300" w:lineRule="auto" w:before="0" w:after="0"/>
      </w:pPr>
      <w:r>
        <w:rPr>
          <w:rFonts w:ascii="Times New Roman" w:hAnsi="Times New Roman" w:cs="Times New Roman" w:eastAsia="宋体"/>
          <w:sz w:val="24"/>
        </w:rPr>
        <w:t>单条诊断短语可能对应一个名称，也可能包含并列疾病或附带情况。研究将估计答案数量，再从排序后的候选中决定最终输出集合。评价时分别报告单实体、多实体短语的表现，并统计多实体短语的漏报情况。</w:t>
      </w:r>
    </w:p>
    <w:p>
      <w:pPr>
        <w:pStyle w:val="Style17"/>
        <w:spacing w:line="300" w:lineRule="auto" w:before="0" w:after="0"/>
      </w:pPr>
      <w:r>
        <w:rPr>
          <w:rFonts w:ascii="Times New Roman" w:hAnsi="Times New Roman" w:cs="Times New Roman" w:eastAsia="宋体"/>
          <w:sz w:val="24"/>
        </w:rPr>
        <w:t>最终分析包括候选召回率、标准化精确率、召回率、Micro-F1，以及整条记录完全匹配的比例。通过基线比较、模块消融和典型病例文字案例，说明错误究竟来自候选遗漏、相似疾病混淆、图谱别名误用，还是输出数量不当。</w:t>
      </w:r>
    </w:p>
    <w:p>
      <w:pPr>
        <w:pStyle w:val="Heading2"/>
        <w:keepNext/>
        <w:spacing w:lineRule="auto" w:line="300" w:beforeLines="50" w:afterLines="50"/>
      </w:pPr>
      <w:r>
        <w:rPr>
          <w:rFonts w:ascii="Times New Roman" w:hAnsi="Times New Roman" w:cs="Times New Roman" w:eastAsia="黑体"/>
          <w:sz w:val="30"/>
        </w:rPr>
        <w:t xml:space="preserve">3.2  </w:t>
      </w:r>
      <w:r>
        <w:rPr>
          <w:rFonts w:ascii="Times New Roman" w:hAnsi="Times New Roman" w:cs="Times New Roman" w:eastAsia="黑体"/>
          <w:sz w:val="30"/>
        </w:rPr>
        <w:t>研究方案</w:t>
      </w:r>
    </w:p>
    <w:p>
      <w:pPr>
        <w:pStyle w:val="Style17"/>
        <w:spacing w:line="300" w:lineRule="auto" w:before="0" w:after="0"/>
      </w:pPr>
      <w:r>
        <w:rPr>
          <w:rFonts w:ascii="Times New Roman" w:hAnsi="Times New Roman" w:cs="Times New Roman" w:eastAsia="宋体"/>
          <w:sz w:val="24"/>
        </w:rPr>
        <w:t>技术路线依次为“准备标准词表与数据—查找可能的标准名称—判别候选是否对应—确定输出数量—评价与分析”。候选查找和最终标准化分别报告指标，以观察正确名称进入候选后的判别质量。</w:t>
      </w:r>
    </w:p>
    <w:p>
      <w:pPr>
        <w:pStyle w:val="Style17"/>
        <w:spacing w:line="300" w:lineRule="auto" w:before="0" w:after="0"/>
      </w:pPr>
      <w:r>
        <w:rPr>
          <w:rFonts w:ascii="Times New Roman" w:hAnsi="Times New Roman" w:cs="Times New Roman" w:eastAsia="宋体"/>
          <w:sz w:val="24"/>
        </w:rPr>
        <w:t>候选查找设置两条途径。第一条以字符级 TF-IDF 检索相似写法，TF-IDF 是衡量词项在文本中区分作用的经典方法[9]；第二条用语义向量检索表达不同但含义接近的名称，稠密检索研究为这种思路提供了基础[10]。两条途径的结果使用倒数排序融合方法 RRF 合并[11]，中文 BGE 表示模型用于建立语义检索基线[12]。初步计划每条短语保留前 400 个候选，并检查正确标签的覆盖情况与计算成本。</w:t>
      </w:r>
    </w:p>
    <w:p>
      <w:pPr>
        <w:pStyle w:val="Style17"/>
        <w:spacing w:line="300" w:lineRule="auto" w:before="0" w:after="0"/>
      </w:pPr>
      <w:r>
        <w:rPr>
          <w:rFonts w:ascii="Times New Roman" w:hAnsi="Times New Roman" w:cs="Times New Roman" w:eastAsia="宋体"/>
          <w:sz w:val="24"/>
        </w:rPr>
        <w:t>候选判别阶段比较“原始短语—候选名称”这一对文字。BERT 的双向编码方式为成对文本理解提供基础[13]，中文 MacBERT 可作为本课题的判别模型基线[14]。在此基础上，将可靠的图谱疾病别名、原始检索名次及容易混淆的负例纳入比较；对照实验保持基础模型和训练条件一致，分别测量各类信息的贡献。</w:t>
      </w:r>
    </w:p>
    <w:p>
      <w:pPr>
        <w:pStyle w:val="Style17"/>
        <w:spacing w:line="300" w:lineRule="auto" w:before="0" w:after="0"/>
      </w:pPr>
      <w:r>
        <w:rPr>
          <w:rFonts w:ascii="Times New Roman" w:hAnsi="Times New Roman" w:cs="Times New Roman" w:eastAsia="宋体"/>
          <w:sz w:val="24"/>
        </w:rPr>
        <w:t>多实体输出阶段根据诊断短语的内容估计应返回的名称数量，再结合候选得分作选择。对于“并”“伴”等组合表达，研究使用短语结构信息辅助数量判断；Qwen2.5 等语言模型可用于识别组合结构，最终名称仍由固定 ICD 词表选出[15]。</w:t>
      </w:r>
    </w:p>
    <w:p>
      <w:pPr>
        <w:pStyle w:val="Style17"/>
        <w:spacing w:line="300" w:lineRule="auto" w:before="0" w:after="0"/>
      </w:pPr>
      <w:r>
        <w:rPr>
          <w:rFonts w:ascii="Times New Roman" w:hAnsi="Times New Roman" w:cs="Times New Roman" w:eastAsia="宋体"/>
          <w:sz w:val="24"/>
        </w:rPr>
        <w:t>实验计划使用 CHIP-CDN 官方训练集 6,000 条记录进行训练，在训练集内部选择训练轮数、融合权重和解码阈值；参数固定后再使用官方验证集 2,000 条记录评估。候选阶段统计 Top-K 标签召回率，最终阶段统计 Micro-Precision、Micro-Recall、Micro-F1 和记录完全匹配率。对照实验包括单一字符检索、单一语义检索、无图谱证据和无数量判断等设置，并保存代码、配置和逐条预测结果供复核。</w:t>
      </w:r>
    </w:p>
    <w:p>
      <w:pPr>
        <w:pStyle w:val="Heading1"/>
        <w:keepNext/>
        <w:spacing w:lineRule="auto" w:line="300" w:beforeLines="100" w:afterLines="80"/>
      </w:pPr>
      <w:r>
        <w:rPr>
          <w:rFonts w:ascii="Times New Roman" w:hAnsi="Times New Roman" w:cs="Times New Roman" w:eastAsia="黑体"/>
          <w:sz w:val="36"/>
        </w:rPr>
        <w:t xml:space="preserve">4  </w:t>
      </w:r>
      <w:r>
        <w:rPr>
          <w:rFonts w:ascii="Times New Roman" w:hAnsi="Times New Roman" w:cs="Times New Roman" w:eastAsia="黑体"/>
          <w:sz w:val="36"/>
        </w:rPr>
        <w:t>进度安排及预期目标</w:t>
      </w:r>
    </w:p>
    <w:p>
      <w:pPr>
        <w:pStyle w:val="Heading2"/>
        <w:keepNext/>
        <w:spacing w:lineRule="auto" w:line="300" w:beforeLines="50" w:afterLines="50"/>
      </w:pPr>
      <w:r>
        <w:rPr>
          <w:rFonts w:ascii="Times New Roman" w:hAnsi="Times New Roman" w:cs="Times New Roman" w:eastAsia="黑体"/>
          <w:sz w:val="30"/>
        </w:rPr>
        <w:t xml:space="preserve">4.1  </w:t>
      </w:r>
      <w:r>
        <w:rPr>
          <w:rFonts w:ascii="Times New Roman" w:hAnsi="Times New Roman" w:cs="Times New Roman" w:eastAsia="黑体"/>
          <w:sz w:val="30"/>
        </w:rPr>
        <w:t>进度安排</w:t>
      </w:r>
    </w:p>
    <w:p>
      <w:pPr>
        <w:pStyle w:val="Style17"/>
        <w:spacing w:line="300" w:lineRule="auto" w:before="0" w:after="0"/>
      </w:pPr>
      <w:r>
        <w:rPr>
          <w:rFonts w:ascii="Times New Roman" w:hAnsi="Times New Roman" w:cs="Times New Roman" w:eastAsia="宋体"/>
          <w:sz w:val="24"/>
        </w:rPr>
        <w:t>研究周期为 2026 年 9 月至 2027 年 5 月。</w:t>
      </w:r>
    </w:p>
    <w:p>
      <w:pPr>
        <w:pStyle w:val="Style17"/>
        <w:spacing w:line="300" w:lineRule="auto" w:before="0" w:after="0"/>
      </w:pPr>
      <w:r>
        <w:rPr>
          <w:rFonts w:ascii="Times New Roman" w:hAnsi="Times New Roman" w:cs="Times New Roman" w:eastAsia="宋体"/>
          <w:sz w:val="24"/>
        </w:rPr>
        <w:t>2026 年 9—10 月：查阅国内外相关文献，明确中文诊断名称到固定词表的任务边界和评价指标，完成任务书与开题报告。</w:t>
      </w:r>
    </w:p>
    <w:p>
      <w:pPr>
        <w:pStyle w:val="Style17"/>
        <w:spacing w:line="300" w:lineRule="auto" w:before="0" w:after="0"/>
      </w:pPr>
      <w:r>
        <w:rPr>
          <w:rFonts w:ascii="Times New Roman" w:hAnsi="Times New Roman" w:cs="Times New Roman" w:eastAsia="宋体"/>
          <w:sz w:val="24"/>
        </w:rPr>
        <w:t>2026 年 10—11 月：整理 CHIP-CDN、ICD 和 CPubMed-KG，核查名称、别名与关系；建立字面和语义检索基线，记录候选覆盖。</w:t>
      </w:r>
    </w:p>
    <w:p>
      <w:pPr>
        <w:pStyle w:val="Style17"/>
        <w:spacing w:line="300" w:lineRule="auto" w:before="0" w:after="0"/>
      </w:pPr>
      <w:r>
        <w:rPr>
          <w:rFonts w:ascii="Times New Roman" w:hAnsi="Times New Roman" w:cs="Times New Roman" w:eastAsia="宋体"/>
          <w:sz w:val="24"/>
        </w:rPr>
        <w:t>2026 年 12 月至 2027 年 2 月：完善候选判别、图谱证据和答案数量判断，完成训练与联调，保存数据版本和参数。</w:t>
      </w:r>
    </w:p>
    <w:p>
      <w:pPr>
        <w:pStyle w:val="Style17"/>
        <w:spacing w:line="300" w:lineRule="auto" w:before="0" w:after="0"/>
      </w:pPr>
      <w:r>
        <w:rPr>
          <w:rFonts w:ascii="Times New Roman" w:hAnsi="Times New Roman" w:cs="Times New Roman" w:eastAsia="宋体"/>
          <w:sz w:val="24"/>
        </w:rPr>
        <w:t>2027 年 3—4 月：按固定指标完成基线、消融、单多实体分组和错误分析，完善演示程序及说明。</w:t>
      </w:r>
    </w:p>
    <w:p>
      <w:pPr>
        <w:pStyle w:val="Style17"/>
        <w:spacing w:line="300" w:lineRule="auto" w:before="0" w:after="0"/>
      </w:pPr>
      <w:r>
        <w:rPr>
          <w:rFonts w:ascii="Times New Roman" w:hAnsi="Times New Roman" w:cs="Times New Roman" w:eastAsia="宋体"/>
          <w:sz w:val="24"/>
        </w:rPr>
        <w:t>2027 年 5 月：撰写并修改论文，检查格式与文献，整理源码和实验记录，准备毕业答辩。</w:t>
      </w:r>
    </w:p>
    <w:p>
      <w:pPr>
        <w:pStyle w:val="Heading2"/>
        <w:keepNext/>
        <w:spacing w:lineRule="auto" w:line="300" w:beforeLines="50" w:afterLines="50"/>
      </w:pPr>
      <w:r>
        <w:rPr>
          <w:rFonts w:ascii="Times New Roman" w:hAnsi="Times New Roman" w:cs="Times New Roman" w:eastAsia="黑体"/>
          <w:sz w:val="30"/>
        </w:rPr>
        <w:t xml:space="preserve">4.2  </w:t>
      </w:r>
      <w:r>
        <w:rPr>
          <w:rFonts w:ascii="Times New Roman" w:hAnsi="Times New Roman" w:cs="Times New Roman" w:eastAsia="黑体"/>
          <w:sz w:val="30"/>
        </w:rPr>
        <w:t>预期目标</w:t>
      </w:r>
    </w:p>
    <w:p>
      <w:pPr>
        <w:pStyle w:val="Style17"/>
        <w:spacing w:line="300" w:lineRule="auto" w:before="0" w:after="0"/>
      </w:pPr>
      <w:r>
        <w:rPr>
          <w:rFonts w:ascii="Times New Roman" w:hAnsi="Times New Roman" w:cs="Times New Roman" w:eastAsia="宋体"/>
          <w:sz w:val="24"/>
        </w:rPr>
        <w:t>候选阶段计划在每条短语保留前 400 个标准名称时，使正确标签的召回率达到 90% 以上；最终标准化阶段，计划在 CHIP-CDN 官方验证集上使 Micro-F1 达到 70% 以上，并报告精确率、召回率、记录完全匹配率及单实体、多实体分组表现。</w:t>
      </w:r>
    </w:p>
    <w:p>
      <w:pPr>
        <w:pStyle w:val="Style17"/>
        <w:spacing w:line="300" w:lineRule="auto" w:before="0" w:after="0"/>
      </w:pPr>
      <w:r>
        <w:rPr>
          <w:rFonts w:ascii="Times New Roman" w:hAnsi="Times New Roman" w:cs="Times New Roman" w:eastAsia="宋体"/>
          <w:sz w:val="24"/>
        </w:rPr>
        <w:t>预期形成疾病实体标准化算法源码与可运行演示程序，提交基线、消融和错误分析记录，并完成本科毕业论文。程序接收诊断短语后，返回词表中的标准名称及相应的候选分数。</w:t>
      </w:r>
    </w:p>
    <w:p>
      <w:pPr>
        <w:pStyle w:val="Heading1"/>
        <w:keepNext/>
        <w:spacing w:lineRule="auto" w:line="300" w:beforeLines="100" w:afterLines="80"/>
      </w:pPr>
      <w:r>
        <w:rPr>
          <w:rFonts w:ascii="Times New Roman" w:hAnsi="Times New Roman" w:cs="Times New Roman" w:eastAsia="黑体"/>
          <w:sz w:val="36"/>
        </w:rPr>
        <w:t xml:space="preserve">5  </w:t>
      </w:r>
      <w:r>
        <w:rPr>
          <w:rFonts w:ascii="Times New Roman" w:hAnsi="Times New Roman" w:cs="Times New Roman" w:eastAsia="黑体"/>
          <w:sz w:val="36"/>
        </w:rPr>
        <w:t>已具备和所需的条件和经费</w:t>
      </w:r>
    </w:p>
    <w:p>
      <w:pPr>
        <w:pStyle w:val="Heading2"/>
        <w:keepNext/>
        <w:spacing w:lineRule="auto" w:line="300" w:beforeLines="50" w:afterLines="50"/>
      </w:pPr>
      <w:r>
        <w:rPr>
          <w:rFonts w:ascii="Times New Roman" w:hAnsi="Times New Roman" w:cs="Times New Roman" w:eastAsia="黑体"/>
          <w:sz w:val="30"/>
        </w:rPr>
        <w:t xml:space="preserve">5.1  </w:t>
      </w:r>
      <w:r>
        <w:rPr>
          <w:rFonts w:ascii="Times New Roman" w:hAnsi="Times New Roman" w:cs="Times New Roman" w:eastAsia="黑体"/>
          <w:sz w:val="30"/>
        </w:rPr>
        <w:t>已具备的条件和经费保障</w:t>
      </w:r>
    </w:p>
    <w:p>
      <w:pPr>
        <w:pStyle w:val="Style17"/>
        <w:spacing w:line="300" w:lineRule="auto" w:before="0" w:after="0"/>
      </w:pPr>
      <w:r>
        <w:rPr>
          <w:rFonts w:ascii="Times New Roman" w:hAnsi="Times New Roman" w:cs="Times New Roman" w:eastAsia="宋体"/>
          <w:sz w:val="24"/>
        </w:rPr>
        <w:t>已具备 CHIP-CDN 训练集 6,000 条、验证集 2,000 条，ICD-10 北京临床版 40,474 行编码及 37,645 个去重标准名称，以及 CPubMed-KG 2.0 的 4,580,058 条三元组和 45 种关系。</w:t>
      </w:r>
    </w:p>
    <w:p>
      <w:pPr>
        <w:pStyle w:val="Style17"/>
        <w:spacing w:line="300" w:lineRule="auto" w:before="0" w:after="0"/>
      </w:pPr>
      <w:r>
        <w:rPr>
          <w:rFonts w:ascii="Times New Roman" w:hAnsi="Times New Roman" w:cs="Times New Roman" w:eastAsia="宋体"/>
          <w:sz w:val="24"/>
        </w:rPr>
        <w:t>现有实验程序包括字符级 TF-IDF 基线、候选构建、语义检索、候选判别与数量预测、官方验证集评价及逐条预测导出，可用于后续的对照实验、消融实验和错误分析。</w:t>
      </w:r>
    </w:p>
    <w:p>
      <w:pPr>
        <w:pStyle w:val="Heading2"/>
        <w:keepNext/>
        <w:spacing w:lineRule="auto" w:line="300" w:beforeLines="50" w:afterLines="50"/>
      </w:pPr>
      <w:r>
        <w:rPr>
          <w:rFonts w:ascii="Times New Roman" w:hAnsi="Times New Roman" w:cs="Times New Roman" w:eastAsia="黑体"/>
          <w:sz w:val="30"/>
        </w:rPr>
        <w:t xml:space="preserve">5.2  </w:t>
      </w:r>
      <w:r>
        <w:rPr>
          <w:rFonts w:ascii="Times New Roman" w:hAnsi="Times New Roman" w:cs="Times New Roman" w:eastAsia="黑体"/>
          <w:sz w:val="30"/>
        </w:rPr>
        <w:t>所需条件和经费</w:t>
      </w:r>
    </w:p>
    <w:p>
      <w:pPr>
        <w:pStyle w:val="Style17"/>
        <w:spacing w:line="300" w:lineRule="auto" w:before="0" w:after="0"/>
      </w:pPr>
      <w:r>
        <w:rPr>
          <w:rFonts w:ascii="Times New Roman" w:hAnsi="Times New Roman" w:cs="Times New Roman" w:eastAsia="宋体"/>
          <w:sz w:val="24"/>
        </w:rPr>
        <w:t>后续对照与消融训练需要 GPU 时段，主要用于语义检索模型、候选判别模型和数量预测模型。现有 Colab 训练脚本承担模型训练，本地程序完成预测结果与指标复核。本课题暂无新增经费预算。</w:t>
      </w:r>
    </w:p>
    <w:p>
      <w:pPr>
        <w:pStyle w:val="Heading1"/>
        <w:keepNext/>
        <w:spacing w:lineRule="auto" w:line="300" w:beforeLines="100" w:afterLines="80"/>
      </w:pPr>
      <w:r>
        <w:rPr>
          <w:rFonts w:ascii="Times New Roman" w:hAnsi="Times New Roman" w:cs="Times New Roman" w:eastAsia="黑体"/>
          <w:sz w:val="36"/>
        </w:rPr>
        <w:t xml:space="preserve">6  </w:t>
      </w:r>
      <w:r>
        <w:rPr>
          <w:rFonts w:ascii="Times New Roman" w:hAnsi="Times New Roman" w:cs="Times New Roman" w:eastAsia="黑体"/>
          <w:sz w:val="36"/>
        </w:rPr>
        <w:t>预计困难及解决方案</w:t>
      </w:r>
    </w:p>
    <w:p>
      <w:pPr>
        <w:pStyle w:val="Heading2"/>
        <w:keepNext/>
        <w:spacing w:lineRule="auto" w:line="300" w:beforeLines="50" w:afterLines="50"/>
      </w:pPr>
      <w:r>
        <w:rPr>
          <w:rFonts w:ascii="Times New Roman" w:hAnsi="Times New Roman" w:cs="Times New Roman" w:eastAsia="黑体"/>
          <w:sz w:val="30"/>
        </w:rPr>
        <w:t xml:space="preserve">6.1  </w:t>
      </w:r>
      <w:r>
        <w:rPr>
          <w:rFonts w:ascii="Times New Roman" w:hAnsi="Times New Roman" w:cs="Times New Roman" w:eastAsia="黑体"/>
          <w:sz w:val="30"/>
        </w:rPr>
        <w:t>预计困难与技术难点</w:t>
      </w:r>
    </w:p>
    <w:p>
      <w:pPr>
        <w:pStyle w:val="Style17"/>
        <w:spacing w:line="300" w:lineRule="auto" w:before="0" w:after="0"/>
      </w:pPr>
      <w:r>
        <w:rPr>
          <w:rFonts w:ascii="Times New Roman" w:hAnsi="Times New Roman" w:cs="Times New Roman" w:eastAsia="宋体"/>
          <w:sz w:val="24"/>
        </w:rPr>
        <w:t>第一，固定 ICD 词表可能不包含部分数据标注的标准答案。这类答案无法被受限输出模型选中，与模型把词表内答案排错是两种不同问题。第二，诊断短语往往很短，简称、中英文混写及部位词变化会让正确名称难以进入候选；一些字面近似的疾病又可能在病理类型或解剖部位上不同。</w:t>
      </w:r>
    </w:p>
    <w:p>
      <w:pPr>
        <w:pStyle w:val="Style17"/>
        <w:spacing w:line="300" w:lineRule="auto" w:before="0" w:after="0"/>
      </w:pPr>
      <w:r>
        <w:rPr>
          <w:rFonts w:ascii="Times New Roman" w:hAnsi="Times New Roman" w:cs="Times New Roman" w:eastAsia="宋体"/>
          <w:sz w:val="24"/>
        </w:rPr>
        <w:t>第三，医学知识图谱中除了真正的同义别名，还有并发症、鉴别诊断等关联；若不区分关系类型，增加知识可能反而降低准确率。第四，多实体短语既容易漏掉第二个答案，也容易因为阈值过低而多报。</w:t>
      </w:r>
    </w:p>
    <w:p>
      <w:pPr>
        <w:pStyle w:val="Heading2"/>
        <w:keepNext/>
        <w:spacing w:lineRule="auto" w:line="300" w:beforeLines="50" w:afterLines="50"/>
      </w:pPr>
      <w:r>
        <w:rPr>
          <w:rFonts w:ascii="Times New Roman" w:hAnsi="Times New Roman" w:cs="Times New Roman" w:eastAsia="黑体"/>
          <w:sz w:val="30"/>
        </w:rPr>
        <w:t xml:space="preserve">6.2  </w:t>
      </w:r>
      <w:r>
        <w:rPr>
          <w:rFonts w:ascii="Times New Roman" w:hAnsi="Times New Roman" w:cs="Times New Roman" w:eastAsia="黑体"/>
          <w:sz w:val="30"/>
        </w:rPr>
        <w:t>解决方案</w:t>
      </w:r>
    </w:p>
    <w:p>
      <w:pPr>
        <w:pStyle w:val="Style17"/>
        <w:spacing w:line="300" w:lineRule="auto" w:before="0" w:after="0"/>
      </w:pPr>
      <w:r>
        <w:rPr>
          <w:rFonts w:ascii="Times New Roman" w:hAnsi="Times New Roman" w:cs="Times New Roman" w:eastAsia="宋体"/>
          <w:sz w:val="24"/>
        </w:rPr>
        <w:t>对词表外答案先统计覆盖率，并把“词表没有答案”与“模型选错答案”分开报告。对候选遗漏，比较字面检索、语义检索和两者融合的 Top-K 覆盖率，依据覆盖收益与计算开销确定候选数量。对相似疾病误判，检查部位、病理类型等关键差异，并加入容易混淆的错误候选进行训练。</w:t>
      </w:r>
    </w:p>
    <w:p>
      <w:pPr>
        <w:pStyle w:val="Style17"/>
        <w:spacing w:line="300" w:lineRule="auto" w:before="0" w:after="0"/>
      </w:pPr>
      <w:r>
        <w:rPr>
          <w:rFonts w:ascii="Times New Roman" w:hAnsi="Times New Roman" w:cs="Times New Roman" w:eastAsia="宋体"/>
          <w:sz w:val="24"/>
        </w:rPr>
        <w:t>对图谱证据只使用可核实、关系明确的疾病别名；并发症、鉴别诊断等关系不直接视为同义。对多实体问题，单独评价答案数量判断和最终输出集合，在训练集内部选择阈值，并分别观察漏报与多报。</w:t>
      </w:r>
    </w:p>
    <w:p>
      <w:pPr>
        <w:pStyle w:val="Style17"/>
        <w:spacing w:line="300" w:lineRule="auto" w:before="0" w:after="0"/>
      </w:pPr>
      <w:r>
        <w:rPr>
          <w:rFonts w:ascii="Times New Roman" w:hAnsi="Times New Roman" w:cs="Times New Roman" w:eastAsia="宋体"/>
          <w:sz w:val="24"/>
        </w:rPr>
        <w:t>错误分析按候选遗漏、相似疾病误排、图谱非同义关系误用和输出数量错误分类统计，并针对各类错误分别比较增加候选数量、加入易混淆负例、限制图谱关系和调整多实体阈值的效果。</w:t>
      </w:r>
    </w:p>
    <w:p>
      <w:pPr>
        <w:pStyle w:val="Heading1"/>
        <w:keepNext/>
        <w:spacing w:lineRule="auto" w:line="300" w:beforeLines="100" w:afterLines="80"/>
      </w:pPr>
      <w:r>
        <w:rPr>
          <w:rFonts w:ascii="Times New Roman" w:hAnsi="Times New Roman" w:cs="Times New Roman" w:eastAsia="黑体"/>
          <w:sz w:val="36"/>
        </w:rPr>
        <w:t>参考文献</w:t>
      </w:r>
    </w:p>
    <w:p>
      <w:pPr>
        <w:pStyle w:val="Style14"/>
        <w:spacing w:line="300" w:lineRule="auto" w:before="0" w:after="0"/>
        <w:ind w:left="420" w:hanging="420"/>
      </w:pPr>
      <w:r>
        <w:rPr>
          <w:rFonts w:ascii="Times New Roman" w:hAnsi="Times New Roman" w:cs="Times New Roman" w:eastAsia="宋体"/>
          <w:sz w:val="24"/>
        </w:rPr>
        <w:t>[1] ZHANG N, CHEN M, BI Z, et al. CBLUE: A Chinese Biomedical Language Understanding Evaluation Benchmark[C]//Proceedings of the 60th Annual Meeting of the Association for Computational Linguistics. 2022: 7888-7915. DOI: 10.18653/v1/2022.acl-long.544.</w:t>
      </w:r>
    </w:p>
    <w:p>
      <w:pPr>
        <w:pStyle w:val="Style14"/>
        <w:spacing w:line="300" w:lineRule="auto" w:before="0" w:after="0"/>
        <w:ind w:left="420" w:hanging="420"/>
      </w:pPr>
      <w:r>
        <w:rPr>
          <w:rFonts w:ascii="Times New Roman" w:hAnsi="Times New Roman" w:cs="Times New Roman" w:eastAsia="宋体"/>
          <w:sz w:val="24"/>
        </w:rPr>
        <w:t>[2] SUNG M, JEON H, LEE J, et al. Biomedical Entity Representations with Synonym Marginalization[C]//Proceedings of the 58th Annual Meeting of the Association for Computational Linguistics. 2020: 3641-3650. DOI: 10.18653/v1/2020.acl-main.335.</w:t>
      </w:r>
    </w:p>
    <w:p>
      <w:pPr>
        <w:pStyle w:val="Style14"/>
        <w:spacing w:line="300" w:lineRule="auto" w:before="0" w:after="0"/>
        <w:ind w:left="420" w:hanging="420"/>
      </w:pPr>
      <w:r>
        <w:rPr>
          <w:rFonts w:ascii="Times New Roman" w:hAnsi="Times New Roman" w:cs="Times New Roman" w:eastAsia="宋体"/>
          <w:sz w:val="24"/>
        </w:rPr>
        <w:t>[3] LIU F, SHAREGHI E, MENG Z, et al. Self-Alignment Pretraining for Biomedical Entity Representations[C]//Proceedings of the 2021 Conference of the North American Chapter of the Association for Computational Linguistics. 2021: 4228-4238. DOI: 10.18653/v1/2021.naacl-main.334.</w:t>
      </w:r>
    </w:p>
    <w:p>
      <w:pPr>
        <w:pStyle w:val="Style14"/>
        <w:spacing w:line="300" w:lineRule="auto" w:before="0" w:after="0"/>
        <w:ind w:left="420" w:hanging="420"/>
      </w:pPr>
      <w:r>
        <w:rPr>
          <w:rFonts w:ascii="Times New Roman" w:hAnsi="Times New Roman" w:cs="Times New Roman" w:eastAsia="宋体"/>
          <w:sz w:val="24"/>
        </w:rPr>
        <w:t>[4] WANG Q, JI Z, WANG J, et al. A study of entity-linking methods for normalizing Chinese diagnosis and procedure terms to ICD codes[J]. Journal of Biomedical Informatics, 2020, 106: 103418. DOI: 10.1016/j.jbi.2020.103418.</w:t>
      </w:r>
    </w:p>
    <w:p>
      <w:pPr>
        <w:pStyle w:val="Style14"/>
        <w:spacing w:line="300" w:lineRule="auto" w:before="0" w:after="0"/>
        <w:ind w:left="420" w:hanging="420"/>
      </w:pPr>
      <w:r>
        <w:rPr>
          <w:rFonts w:ascii="Times New Roman" w:hAnsi="Times New Roman" w:cs="Times New Roman" w:eastAsia="宋体"/>
          <w:sz w:val="24"/>
        </w:rPr>
        <w:t>[5] FAN Y, ZHU Y, XUE K, et al. RRNorm: A Novel Framework for Chinese Disease Diagnoses Normalization via LLM-Driven Terminology Component Recognition and Reconstruction[C]//Findings of the Association for Computational Linguistics: ACL 2024. 2024: 9162-9175. DOI: 10.18653/v1/2024.findings-acl.544.</w:t>
      </w:r>
    </w:p>
    <w:p>
      <w:pPr>
        <w:pStyle w:val="Style14"/>
        <w:spacing w:line="300" w:lineRule="auto" w:before="0" w:after="0"/>
        <w:ind w:left="420" w:hanging="420"/>
      </w:pPr>
      <w:r>
        <w:rPr>
          <w:rFonts w:ascii="Times New Roman" w:hAnsi="Times New Roman" w:cs="Times New Roman" w:eastAsia="宋体"/>
          <w:sz w:val="24"/>
        </w:rPr>
        <w:t>[6] YAN J, WANG Y, XIANG L, et al. A Knowledge-driven Generative Model for Multi-implication Chinese Medical Procedure Entity Normalization[C]//Proceedings of the 2020 Conference on Empirical Methods in Natural Language Processing. 2020: 1490-1499. DOI: 10.18653/v1/2020.emnlp-main.116.</w:t>
      </w:r>
    </w:p>
    <w:p>
      <w:pPr>
        <w:pStyle w:val="Style14"/>
        <w:spacing w:line="300" w:lineRule="auto" w:before="0" w:after="0"/>
        <w:ind w:left="420" w:hanging="420"/>
      </w:pPr>
      <w:r>
        <w:rPr>
          <w:rFonts w:ascii="Times New Roman" w:hAnsi="Times New Roman" w:cs="Times New Roman" w:eastAsia="宋体"/>
          <w:sz w:val="24"/>
        </w:rPr>
        <w:t>[7] 北京市卫生健康大数据与政策研究中心. ICD-10 北京临床版 v601[S]. 北京, 2021.</w:t>
      </w:r>
    </w:p>
    <w:p>
      <w:pPr>
        <w:pStyle w:val="Style14"/>
        <w:spacing w:line="300" w:lineRule="auto" w:before="0" w:after="0"/>
        <w:ind w:left="420" w:hanging="420"/>
      </w:pPr>
      <w:r>
        <w:rPr>
          <w:rFonts w:ascii="Times New Roman" w:hAnsi="Times New Roman" w:cs="Times New Roman" w:eastAsia="宋体"/>
          <w:sz w:val="24"/>
        </w:rPr>
        <w:t>[8] 哈尔滨工业大学社会计算与信息检索研究中心. CPubMed-KG 2.0 医学知识图谱[EB/OL]. https://cpubmed.openi.org.cn/graphwiki, 2026-09-25.</w:t>
      </w:r>
    </w:p>
    <w:p>
      <w:pPr>
        <w:pStyle w:val="Style14"/>
        <w:spacing w:line="300" w:lineRule="auto" w:before="0" w:after="0"/>
        <w:ind w:left="420" w:hanging="420"/>
      </w:pPr>
      <w:r>
        <w:rPr>
          <w:rFonts w:ascii="Times New Roman" w:hAnsi="Times New Roman" w:cs="Times New Roman" w:eastAsia="宋体"/>
          <w:sz w:val="24"/>
        </w:rPr>
        <w:t>[9] SALTON G, BUCKLEY C. Term-weighting approaches in automatic text retrieval[J]. Information Processing &amp; Management, 1988, 24(5): 513-523. DOI: 10.1016/0306-4573(88)90021-0.</w:t>
      </w:r>
    </w:p>
    <w:p>
      <w:pPr>
        <w:pStyle w:val="Style14"/>
        <w:spacing w:line="300" w:lineRule="auto" w:before="0" w:after="0"/>
        <w:ind w:left="420" w:hanging="420"/>
      </w:pPr>
      <w:r>
        <w:rPr>
          <w:rFonts w:ascii="Times New Roman" w:hAnsi="Times New Roman" w:cs="Times New Roman" w:eastAsia="宋体"/>
          <w:sz w:val="24"/>
        </w:rPr>
        <w:t>[10] KARPUKHIN V, OGUZ B, MIN S, et al. Dense Passage Retrieval for Open-Domain Question Answering[C]//Proceedings of the 2020 Conference on Empirical Methods in Natural Language Processing. 2020: 6769-6781. DOI: 10.18653/v1/2020.emnlp-main.550.</w:t>
      </w:r>
    </w:p>
    <w:p>
      <w:pPr>
        <w:pStyle w:val="Style14"/>
        <w:spacing w:line="300" w:lineRule="auto" w:before="0" w:after="0"/>
        <w:ind w:left="420" w:hanging="420"/>
      </w:pPr>
      <w:r>
        <w:rPr>
          <w:rFonts w:ascii="Times New Roman" w:hAnsi="Times New Roman" w:cs="Times New Roman" w:eastAsia="宋体"/>
          <w:sz w:val="24"/>
        </w:rPr>
        <w:t>[11] CORMACK G V, CLARKE C L A, BÜTTCHER S. Reciprocal Rank Fusion Outperforms Condorcet and Individual Rank Learning Methods[C]//Proceedings of the 32nd International ACM SIGIR Conference. 2009: 758-759. DOI: 10.1145/1571941.1572114.</w:t>
      </w:r>
    </w:p>
    <w:p>
      <w:pPr>
        <w:pStyle w:val="Style14"/>
        <w:spacing w:line="300" w:lineRule="auto" w:before="0" w:after="0"/>
        <w:ind w:left="420" w:hanging="420"/>
      </w:pPr>
      <w:r>
        <w:rPr>
          <w:rFonts w:ascii="Times New Roman" w:hAnsi="Times New Roman" w:cs="Times New Roman" w:eastAsia="宋体"/>
          <w:sz w:val="24"/>
        </w:rPr>
        <w:t>[12] XIAO S, LIU Z, ZHANG P, et al. C-Pack: Packed Resources for General Chinese Embeddings[EB/OL]. arXiv:2309.07597, 2023.</w:t>
      </w:r>
    </w:p>
    <w:p>
      <w:pPr>
        <w:pStyle w:val="Style14"/>
        <w:spacing w:line="300" w:lineRule="auto" w:before="0" w:after="0"/>
        <w:ind w:left="420" w:hanging="420"/>
      </w:pPr>
      <w:r>
        <w:rPr>
          <w:rFonts w:ascii="Times New Roman" w:hAnsi="Times New Roman" w:cs="Times New Roman" w:eastAsia="宋体"/>
          <w:sz w:val="24"/>
        </w:rPr>
        <w:t>[13] DEVLIN J, CHANG M W, LEE K, et al. BERT: Pre-training of Deep Bidirectional Transformers for Language Understanding[C]//Proceedings of NAACL-HLT 2019. 2019: 4171-4186. DOI: 10.18653/v1/N19-1423.</w:t>
      </w:r>
    </w:p>
    <w:p>
      <w:pPr>
        <w:pStyle w:val="Style14"/>
        <w:spacing w:line="300" w:lineRule="auto" w:before="0" w:after="0"/>
        <w:ind w:left="420" w:hanging="420"/>
      </w:pPr>
      <w:r>
        <w:rPr>
          <w:rFonts w:ascii="Times New Roman" w:hAnsi="Times New Roman" w:cs="Times New Roman" w:eastAsia="宋体"/>
          <w:sz w:val="24"/>
        </w:rPr>
        <w:t>[14] CUI Y, CHE W, LIU T, et al. Revisiting Pre-Trained Models for Chinese Natural Language Processing[C]//Findings of the Association for Computational Linguistics: EMNLP 2020. 2020: 657-668. DOI: 10.18653/v1/2020.findings-emnlp.58.</w:t>
      </w:r>
    </w:p>
    <w:p>
      <w:pPr>
        <w:pStyle w:val="Style14"/>
        <w:spacing w:line="300" w:lineRule="auto" w:before="0" w:after="0"/>
        <w:ind w:left="420" w:hanging="420"/>
      </w:pPr>
      <w:r>
        <w:rPr>
          <w:rFonts w:ascii="Times New Roman" w:hAnsi="Times New Roman" w:cs="Times New Roman" w:eastAsia="宋体"/>
          <w:sz w:val="24"/>
        </w:rPr>
        <w:t>[15] QWEN TEAM, YANG A, YANG B, et al. Qwen2.5 Technical Report[EB/OL]. arXiv:2412.15115, 2025.</w:t>
      </w:r>
    </w:p>
    <w:sectPr>
      <w:headerReference w:type="default" r:id="rId6"/>
      <w:headerReference w:type="first" r:id="rId7"/>
      <w:footerReference w:type="default" r:id="rId8"/>
      <w:footerReference w:type="first" r:id="rId9"/>
      <w:type w:val="nextPage"/>
      <w:pgSz w:w="11906" w:h="16838"/>
      <w:pgMar w:left="1701" w:right="1701" w:gutter="0" w:header="1361" w:top="2154" w:footer="1304" w:bottom="1701"/>
      <w:pgNumType w:start="1" w:fmt="decimal"/>
      <w:formProt w:val="false"/>
      <w:textDirection w:val="lrTb"/>
      <w:docGrid w:type="default" w:linePitch="391"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宋体">
    <w:charset w:val="86"/>
    <w:family w:val="auto"/>
    <w:pitch w:val="default"/>
  </w:font>
  <w:font w:name="Tahoma">
    <w:charset w:val="00"/>
    <w:family w:val="swiss"/>
    <w:pitch w:val="default"/>
  </w:font>
  <w:font w:name="Wingdings 2">
    <w:charset w:val="02"/>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52" w:leader="none"/>
      </w:tabs>
      <w:spacing w:before="240" w:after="0"/>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360" w:end="360"/>
      <w:jc w:val="center"/>
      <w:rPr/>
    </w:pPr>
    <w:r>
      <w:rPr/>
    </w:r>
    <w:r>
      <mc:AlternateContent>
        <mc:Choice Requires="wps">
          <w:drawing>
            <wp:anchor distT="0" distB="0" distL="114935" distR="114935" simplePos="0" relativeHeight="4" behindDoc="1" locked="0" layoutInCell="0" allowOverlap="1">
              <wp:simplePos x="0" y="0"/>
              <wp:positionH relativeFrom="margin">
                <wp:align>center</wp:align>
              </wp:positionH>
              <wp:positionV relativeFrom="paragraph">
                <wp:posOffset>635</wp:posOffset>
              </wp:positionV>
              <wp:extent cx="516255" cy="285115"/>
              <wp:effectExtent l="0" t="0" r="0" b="0"/>
              <wp:wrapNone/>
              <wp:docPr id="3" name="Frame2"/>
              <a:graphic xmlns:a="http://schemas.openxmlformats.org/drawingml/2006/main">
                <a:graphicData uri="http://schemas.microsoft.com/office/word/2010/wordprocessingShape">
                  <wps:wsp>
                    <wps:cNvSpPr txBox="1"/>
                    <wps:spPr>
                      <a:xfrm>
                        <a:off x="0" y="0"/>
                        <a:ext cx="516255" cy="285115"/>
                      </a:xfrm>
                      <a:prstGeom prst="rect"/>
                      <a:solidFill>
                        <a:srgbClr val="FFFFFF">
                          <a:alpha val="0"/>
                        </a:srgbClr>
                      </a:solidFill>
                    </wps:spPr>
                    <wps:txbx>
                      <w:txbxContent>
                        <w:p>
                          <w:pPr>
                            <w:pStyle w:val="Footer"/>
                            <w:spacing w:before="240" w:after="0"/>
                            <w:ind w:firstLine="360" w:end="36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635" tIns="635" rIns="635" bIns="635">
                      <a:spAutoFit/>
                    </wps:bodyPr>
                  </wps:wsp>
                </a:graphicData>
              </a:graphic>
            </wp:anchor>
          </w:drawing>
        </mc:Choice>
        <mc:Fallback>
          <w:pict>
            <v:rect fillcolor="#FFFFFF" style="position:absolute;rotation:-0;width:40.65pt;height:22.45pt;mso-wrap-distance-left:9.05pt;mso-wrap-distance-right:9.05pt;mso-wrap-distance-top:0pt;mso-wrap-distance-bottom:0pt;margin-top:0pt;mso-position-vertical-relative:text;margin-left:192.3pt;mso-position-horizontal:center;mso-position-horizontal-relative:margin">
              <v:fill opacity="0f"/>
              <v:textbox inset="0.000694444444444445in,0.000694444444444445in,0.000694444444444445in,0.000694444444444445in">
                <w:txbxContent>
                  <w:p>
                    <w:pPr>
                      <w:pStyle w:val="Footer"/>
                      <w:spacing w:before="240" w:after="0"/>
                      <w:ind w:firstLine="360" w:end="36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360" w:end="360"/>
      <w:jc w:val="cen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641985" cy="285115"/>
              <wp:effectExtent l="0" t="0" r="0" b="0"/>
              <wp:wrapNone/>
              <wp:docPr id="7" name="Frame3"/>
              <a:graphic xmlns:a="http://schemas.openxmlformats.org/drawingml/2006/main">
                <a:graphicData uri="http://schemas.microsoft.com/office/word/2010/wordprocessingShape">
                  <wps:wsp>
                    <wps:cNvSpPr txBox="1"/>
                    <wps:spPr>
                      <a:xfrm>
                        <a:off x="0" y="0"/>
                        <a:ext cx="641985" cy="285115"/>
                      </a:xfrm>
                      <a:prstGeom prst="rect"/>
                      <a:solidFill>
                        <a:srgbClr val="FFFFFF">
                          <a:alpha val="0"/>
                        </a:srgbClr>
                      </a:solidFill>
                    </wps:spPr>
                    <wps:txbx>
                      <w:txbxContent>
                        <w:p>
                          <w:pPr>
                            <w:pStyle w:val="Footer"/>
                            <w:spacing w:before="240" w:after="0"/>
                            <w:ind w:firstLine="360" w:end="360"/>
                            <w:jc w:val="cent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r>
                            <w:rPr>
                              <w:rStyle w:val="PageNumbe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50.55pt;height:22.45pt;mso-wrap-distance-left:9.05pt;mso-wrap-distance-right:9.05pt;mso-wrap-distance-top:0pt;mso-wrap-distance-bottom:0pt;margin-top:0pt;mso-position-vertical-relative:text;margin-left:187.35pt;mso-position-horizontal:center;mso-position-horizontal-relative:margin">
              <v:fill opacity="0f"/>
              <v:textbox inset="0.000694444444444445in,0.000694444444444445in,0.000694444444444445in,0.000694444444444445in">
                <w:txbxContent>
                  <w:p>
                    <w:pPr>
                      <w:pStyle w:val="Footer"/>
                      <w:spacing w:before="240" w:after="0"/>
                      <w:ind w:firstLine="360" w:end="360"/>
                      <w:jc w:val="cent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r>
                      <w:rPr>
                        <w:rStyle w:val="PageNumber"/>
                        <w:rFonts w:hint="eastAsia"/>
                      </w:rPr>
                      <w:t xml:space="preserve"> -</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nThickSmallGap" w:sz="24" w:space="4" w:color="000000"/>
      </w:pBdr>
      <w:tabs>
        <w:tab w:val="left" w:pos="7415" w:leader="none"/>
      </w:tabs>
      <w:spacing w:before="240" w:after="0"/>
      <w:rPr/>
    </w:pPr>
    <w:r>
      <w:rPr>
        <w:rFonts w:hint="eastAsia"/>
      </w:rPr>
      <w:t>哈尔滨工业大学深圳校区毕业论文（设计）开题报告</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nThickSmallGap" w:sz="24" w:space="4" w:color="000000"/>
      </w:pBdr>
      <w:tabs>
        <w:tab w:val="left" w:pos="7415" w:leader="none"/>
      </w:tabs>
      <w:spacing w:before="240" w:after="0"/>
      <w:rPr/>
    </w:pPr>
    <w:r>
      <w:rPr>
        <w:rFonts w:hint="eastAsia"/>
      </w:rPr>
      <w:t>哈尔滨工业大学深圳校区毕业论文（设计）开题报告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lvl>
  </w:abstractNum>
  <w:abstractNum w:abstractNumId="3">
    <w:lvl w:ilvl="0">
      <w:start w:val="1"/>
      <w:numFmt w:val="decimal"/>
      <w:suff w:val="space"/>
      <w:lvlText w:val="%1."/>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3"/>
  <w:defaultTabStop w:val="709"/>
  <w:autoHyphenation w:val="true"/>
  <w:hyphenationZone w:val="0"/>
  <w:compat>
    <w:doNotExpandShiftReturn/>
    <w:adjustLineHeightInTable/>
    <w:doNotBreakWrappedTables/>
    <w:compatSetting w:name="compatibilityMode" w:uri="http://schemas.microsoft.com/office/word" w:val="11"/>
  </w:compat>
  <w:docVars>
    <w:docVar w:name="commondata" w:val="eyJoZGlkIjoiZTY5NGMyZGQ4N2E4NmQxYTI1YWY4ZWI3ZGYzM2FiM2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paragraph" w:styleId="Heading1">
    <w:name w:val="heading 1"/>
    <w:basedOn w:val="Normal"/>
    <w:next w:val="Normal"/>
    <w:qFormat/>
    <w:pPr>
      <w:pageBreakBefore/>
      <w:numPr>
        <w:ilvl w:val="0"/>
        <w:numId w:val="1"/>
      </w:numPr>
      <w:spacing w:lineRule="auto" w:line="300" w:before="100" w:after="80"/>
      <w:jc w:val="center"/>
      <w:outlineLvl w:val="0"/>
    </w:pPr>
    <w:rPr>
      <w:rFonts w:ascii="黑体" w:hAnsi="黑体" w:eastAsia="黑体" w:cs="黑体"/>
      <w:kern w:val="2"/>
      <w:sz w:val="36"/>
      <w:szCs w:val="36"/>
      <w:lang w:val="en-US" w:eastAsia="en-US"/>
    </w:rPr>
  </w:style>
  <w:style w:type="paragraph" w:styleId="Heading2">
    <w:name w:val="heading 2"/>
    <w:basedOn w:val="Normal"/>
    <w:next w:val="Normal"/>
    <w:qFormat/>
    <w:pPr>
      <w:numPr>
        <w:ilvl w:val="1"/>
        <w:numId w:val="1"/>
      </w:numPr>
      <w:snapToGrid w:val="false"/>
      <w:spacing w:lineRule="auto" w:line="300" w:before="50" w:after="50"/>
      <w:outlineLvl w:val="1"/>
    </w:pPr>
    <w:rPr>
      <w:rFonts w:ascii="黑体" w:hAnsi="黑体" w:eastAsia="黑体" w:cs="黑体"/>
      <w:kern w:val="0"/>
      <w:sz w:val="30"/>
      <w:szCs w:val="30"/>
    </w:rPr>
  </w:style>
  <w:style w:type="paragraph" w:styleId="Heading3">
    <w:name w:val="heading 3"/>
    <w:basedOn w:val="Normal"/>
    <w:next w:val="Normal"/>
    <w:qFormat/>
    <w:pPr>
      <w:pageBreakBefore w:val="false"/>
      <w:numPr>
        <w:ilvl w:val="2"/>
        <w:numId w:val="1"/>
      </w:numPr>
      <w:snapToGrid w:val="false"/>
      <w:spacing w:lineRule="auto" w:line="300" w:before="50" w:after="50"/>
      <w:outlineLvl w:val="2"/>
    </w:pPr>
    <w:rPr>
      <w:rFonts w:ascii="Times New Roman" w:hAnsi="Times New Roman" w:eastAsia="黑体" w:cs="Times New Roman"/>
      <w:kern w:val="0"/>
      <w:sz w:val="28"/>
      <w:szCs w:val="28"/>
      <w:lang w:val="zh-CN"/>
    </w:rPr>
  </w:style>
  <w:style w:type="paragraph" w:styleId="Heading4">
    <w:name w:val="heading 4"/>
    <w:basedOn w:val="Normal"/>
    <w:next w:val="Normal"/>
    <w:qFormat/>
    <w:pPr>
      <w:keepNext w:val="true"/>
      <w:numPr>
        <w:ilvl w:val="3"/>
        <w:numId w:val="1"/>
      </w:numPr>
      <w:jc w:val="end"/>
      <w:outlineLvl w:val="3"/>
    </w:pPr>
    <w:rPr>
      <w:sz w:val="32"/>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Style10">
    <w:name w:val="默认段落字体"/>
    <w:qFormat/>
    <w:rPr/>
  </w:style>
  <w:style w:type="character" w:styleId="Strong">
    <w:name w:val="Strong"/>
    <w:qFormat/>
    <w:rPr>
      <w:b/>
    </w:rPr>
  </w:style>
  <w:style w:type="character" w:styleId="PageNumber">
    <w:name w:val="page number"/>
    <w:rPr/>
  </w:style>
  <w:style w:type="character" w:styleId="Hyperlink">
    <w:name w:val="Hyperlink"/>
    <w:rPr>
      <w:color w:val="0000FF"/>
      <w:u w:val="single"/>
    </w:rPr>
  </w:style>
  <w:style w:type="character" w:styleId="IndexLink">
    <w:name w:val="Index Link"/>
    <w:qFormat/>
    <w:rPr/>
  </w:style>
  <w:style w:type="paragraph" w:styleId="Heading">
    <w:name w:val="Heading"/>
    <w:next w:val="Style17"/>
    <w:qFormat/>
    <w:pPr>
      <w:keepLines/>
      <w:pageBreakBefore/>
      <w:widowControl w:val="false"/>
      <w:bidi w:val="0"/>
      <w:spacing w:before="240" w:after="120"/>
      <w:jc w:val="center"/>
      <w:outlineLvl w:val="0"/>
    </w:pPr>
    <w:rPr>
      <w:rFonts w:ascii="Times New Roman" w:hAnsi="Times New Roman" w:eastAsia="黑体" w:cs="Times New Roman"/>
      <w:b/>
      <w:color w:val="auto"/>
      <w:kern w:val="2"/>
      <w:sz w:val="36"/>
      <w:szCs w:val="20"/>
      <w:lang w:bidi="ar-SA" w:val="en-US" w:eastAsia="zh-CN"/>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7">
    <w:name w:val="toc 7"/>
    <w:basedOn w:val="Normal"/>
    <w:next w:val="Normal"/>
    <w:pPr>
      <w:spacing w:lineRule="auto" w:line="300"/>
      <w:ind w:hanging="0" w:start="1440" w:end="0"/>
      <w:jc w:val="start"/>
    </w:pPr>
    <w:rPr>
      <w:szCs w:val="21"/>
    </w:rPr>
  </w:style>
  <w:style w:type="paragraph" w:styleId="Style11">
    <w:name w:val="正文缩进"/>
    <w:basedOn w:val="Normal"/>
    <w:qFormat/>
    <w:pPr>
      <w:ind w:firstLine="499" w:start="0" w:end="0"/>
    </w:pPr>
    <w:rPr>
      <w:szCs w:val="20"/>
    </w:rPr>
  </w:style>
  <w:style w:type="paragraph" w:styleId="Default">
    <w:name w:val="Default"/>
    <w:qFormat/>
    <w:pPr>
      <w:widowControl w:val="false"/>
      <w:autoSpaceDE w:val="false"/>
      <w:bidi w:val="0"/>
    </w:pPr>
    <w:rPr>
      <w:rFonts w:ascii="Times New Roman" w:hAnsi="Times New Roman" w:eastAsia="宋体" w:cs="Times New Roman"/>
      <w:color w:val="000000"/>
      <w:sz w:val="24"/>
      <w:szCs w:val="24"/>
      <w:lang w:bidi="ar-SA" w:val="en-US" w:eastAsia="zh-CN"/>
    </w:rPr>
  </w:style>
  <w:style w:type="paragraph" w:styleId="Style12">
    <w:name w:val="题注"/>
    <w:basedOn w:val="Default"/>
    <w:next w:val="Default"/>
    <w:qFormat/>
    <w:pPr>
      <w:spacing w:before="152" w:after="160"/>
    </w:pPr>
    <w:rPr>
      <w:rFonts w:ascii="宋体" w:hAnsi="宋体"/>
      <w:color w:val="000000"/>
    </w:rPr>
  </w:style>
  <w:style w:type="paragraph" w:styleId="Style13">
    <w:name w:val="文档结构图"/>
    <w:basedOn w:val="Normal"/>
    <w:qFormat/>
    <w:pPr>
      <w:shd w:fill="000080" w:val="clear"/>
    </w:pPr>
    <w:rPr/>
  </w:style>
  <w:style w:type="paragraph" w:styleId="BodyTextIndent">
    <w:name w:val="Body Text Indent"/>
    <w:basedOn w:val="Normal"/>
    <w:pPr>
      <w:spacing w:before="0" w:after="120"/>
      <w:ind w:firstLineChars="0" w:firstLine="0" w:startChars="200" w:endChars="0" w:end="0"/>
    </w:pPr>
    <w:rPr/>
  </w:style>
  <w:style w:type="paragraph" w:styleId="TOC5">
    <w:name w:val="toc 5"/>
    <w:basedOn w:val="Normal"/>
    <w:next w:val="Normal"/>
    <w:pPr>
      <w:spacing w:lineRule="auto" w:line="300"/>
      <w:ind w:hanging="0" w:start="958" w:end="0"/>
      <w:jc w:val="start"/>
    </w:pPr>
    <w:rPr>
      <w:szCs w:val="21"/>
    </w:rPr>
  </w:style>
  <w:style w:type="paragraph" w:styleId="TOC3">
    <w:name w:val="toc 3"/>
    <w:basedOn w:val="Normal"/>
    <w:next w:val="Normal"/>
    <w:pPr>
      <w:spacing w:lineRule="auto" w:line="300"/>
      <w:ind w:hanging="0" w:start="482" w:end="0"/>
      <w:jc w:val="start"/>
    </w:pPr>
    <w:rPr>
      <w:rFonts w:ascii="Times New Roman" w:hAnsi="Times New Roman" w:eastAsia="宋体" w:cs="Times New Roman"/>
      <w:iCs/>
    </w:rPr>
  </w:style>
  <w:style w:type="paragraph" w:styleId="Style14">
    <w:name w:val="纯文本"/>
    <w:basedOn w:val="Normal"/>
    <w:qFormat/>
    <w:pPr/>
    <w:rPr>
      <w:rFonts w:ascii="宋体" w:hAnsi="宋体" w:cs="Courier New"/>
      <w:sz w:val="21"/>
      <w:szCs w:val="20"/>
    </w:rPr>
  </w:style>
  <w:style w:type="paragraph" w:styleId="TOC8">
    <w:name w:val="toc 8"/>
    <w:basedOn w:val="Normal"/>
    <w:next w:val="Normal"/>
    <w:pPr>
      <w:spacing w:lineRule="auto" w:line="300"/>
      <w:ind w:hanging="0" w:start="1678" w:end="0"/>
      <w:jc w:val="start"/>
    </w:pPr>
    <w:rPr>
      <w:szCs w:val="21"/>
    </w:rPr>
  </w:style>
  <w:style w:type="paragraph" w:styleId="Style15">
    <w:name w:val="日期"/>
    <w:basedOn w:val="Normal"/>
    <w:next w:val="Normal"/>
    <w:qFormat/>
    <w:pPr/>
    <w:rPr>
      <w:rFonts w:eastAsia="黑体"/>
      <w:szCs w:val="20"/>
      <w:lang w:val="en-US" w:eastAsia="en-U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lineRule="auto" w:line="300"/>
      <w:jc w:val="start"/>
    </w:pPr>
    <w:rPr>
      <w:rFonts w:ascii="Times New Roman" w:hAnsi="Times New Roman" w:eastAsia="黑体" w:cs="Times New Roman"/>
      <w:bCs/>
      <w:caps/>
    </w:rPr>
  </w:style>
  <w:style w:type="paragraph" w:styleId="TOC4">
    <w:name w:val="toc 4"/>
    <w:basedOn w:val="Normal"/>
    <w:next w:val="Normal"/>
    <w:pPr>
      <w:spacing w:lineRule="auto" w:line="300"/>
      <w:ind w:hanging="0" w:start="720" w:end="0"/>
      <w:jc w:val="start"/>
    </w:pPr>
    <w:rPr>
      <w:szCs w:val="21"/>
    </w:rPr>
  </w:style>
  <w:style w:type="paragraph" w:styleId="TOC6">
    <w:name w:val="toc 6"/>
    <w:basedOn w:val="Normal"/>
    <w:next w:val="Normal"/>
    <w:pPr>
      <w:spacing w:lineRule="auto" w:line="300"/>
      <w:ind w:hanging="0" w:start="1202" w:end="0"/>
      <w:jc w:val="start"/>
    </w:pPr>
    <w:rPr>
      <w:szCs w:val="21"/>
    </w:rPr>
  </w:style>
  <w:style w:type="paragraph" w:styleId="TOC2">
    <w:name w:val="toc 2"/>
    <w:basedOn w:val="Normal"/>
    <w:next w:val="Normal"/>
    <w:pPr>
      <w:spacing w:lineRule="auto" w:line="300"/>
      <w:ind w:hanging="0" w:start="238" w:end="0"/>
      <w:jc w:val="start"/>
    </w:pPr>
    <w:rPr>
      <w:rFonts w:ascii="Times New Roman" w:hAnsi="Times New Roman" w:eastAsia="宋体" w:cs="Times New Roman"/>
      <w:smallCaps/>
    </w:rPr>
  </w:style>
  <w:style w:type="paragraph" w:styleId="TOC9">
    <w:name w:val="toc 9"/>
    <w:basedOn w:val="Normal"/>
    <w:next w:val="Normal"/>
    <w:pPr>
      <w:spacing w:lineRule="auto" w:line="300"/>
      <w:ind w:hanging="0" w:start="1922" w:end="0"/>
      <w:jc w:val="start"/>
    </w:pPr>
    <w:rPr>
      <w:szCs w:val="21"/>
    </w:rPr>
  </w:style>
  <w:style w:type="paragraph" w:styleId="Style17">
    <w:name w:val="正文首行缩进"/>
    <w:basedOn w:val="BodyText"/>
    <w:qFormat/>
    <w:pPr>
      <w:ind w:firstLineChars="200" w:startChars="0" w:start="0" w:endChars="0" w:end="0"/>
    </w:pPr>
    <w:rPr>
      <w:szCs w:val="20"/>
    </w:rPr>
  </w:style>
  <w:style w:type="paragraph" w:styleId="CharCharCharChar">
    <w:name w:val=" Char Char Char Char"/>
    <w:basedOn w:val="Normal"/>
    <w:qFormat/>
    <w:pPr/>
    <w:rPr>
      <w:rFonts w:ascii="Tahoma" w:hAnsi="Tahoma" w:cs="Tahoma"/>
      <w:szCs w:val="20"/>
    </w:rPr>
  </w:style>
  <w:style w:type="paragraph" w:styleId="3">
    <w:name w:val="样式3"/>
    <w:basedOn w:val="Normal"/>
    <w:qFormat/>
    <w:pPr>
      <w:snapToGrid w:val="false"/>
      <w:spacing w:lineRule="auto" w:line="360"/>
      <w:jc w:val="center"/>
    </w:pPr>
    <w:rPr>
      <w:rFonts w:eastAsia="黑体"/>
      <w:sz w:val="36"/>
      <w:szCs w:val="36"/>
    </w:rPr>
  </w:style>
  <w:style w:type="paragraph" w:styleId="Style18">
    <w:name w:val="章标题(不加入目录内)"/>
    <w:basedOn w:val="Heading"/>
    <w:qFormat/>
    <w:pPr>
      <w:jc w:val="both"/>
      <w:outlineLvl w:val="9"/>
    </w:pPr>
    <w:rPr/>
  </w:style>
  <w:style w:type="paragraph" w:styleId="1">
    <w:name w:val="正文+1"/>
    <w:basedOn w:val="Default"/>
    <w:next w:val="Default"/>
    <w:qFormat/>
    <w:pPr/>
    <w:rPr>
      <w:rFonts w:ascii="宋体" w:hAnsi="宋体"/>
      <w:color w:val="000000"/>
    </w:rPr>
  </w:style>
  <w:style w:type="paragraph" w:styleId="11">
    <w:name w:val="正文文本+1"/>
    <w:basedOn w:val="Default"/>
    <w:next w:val="Default"/>
    <w:qFormat/>
    <w:pPr/>
    <w:rPr>
      <w:rFonts w:ascii="宋体" w:hAnsi="宋体"/>
      <w:color w:val="000000"/>
    </w:rPr>
  </w:style>
  <w:style w:type="paragraph" w:styleId="Style19">
    <w:name w:val="图表名"/>
    <w:basedOn w:val="Default"/>
    <w:next w:val="Default"/>
    <w:qFormat/>
    <w:pPr>
      <w:spacing w:before="120" w:after="156"/>
    </w:pPr>
    <w:rPr>
      <w:rFonts w:ascii="宋体" w:hAnsi="宋体"/>
      <w:color w:val="000000"/>
    </w:rPr>
  </w:style>
  <w:style w:type="paragraph" w:styleId="style41">
    <w:name w:val="style4"/>
    <w:basedOn w:val="Normal"/>
    <w:qFormat/>
    <w:pPr>
      <w:widowControl/>
      <w:spacing w:before="100" w:after="100"/>
      <w:jc w:val="start"/>
    </w:pPr>
    <w:rPr>
      <w:rFonts w:ascii="宋体" w:hAnsi="宋体" w:cs="宋体"/>
      <w:kern w:val="0"/>
    </w:rPr>
  </w:style>
  <w:style w:type="paragraph" w:styleId="Style20">
    <w:name w:val="节"/>
    <w:basedOn w:val="Normal"/>
    <w:qFormat/>
    <w:pPr>
      <w:snapToGrid w:val="false"/>
      <w:ind w:firstLineChars="0" w:firstLine="0" w:startChars="0" w:start="0" w:endChars="0" w:end="0"/>
    </w:pPr>
    <w:rPr>
      <w:rFonts w:eastAsia="黑体"/>
      <w:sz w:val="30"/>
    </w:rPr>
  </w:style>
  <w:style w:type="paragraph" w:styleId="Style21">
    <w:name w:val="条"/>
    <w:basedOn w:val="Normal"/>
    <w:qFormat/>
    <w:pPr>
      <w:snapToGrid w:val="false"/>
      <w:ind w:firstLineChars="0" w:firstLine="0" w:startChars="0" w:start="0" w:endChars="0" w:end="0"/>
    </w:pPr>
    <w:rPr>
      <w:rFonts w:eastAsia="黑体"/>
      <w:sz w:val="28"/>
    </w:rPr>
  </w:style>
  <w:style w:type="paragraph" w:styleId="Style22">
    <w:name w:val="款"/>
    <w:basedOn w:val="Normal"/>
    <w:qFormat/>
    <w:pPr>
      <w:snapToGrid w:val="false"/>
      <w:ind w:firstLineChars="0" w:firstLine="0" w:startChars="0" w:start="0" w:endChars="0" w:end="0"/>
    </w:pPr>
    <w:rPr>
      <w:rFonts w:eastAsia="黑体"/>
    </w:rPr>
  </w:style>
  <w:style w:type="paragraph" w:styleId="WPSOffice1">
    <w:name w:val="WPSOffice手动目录 1"/>
    <w:qFormat/>
    <w:pPr>
      <w:widowControl/>
      <w:bidi w:val="0"/>
    </w:pPr>
    <w:rPr>
      <w:rFonts w:ascii="Times New Roman" w:hAnsi="Times New Roman" w:eastAsia="宋体" w:cs="Times New Roman"/>
      <w:color w:val="auto"/>
      <w:sz w:val="20"/>
      <w:szCs w:val="20"/>
      <w:lang w:bidi="ar-SA" w:val="en-US" w:eastAsia="zh-CN"/>
    </w:rPr>
  </w:style>
  <w:style w:type="paragraph" w:styleId="WPSOffice2">
    <w:name w:val="WPSOffice手动目录 2"/>
    <w:qFormat/>
    <w:pPr>
      <w:widowControl/>
      <w:bidi w:val="0"/>
      <w:ind w:firstLineChars="0" w:firstLine="0" w:startChars="200" w:endChars="0" w:end="0"/>
    </w:pPr>
    <w:rPr>
      <w:rFonts w:ascii="Times New Roman" w:hAnsi="Times New Roman" w:eastAsia="宋体" w:cs="Times New Roman"/>
      <w:color w:val="auto"/>
      <w:sz w:val="20"/>
      <w:szCs w:val="20"/>
      <w:lang w:bidi="ar-SA" w:val="en-US" w:eastAsia="zh-CN"/>
    </w:rPr>
  </w:style>
  <w:style w:type="paragraph" w:styleId="WPSOffice3">
    <w:name w:val="WPSOffice手动目录 3"/>
    <w:qFormat/>
    <w:pPr>
      <w:widowControl/>
      <w:bidi w:val="0"/>
      <w:ind w:firstLineChars="0" w:firstLine="0" w:startChars="400" w:endChars="0" w:end="0"/>
    </w:pPr>
    <w:rPr>
      <w:rFonts w:ascii="Times New Roman" w:hAnsi="Times New Roman" w:eastAsia="宋体" w:cs="Times New Roman"/>
      <w:color w:val="auto"/>
      <w:sz w:val="20"/>
      <w:szCs w:val="20"/>
      <w:lang w:bidi="ar-SA" w:val="en-US"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2020-06-11T11:40:00Z</dcterms:created>
  <dc:creator>张艺馨</dc:creator>
  <dc:description/>
  <dc:language>en-US</dc:language>
  <cp:lastModifiedBy>李子爽歪歪</cp:lastModifiedBy>
  <cp:lastPrinted>2021-12-09T11:47:00Z</cp:lastPrinted>
  <dcterms:modified xsi:type="dcterms:W3CDTF">2026-07-06T14:46:03Z</dcterms:modified>
  <cp:revision>2</cp:revision>
  <dc:subject>大规模医学知识图谱的疾病实体标准化方法</dc:subject>
  <dc:title>本科毕业论文开题报告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82B07C2F473E477EACDFD10260D4068C</vt:lpwstr>
  </property>
  <property fmtid="{D5CDD505-2E9C-101B-9397-08002B2CF9AE}" pid="3" name="KSOProductBuildVer">
    <vt:lpwstr>2052-12.1.0.26895</vt:lpwstr>
  </property>
  <property fmtid="{D5CDD505-2E9C-101B-9397-08002B2CF9AE}" pid="4" name="KSOTemplateDocerSaveRecord">
    <vt:lpwstr>eyJoZGlkIjoiN2JkZDM0Y2MwOWQ4MzE2OGNhMDNkY2ZjMjZlYTFkOTUiLCJ1c2VySWQiOiI2MzYxMzYzNjMifQ==</vt:lpwstr>
  </property>
</Properties>
</file>