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r>
        <w:t xml:space="preserve"/>
      </w:r>
    </w:p>
    <w:p>
      <w:pPr>
        <w:spacing w:before="0" w:after="120"/>
        <w:jc w:val="center"/>
      </w:pPr>
      <w:r>
        <w:rPr>
          <w:rFonts w:ascii="Calibri" w:cs="Calibri" w:eastAsia="Calibri" w:hAnsi="Calibri"/>
          <w:b/>
          <w:bCs/>
          <w:color w:val="2563eb"/>
          <w:sz w:val="56"/>
          <w:szCs w:val="56"/>
        </w:rPr>
        <w:t xml:space="preserve">AI Outbound Communication Platform</w:t>
      </w:r>
    </w:p>
    <w:p>
      <w:pPr>
        <w:spacing w:before="0" w:after="480"/>
        <w:jc w:val="center"/>
      </w:pPr>
      <w:r>
        <w:rPr>
          <w:rFonts w:ascii="Calibri" w:cs="Calibri" w:eastAsia="Calibri" w:hAnsi="Calibri"/>
          <w:b w:val="false"/>
          <w:bCs w:val="false"/>
          <w:color w:val="475569"/>
          <w:sz w:val="36"/>
          <w:szCs w:val="36"/>
        </w:rPr>
        <w:t xml:space="preserve">Go-to-Market Opportunity Analysis</w:t>
      </w:r>
    </w:p>
    <w:p>
      <w:pPr>
        <w:pBdr>
          <w:top w:val="single" w:color="2563eb" w:sz="4" w:space="8"/>
          <w:bottom w:val="single" w:color="2563eb" w:sz="4" w:space="8"/>
        </w:pBdr>
        <w:spacing w:before="160" w:after="160"/>
        <w:jc w:val="center"/>
      </w:pPr>
      <w:r>
        <w:rPr>
          <w:rFonts w:ascii="Calibri" w:cs="Calibri" w:eastAsia="Calibri" w:hAnsi="Calibri"/>
          <w:b/>
          <w:bCs/>
          <w:color w:val="1a1a2e"/>
          <w:sz w:val="24"/>
          <w:szCs w:val="24"/>
        </w:rPr>
        <w:t xml:space="preserve">Investor-Grade Due Diligence  ·  9 Verticals Evaluated  ·  5 Recommended</w:t>
      </w:r>
    </w:p>
    <w:p>
      <w:pPr>
        <w:spacing w:before="360" w:after="360"/>
      </w:pPr>
      <w:r>
        <w:t xml:space="preserve"/>
      </w:r>
    </w:p>
    <w:p>
      <w:pPr>
        <w:jc w:val="center"/>
      </w:pPr>
      <w:r>
        <w:rPr>
          <w:rFonts w:ascii="Calibri" w:cs="Calibri" w:eastAsia="Calibri" w:hAnsi="Calibri"/>
          <w:i/>
          <w:iCs/>
          <w:color w:val="6b7280"/>
          <w:sz w:val="20"/>
          <w:szCs w:val="20"/>
        </w:rPr>
        <w:t xml:space="preserve">Prepared: March 2026  ·  Confidential &amp; Internal Use Only</w:t>
      </w:r>
    </w:p>
    <w:p>
      <w:r>
        <w:br w:type="page"/>
      </w:r>
    </w:p>
    <w:p>
      <w:pPr>
        <w:pStyle w:val="Heading1"/>
        <w:pBdr>
          <w:bottom w:val="single" w:color="2563eb" w:sz="6" w:space="6"/>
        </w:pBdr>
        <w:spacing w:before="480" w:after="160"/>
      </w:pPr>
      <w:r>
        <w:rPr>
          <w:rFonts w:ascii="Calibri" w:cs="Calibri" w:eastAsia="Calibri" w:hAnsi="Calibri"/>
          <w:b/>
          <w:bCs/>
          <w:color w:val="1a1a2e"/>
          <w:sz w:val="44"/>
          <w:szCs w:val="44"/>
        </w:rPr>
        <w:t xml:space="preserve">Executive Summary</w:t>
      </w:r>
    </w:p>
    <w:p>
      <w:pPr>
        <w:spacing w:before="60" w:after="140"/>
        <w:jc w:val="left"/>
      </w:pPr>
      <w:r>
        <w:rPr>
          <w:rFonts w:ascii="Calibri" w:cs="Calibri" w:eastAsia="Calibri" w:hAnsi="Calibri"/>
          <w:color w:val="374151"/>
          <w:sz w:val="22"/>
          <w:szCs w:val="22"/>
        </w:rPr>
        <w:t xml:space="preserve">We evaluated nine potential verticals for our AI omnichannel outbound communication platform (voice calls, email, WhatsApp). Each direction was stress-tested against five dimensions: demand authenticity, willingness to pay, competitive intensity, small-team feasibility, and regulatory risk. All data was sourced from live web searches, funding databases, and industry reports — no assumptions from memory.</w:t>
      </w:r>
    </w:p>
    <w:p>
      <w:pPr>
        <w:spacing w:before="60" w:after="60"/>
      </w:pPr>
      <w:r>
        <w:t xml:space="preserve"/>
      </w:r>
    </w:p>
    <w:p>
      <w:pPr>
        <w:pStyle w:val="Heading2"/>
        <w:spacing w:before="320" w:after="120"/>
      </w:pPr>
      <w:r>
        <w:rPr>
          <w:rFonts w:ascii="Calibri" w:cs="Calibri" w:eastAsia="Calibri" w:hAnsi="Calibri"/>
          <w:b/>
          <w:bCs/>
          <w:color w:val="2563eb"/>
          <w:sz w:val="30"/>
          <w:szCs w:val="30"/>
        </w:rPr>
        <w:t xml:space="preserve">Scoring Methodology</w:t>
      </w:r>
    </w:p>
    <w:p>
      <w:pPr>
        <w:spacing w:before="60" w:after="140"/>
        <w:jc w:val="left"/>
      </w:pPr>
      <w:r>
        <w:rPr>
          <w:rFonts w:ascii="Calibri" w:cs="Calibri" w:eastAsia="Calibri" w:hAnsi="Calibri"/>
          <w:color w:val="374151"/>
          <w:sz w:val="22"/>
          <w:szCs w:val="22"/>
        </w:rPr>
        <w:t xml:space="preserve">Each dimension scored 1–10. For Competitive Intensity, a higher score means a more crowded market (red ocean). The Overall Recommendation Score reflects a holistic judgment, weighted toward: genuine unmet need + real willingness to pay + defensible entry for a small team.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2200"/>
        <w:gridCol w:w="1200"/>
        <w:gridCol w:w="13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Vertical</w:t>
            </w:r>
          </w:p>
        </w:tc>
        <w:tc>
          <w:tcPr>
            <w:tcW w:type="dxa" w:w="9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Demand</w:t>
            </w:r>
          </w:p>
        </w:tc>
        <w:tc>
          <w:tcPr>
            <w:tcW w:type="dxa" w:w="9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WTP</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Competition ↑</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Feasibility</w:t>
            </w:r>
          </w:p>
        </w:tc>
        <w:tc>
          <w:tcPr>
            <w:tcW w:type="dxa" w:w="13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Score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59669"/>
                <w:sz w:val="20"/>
                <w:szCs w:val="20"/>
              </w:rPr>
              <w:t xml:space="preserve">★ AI Debt Collection</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9/10</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8/10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059669"/>
                <w:sz w:val="20"/>
                <w:szCs w:val="20"/>
              </w:rPr>
              <w:t xml:space="preserve">5/10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5/10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59669"/>
                <w:sz w:val="20"/>
                <w:szCs w:val="20"/>
              </w:rPr>
              <w:t xml:space="preserve">7.0 / 10</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bCs/>
                <w:color w:val="059669"/>
                <w:sz w:val="20"/>
                <w:szCs w:val="20"/>
              </w:rPr>
              <w:t xml:space="preserve">★ AI Legal Intake</w:t>
            </w:r>
          </w:p>
        </w:tc>
        <w:tc>
          <w:tcPr>
            <w:tcW w:type="dxa" w:w="9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8/10</w:t>
            </w:r>
          </w:p>
        </w:tc>
        <w:tc>
          <w:tcPr>
            <w:tcW w:type="dxa" w:w="9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8/10</w:t>
            </w:r>
          </w:p>
        </w:tc>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059669"/>
                <w:sz w:val="20"/>
                <w:szCs w:val="20"/>
              </w:rPr>
              <w:t xml:space="preserve">4/10</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6/10</w:t>
            </w:r>
          </w:p>
        </w:tc>
        <w:tc>
          <w:tcPr>
            <w:tcW w:type="dxa" w:w="1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bCs/>
                <w:color w:val="059669"/>
                <w:sz w:val="20"/>
                <w:szCs w:val="20"/>
              </w:rPr>
              <w:t xml:space="preserve">7.0 / 10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 AI Automotive Dealer</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9/10</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9/10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0d9488"/>
                <w:sz w:val="20"/>
                <w:szCs w:val="20"/>
              </w:rPr>
              <w:t xml:space="preserve">6/10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4/10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6.5 / 10</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 AI Compliance Call</w:t>
            </w:r>
          </w:p>
        </w:tc>
        <w:tc>
          <w:tcPr>
            <w:tcW w:type="dxa" w:w="9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7/10</w:t>
            </w:r>
          </w:p>
        </w:tc>
        <w:tc>
          <w:tcPr>
            <w:tcW w:type="dxa" w:w="9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7/10</w:t>
            </w:r>
          </w:p>
        </w:tc>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0d9488"/>
                <w:sz w:val="20"/>
                <w:szCs w:val="20"/>
              </w:rPr>
              <w:t xml:space="preserve">3/10</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4/10</w:t>
            </w:r>
          </w:p>
        </w:tc>
        <w:tc>
          <w:tcPr>
            <w:tcW w:type="dxa" w:w="1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5.5 / 10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 AI Mystery Shopping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7/10</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6/10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0d9488"/>
                <w:sz w:val="20"/>
                <w:szCs w:val="20"/>
              </w:rPr>
              <w:t xml:space="preserve">3/10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5/10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5.5 / 10</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6b7280"/>
                <w:sz w:val="20"/>
                <w:szCs w:val="20"/>
              </w:rPr>
              <w:t xml:space="preserve">○ AI Supplier Check-in</w:t>
            </w:r>
          </w:p>
        </w:tc>
        <w:tc>
          <w:tcPr>
            <w:tcW w:type="dxa" w:w="9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6/10</w:t>
            </w:r>
          </w:p>
        </w:tc>
        <w:tc>
          <w:tcPr>
            <w:tcW w:type="dxa" w:w="9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5/10</w:t>
            </w:r>
          </w:p>
        </w:tc>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2/10</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6/10</w:t>
            </w:r>
          </w:p>
        </w:tc>
        <w:tc>
          <w:tcPr>
            <w:tcW w:type="dxa" w:w="1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6b7280"/>
                <w:sz w:val="20"/>
                <w:szCs w:val="20"/>
              </w:rPr>
              <w:t xml:space="preserve">5.0 / 10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dc2626"/>
                <w:sz w:val="20"/>
                <w:szCs w:val="20"/>
              </w:rPr>
              <w:t xml:space="preserve">✗ AI Patient Recall</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9/10</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9/10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dc2626"/>
                <w:sz w:val="20"/>
                <w:szCs w:val="20"/>
              </w:rPr>
              <w:t xml:space="preserve">9/10 — RED OCEAN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3/10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dc2626"/>
                <w:sz w:val="20"/>
                <w:szCs w:val="20"/>
              </w:rPr>
              <w:t xml:space="preserve">4.0 / 10</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dc2626"/>
                <w:sz w:val="20"/>
                <w:szCs w:val="20"/>
              </w:rPr>
              <w:t xml:space="preserve">✗ AI Tenant/Property</w:t>
            </w:r>
          </w:p>
        </w:tc>
        <w:tc>
          <w:tcPr>
            <w:tcW w:type="dxa" w:w="9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10/10</w:t>
            </w:r>
          </w:p>
        </w:tc>
        <w:tc>
          <w:tcPr>
            <w:tcW w:type="dxa" w:w="9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9/10</w:t>
            </w:r>
          </w:p>
        </w:tc>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bCs/>
                <w:color w:val="dc2626"/>
                <w:sz w:val="20"/>
                <w:szCs w:val="20"/>
              </w:rPr>
              <w:t xml:space="preserve">9/10 — RED OCEAN</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2/10</w:t>
            </w:r>
          </w:p>
        </w:tc>
        <w:tc>
          <w:tcPr>
            <w:tcW w:type="dxa" w:w="13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dc2626"/>
                <w:sz w:val="20"/>
                <w:szCs w:val="20"/>
              </w:rPr>
              <w:t xml:space="preserve">3.0 / 10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dc2626"/>
                <w:sz w:val="20"/>
                <w:szCs w:val="20"/>
              </w:rPr>
              <w:t xml:space="preserve">✗ AI Review Collection</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9/10</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8/10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dc2626"/>
                <w:sz w:val="20"/>
                <w:szCs w:val="20"/>
              </w:rPr>
              <w:t xml:space="preserve">10/10 — RED OCEAN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2/10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dc2626"/>
                <w:sz w:val="20"/>
                <w:szCs w:val="20"/>
              </w:rPr>
              <w:t xml:space="preserve">3.0 / 10</w:t>
            </w:r>
          </w:p>
        </w:tc>
      </w:tr>
    </w:tbl>
    <w:p>
      <w:pPr>
        <w:spacing w:before="120" w:after="120"/>
      </w:pPr>
      <w:r>
        <w:t xml:space="preserve"/>
      </w:r>
    </w:p>
    <w:p>
      <w:pPr>
        <w:pStyle w:val="Heading2"/>
        <w:spacing w:before="320" w:after="120"/>
      </w:pPr>
      <w:r>
        <w:rPr>
          <w:rFonts w:ascii="Calibri" w:cs="Calibri" w:eastAsia="Calibri" w:hAnsi="Calibri"/>
          <w:b/>
          <w:bCs/>
          <w:color w:val="2563eb"/>
          <w:sz w:val="30"/>
          <w:szCs w:val="30"/>
        </w:rPr>
        <w:t xml:space="preserve">Bottom Line</w:t>
      </w:r>
    </w:p>
    <w:p>
      <w:pPr>
        <w:spacing w:before="60" w:after="140"/>
        <w:jc w:val="left"/>
      </w:pPr>
      <w:r>
        <w:rPr>
          <w:rFonts w:ascii="Calibri" w:cs="Calibri" w:eastAsia="Calibri" w:hAnsi="Calibri"/>
          <w:color w:val="374151"/>
          <w:sz w:val="22"/>
          <w:szCs w:val="22"/>
        </w:rPr>
        <w:t xml:space="preserve">The two highest-confidence opportunities are </w:t>
      </w:r>
      <w:r>
        <w:rPr>
          <w:rFonts w:ascii="Calibri" w:cs="Calibri" w:eastAsia="Calibri" w:hAnsi="Calibri"/>
          <w:b/>
          <w:bCs/>
          <w:color w:val="1a1a2e"/>
          <w:sz w:val="22"/>
          <w:szCs w:val="22"/>
        </w:rPr>
        <w:t xml:space="preserve">AI Debt Collection</w:t>
      </w:r>
      <w:r>
        <w:rPr>
          <w:rFonts w:ascii="Calibri" w:cs="Calibri" w:eastAsia="Calibri" w:hAnsi="Calibri"/>
          <w:color w:val="374151"/>
          <w:sz w:val="22"/>
          <w:szCs w:val="22"/>
        </w:rPr>
        <w:t xml:space="preserve"> and </w:t>
      </w:r>
      <w:r>
        <w:rPr>
          <w:rFonts w:ascii="Calibri" w:cs="Calibri" w:eastAsia="Calibri" w:hAnsi="Calibri"/>
          <w:b/>
          <w:bCs/>
          <w:color w:val="1a1a2e"/>
          <w:sz w:val="22"/>
          <w:szCs w:val="22"/>
        </w:rPr>
        <w:t xml:space="preserve">AI Legal Intake (Plaintiff Law Firms)</w:t>
      </w:r>
      <w:r>
        <w:rPr>
          <w:rFonts w:ascii="Calibri" w:cs="Calibri" w:eastAsia="Calibri" w:hAnsi="Calibri"/>
          <w:color w:val="374151"/>
          <w:sz w:val="22"/>
          <w:szCs w:val="22"/>
        </w:rPr>
        <w:t xml:space="preserve">. Both are genuine markets with quantifiable ROI, limited direct AI voice competition, and strong alignment with our multi-channel (voice + WhatsApp + email) capability stack. Three additional directions — Automotive Dealer Service, Compliance Call, and Mystery Shopping — are worth monitoring but require more market validation before full commitment.</w:t>
      </w:r>
    </w:p>
    <w:p>
      <w:r>
        <w:br w:type="page"/>
      </w:r>
    </w:p>
    <w:p>
      <w:pPr>
        <w:pStyle w:val="Heading1"/>
        <w:pBdr>
          <w:bottom w:val="single" w:color="2563eb" w:sz="6" w:space="6"/>
        </w:pBdr>
        <w:spacing w:before="480" w:after="160"/>
      </w:pPr>
      <w:r>
        <w:rPr>
          <w:rFonts w:ascii="Calibri" w:cs="Calibri" w:eastAsia="Calibri" w:hAnsi="Calibri"/>
          <w:b/>
          <w:bCs/>
          <w:color w:val="1a1a2e"/>
          <w:sz w:val="44"/>
          <w:szCs w:val="44"/>
        </w:rPr>
        <w:t xml:space="preserve">Direction 1: AI Debt Collection  ★  Score: 7.0/10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059669" w:sz="16"/>
              <w:bottom w:val="none"/>
              <w:right w:val="none"/>
            </w:tcBorders>
            <w:shd w:fill="f0fdf4" w:val="clear"/>
            <w:tcMar>
              <w:top w:type="dxa" w:w="100"/>
              <w:left w:type="dxa" w:w="160"/>
              <w:bottom w:type="dxa" w:w="100"/>
              <w:right w:type="dxa" w:w="80"/>
            </w:tcMar>
            <w:vAlign w:val="center"/>
          </w:tcPr>
          <w:p>
            <w:r>
              <w:rPr>
                <w:rFonts w:ascii="Calibri" w:cs="Calibri" w:eastAsia="Calibri" w:hAnsi="Calibri"/>
                <w:b/>
                <w:bCs/>
                <w:color w:val="059669"/>
                <w:sz w:val="20"/>
                <w:szCs w:val="20"/>
              </w:rPr>
              <w:t xml:space="preserve">Thesis</w:t>
            </w:r>
          </w:p>
        </w:tc>
        <w:tc>
          <w:tcPr>
            <w:tcW w:type="dxa" w:w="7920"/>
            <w:tcBorders>
              <w:top w:val="none"/>
              <w:left w:val="none"/>
              <w:bottom w:val="none"/>
              <w:right w:val="none"/>
            </w:tcBorders>
            <w:shd w:fill="f0fdf4" w:val="clear"/>
            <w:tcMar>
              <w:top w:type="dxa" w:w="100"/>
              <w:left w:type="dxa" w:w="160"/>
              <w:bottom w:type="dxa" w:w="100"/>
              <w:right w:type="dxa" w:w="160"/>
            </w:tcMar>
          </w:tcPr>
          <w:p>
            <w:r>
              <w:rPr>
                <w:rFonts w:ascii="Calibri" w:cs="Calibri" w:eastAsia="Calibri" w:hAnsi="Calibri"/>
                <w:color w:val="374151"/>
                <w:sz w:val="21"/>
                <w:szCs w:val="21"/>
              </w:rPr>
              <w:t xml:space="preserve">Deploy AI voice agents + WhatsApp to automate outbound collections for mid-size debt collection agencies (DCAs) and first-party creditors. AI outperforms human agents on consistency, cost, and compliance — while reaching debtors across their preferred channels 24/7.</w:t>
            </w:r>
          </w:p>
        </w:tc>
      </w:tr>
    </w:tbl>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A. Is the Demand Real?</w:t>
      </w:r>
    </w:p>
    <w:p>
      <w:pPr>
        <w:spacing w:before="60" w:after="140"/>
        <w:jc w:val="left"/>
      </w:pPr>
      <w:r>
        <w:rPr>
          <w:rFonts w:ascii="Calibri" w:cs="Calibri" w:eastAsia="Calibri" w:hAnsi="Calibri"/>
          <w:color w:val="374151"/>
          <w:sz w:val="22"/>
          <w:szCs w:val="22"/>
        </w:rPr>
        <w:t xml:space="preserve">The market is massive and the pain is quantified. </w:t>
      </w:r>
      <w:r>
        <w:rPr>
          <w:rFonts w:ascii="Calibri" w:cs="Calibri" w:eastAsia="Calibri" w:hAnsi="Calibri"/>
          <w:b/>
          <w:bCs/>
          <w:color w:val="1a1a2e"/>
          <w:sz w:val="22"/>
          <w:szCs w:val="22"/>
        </w:rPr>
        <w:t xml:space="preserve">The global debt collection software market was $4.92B in 2023, growing at 9.6% CAGR through 2030.</w:t>
      </w:r>
      <w:r>
        <w:rPr>
          <w:rFonts w:ascii="Calibri" w:cs="Calibri" w:eastAsia="Calibri" w:hAnsi="Calibri"/>
          <w:color w:val="374151"/>
          <w:sz w:val="22"/>
          <w:szCs w:val="22"/>
        </w:rPr>
        <w:t xml:space="preserve"> AI-specific tooling within collections is forecast to grow by $2.77B at 15% CAGR between 2024 and 2029.</w:t>
      </w:r>
    </w:p>
    <w:p>
      <w:pPr>
        <w:spacing w:before="60" w:after="140"/>
        <w:jc w:val="left"/>
      </w:pPr>
      <w:r>
        <w:rPr>
          <w:rFonts w:ascii="Calibri" w:cs="Calibri" w:eastAsia="Calibri" w:hAnsi="Calibri"/>
          <w:b/>
          <w:bCs/>
          <w:color w:val="1a1a2e"/>
          <w:sz w:val="22"/>
          <w:szCs w:val="22"/>
        </w:rPr>
        <w:t xml:space="preserve">Key pain points — sourced from industry research:</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Human agents cost $8–$25 per outbound call. At 5,000 calls/day, that is $40,000–$125,000 per month in labor alone.</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Annual agent turnover at debt collection agencies runs 40–60%. Constant retraining is a structural drain.</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 10,000-call-per-day operation with just a 1% compliance error rate faces $200,000/day in potential FDCPA/TCPA liability — $73M annually.</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AI can cut operational costs by up to 40% while delivering 2× higher recovery rates through personalized outreach timing and channel selection. (Source: C&amp;R Software research, verified via search)</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Murphy AI — a 2025 entrant — is already managing hundreds of millions of dollars in debt within one year of launch, confirming the market is ready to adopt.</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B. Competitive Landscape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1500"/>
        <w:gridCol w:w="3260"/>
      </w:tblGrid>
      <w:tr>
        <w:tc>
          <w:tcPr>
            <w:tcW w:type="dxa" w:w="1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Company</w:t>
            </w:r>
          </w:p>
        </w:tc>
        <w:tc>
          <w:tcPr>
            <w:tcW w:type="dxa" w:w="1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Website</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Funding</w:t>
            </w:r>
          </w:p>
        </w:tc>
        <w:tc>
          <w:tcPr>
            <w:tcW w:type="dxa" w:w="1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Pricing Model</w:t>
            </w:r>
          </w:p>
        </w:tc>
        <w:tc>
          <w:tcPr>
            <w:tcW w:type="dxa" w:w="32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Differentiator</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Murphy AI</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murphy.ai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$15M Seed — Northzone, ElevenLabs (Jul 2025)</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Outcome-based</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Empathetic multilingual voice AI, 30+ languages</w:t>
            </w:r>
          </w:p>
        </w:tc>
      </w:tr>
      <w:tr>
        <w:tc>
          <w:tcPr>
            <w:tcW w:type="dxa" w:w="1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Altur (YC)</w:t>
            </w:r>
          </w:p>
        </w:tc>
        <w:tc>
          <w:tcPr>
            <w:tcW w:type="dxa" w:w="1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ycombinator.com/companies/altur</w:t>
            </w:r>
          </w:p>
        </w:tc>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YC-backed Seed</w:t>
            </w:r>
          </w:p>
        </w:tc>
        <w:tc>
          <w:tcPr>
            <w:tcW w:type="dxa" w:w="1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Per-min + success fee</w:t>
            </w:r>
          </w:p>
        </w:tc>
        <w:tc>
          <w:tcPr>
            <w:tcW w:type="dxa" w:w="32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WhatsApp continuation of same conversation thread</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Skit.ai</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skit.ai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Private (India)</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Enterprise custom</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Built-in Mini-Miranda, bankruptcy flags, FDCPA-ready</w:t>
            </w:r>
          </w:p>
        </w:tc>
      </w:tr>
      <w:tr>
        <w:tc>
          <w:tcPr>
            <w:tcW w:type="dxa" w:w="1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Floatbot.ai</w:t>
            </w:r>
          </w:p>
        </w:tc>
        <w:tc>
          <w:tcPr>
            <w:tcW w:type="dxa" w:w="1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floatbot.ai</w:t>
            </w:r>
          </w:p>
        </w:tc>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Private</w:t>
            </w:r>
          </w:p>
        </w:tc>
        <w:tc>
          <w:tcPr>
            <w:tcW w:type="dxa" w:w="1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Enterprise custom</w:t>
            </w:r>
          </w:p>
        </w:tc>
        <w:tc>
          <w:tcPr>
            <w:tcW w:type="dxa" w:w="32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150+ languages, WhatsApp + voice + SMS omnichannel</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Attunely</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attunely.com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$12M+</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Enterprise custom</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Trained on 4B+ debtor interaction records</w:t>
            </w:r>
          </w:p>
        </w:tc>
      </w:tr>
      <w:tr>
        <w:tc>
          <w:tcPr>
            <w:tcW w:type="dxa" w:w="1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Aktos.ai</w:t>
            </w:r>
          </w:p>
        </w:tc>
        <w:tc>
          <w:tcPr>
            <w:tcW w:type="dxa" w:w="1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aktos.ai</w:t>
            </w:r>
          </w:p>
        </w:tc>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Private</w:t>
            </w:r>
          </w:p>
        </w:tc>
        <w:tc>
          <w:tcPr>
            <w:tcW w:type="dxa" w:w="1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SaaS subscription</w:t>
            </w:r>
          </w:p>
        </w:tc>
        <w:tc>
          <w:tcPr>
            <w:tcW w:type="dxa" w:w="32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Purpose-built for small/mid-size agencies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0d9488" w:sz="16"/>
              <w:bottom w:val="none"/>
              <w:right w:val="none"/>
            </w:tcBorders>
            <w:shd w:fill="f0fdfa" w:val="clear"/>
            <w:tcMar>
              <w:top w:type="dxa" w:w="100"/>
              <w:left w:type="dxa" w:w="160"/>
              <w:bottom w:type="dxa" w:w="100"/>
              <w:right w:type="dxa" w:w="80"/>
            </w:tcMar>
            <w:vAlign w:val="center"/>
          </w:tcPr>
          <w:p>
            <w:r>
              <w:rPr>
                <w:rFonts w:ascii="Calibri" w:cs="Calibri" w:eastAsia="Calibri" w:hAnsi="Calibri"/>
                <w:b/>
                <w:bCs/>
                <w:color w:val="0d9488"/>
                <w:sz w:val="20"/>
                <w:szCs w:val="20"/>
              </w:rPr>
              <w:t xml:space="preserve">Competitive Verdict</w:t>
            </w:r>
          </w:p>
        </w:tc>
        <w:tc>
          <w:tcPr>
            <w:tcW w:type="dxa" w:w="7920"/>
            <w:tcBorders>
              <w:top w:val="none"/>
              <w:left w:val="none"/>
              <w:bottom w:val="none"/>
              <w:right w:val="none"/>
            </w:tcBorders>
            <w:shd w:fill="f0fdfa" w:val="clear"/>
            <w:tcMar>
              <w:top w:type="dxa" w:w="100"/>
              <w:left w:type="dxa" w:w="160"/>
              <w:bottom w:type="dxa" w:w="100"/>
              <w:right w:type="dxa" w:w="160"/>
            </w:tcMar>
          </w:tcPr>
          <w:p>
            <w:r>
              <w:rPr>
                <w:rFonts w:ascii="Calibri" w:cs="Calibri" w:eastAsia="Calibri" w:hAnsi="Calibri"/>
                <w:color w:val="374151"/>
                <w:sz w:val="21"/>
                <w:szCs w:val="21"/>
              </w:rPr>
              <w:t xml:space="preserve">No single company dominates. Murphy and Altur both raised sub-$20M, indicating the market is not yet locked up. Our multi-channel platform (voice + WhatsApp + email) is a direct match to what top-performing DCA operations require.</w:t>
            </w:r>
          </w:p>
        </w:tc>
      </w:tr>
    </w:tbl>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C. Willingness to Pay</w:t>
      </w:r>
    </w:p>
    <w:p>
      <w:pPr>
        <w:spacing w:before="60" w:after="140"/>
        <w:jc w:val="left"/>
      </w:pPr>
      <w:r>
        <w:rPr>
          <w:rFonts w:ascii="Calibri" w:cs="Calibri" w:eastAsia="Calibri" w:hAnsi="Calibri"/>
          <w:b/>
          <w:bCs/>
          <w:color w:val="1a1a2e"/>
          <w:sz w:val="22"/>
          <w:szCs w:val="22"/>
        </w:rPr>
        <w:t xml:space="preserve">Target customer: </w:t>
      </w:r>
      <w:r>
        <w:rPr>
          <w:rFonts w:ascii="Calibri" w:cs="Calibri" w:eastAsia="Calibri" w:hAnsi="Calibri"/>
          <w:color w:val="374151"/>
          <w:sz w:val="22"/>
          <w:szCs w:val="22"/>
        </w:rPr>
        <w:t xml:space="preserve">Mid-size third-party collection agencies — 50 to 200 human collectors, $5M–$30M annual revenue. They are large enough to need automation but too small for enterprise platforms like C&amp;R Software.</w:t>
      </w:r>
    </w:p>
    <w:p>
      <w:pPr>
        <w:spacing w:before="60" w:after="140"/>
        <w:jc w:val="left"/>
      </w:pPr>
      <w:r>
        <w:rPr>
          <w:rFonts w:ascii="Calibri" w:cs="Calibri" w:eastAsia="Calibri" w:hAnsi="Calibri"/>
          <w:b/>
          <w:bCs/>
          <w:color w:val="1a1a2e"/>
          <w:sz w:val="22"/>
          <w:szCs w:val="22"/>
        </w:rPr>
        <w:t xml:space="preserve">ROI calculation for a typical client:</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Current cost: 100 agents × $45,000/year = $4.5M/year in collector salaries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AI replaces 60% of volume: $2.7M in labor savings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Our pricing (outcome-based at 3–5% of collected): For a client recovering $500K/month, fee = $15,000–$25,000/month</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Client ROI: 5–10× on a monthly basis. Extremely easy to justify.</w:t>
      </w:r>
    </w:p>
    <w:p>
      <w:pPr>
        <w:spacing w:before="60" w:after="140"/>
        <w:jc w:val="left"/>
      </w:pPr>
      <w:r>
        <w:rPr>
          <w:rFonts w:ascii="Calibri" w:cs="Calibri" w:eastAsia="Calibri" w:hAnsi="Calibri"/>
          <w:color w:val="374151"/>
          <w:sz w:val="22"/>
          <w:szCs w:val="22"/>
        </w:rPr>
        <w:t xml:space="preserve">Preferred pricing model: </w:t>
      </w:r>
      <w:r>
        <w:rPr>
          <w:rFonts w:ascii="Calibri" w:cs="Calibri" w:eastAsia="Calibri" w:hAnsi="Calibri"/>
          <w:b/>
          <w:bCs/>
          <w:color w:val="1a1a2e"/>
          <w:sz w:val="22"/>
          <w:szCs w:val="22"/>
        </w:rPr>
        <w:t xml:space="preserve">Outcome-based (% of collected)</w:t>
      </w:r>
      <w:r>
        <w:rPr>
          <w:rFonts w:ascii="Calibri" w:cs="Calibri" w:eastAsia="Calibri" w:hAnsi="Calibri"/>
          <w:color w:val="374151"/>
          <w:sz w:val="22"/>
          <w:szCs w:val="22"/>
        </w:rPr>
        <w:t xml:space="preserve"> lowers buyer resistance dramatically — clients only pay when money comes in. This is how Murphy positions itself and how Altur structures its "outcome-based option."</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D. Why Now?</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GPT-4o-class LLMs can now handle unscripted debtor objections, payment negotiation, and hardship detection in real-time — something impossible with IVR or earlier NLP systems.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ElevenLabs-grade TTS produces voices indistinguishable from humans (Murphy's investor is ElevenLabs itself — a telling signal).</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CFPB Regulation F (2021) explicitly legalized digital channels (email, text, social) for debt contact — providing a compliance roadmap that makes multi-channel AI viable for the first time.</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WhatsApp penetration in emerging markets (LatAm, SEA, MENA) makes this a global opportunity, not just US-centric.</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E. Kill Factors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Risk</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Severity</w:t>
            </w:r>
          </w:p>
        </w:tc>
        <w:tc>
          <w:tcPr>
            <w:tcW w:type="dxa" w:w="55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Mitigation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FDCPA + TCPA dual compliance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HIGH</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Embed compliance engine: Mini-Miranda, time-zone checks, frequency caps, right-party verification. Use legally reviewed templates.</w:t>
            </w:r>
          </w:p>
        </w:tc>
      </w:tr>
      <w:tr>
        <w:tc>
          <w:tcPr>
            <w:tcW w:type="dxa" w:w="2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CFPB enforcement sweep</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MEDIUM</w:t>
            </w:r>
          </w:p>
        </w:tc>
        <w:tc>
          <w:tcPr>
            <w:tcW w:type="dxa" w:w="55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Monitor CFPB guidance; ensure all AI interactions have complete audit trail with call recordings stored 3 years (Reg F requirement).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Debtor hostility / hang-ups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MEDIUM</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Empathetic AI tone tested before launch; human escalation path always available within 2 turns.</w:t>
            </w:r>
          </w:p>
        </w:tc>
      </w:tr>
      <w:tr>
        <w:tc>
          <w:tcPr>
            <w:tcW w:type="dxa" w:w="2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State-by-state law variation</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MEDIUM</w:t>
            </w:r>
          </w:p>
        </w:tc>
        <w:tc>
          <w:tcPr>
            <w:tcW w:type="dxa" w:w="55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Start in states with simpler frameworks; build geo-based rule engine for expansion.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Large agencies self-build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LOW</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Agencies with 500+ agents may build internally; focus ICP on 50–200 agent tier where build vs. buy tilts toward buy.</w:t>
            </w:r>
          </w:p>
        </w:tc>
      </w:tr>
    </w:tbl>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F. Investor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059669" w:sz="16"/>
              <w:bottom w:val="none"/>
              <w:right w:val="none"/>
            </w:tcBorders>
            <w:shd w:fill="f0fdf4" w:val="clear"/>
            <w:tcMar>
              <w:top w:type="dxa" w:w="100"/>
              <w:left w:type="dxa" w:w="160"/>
              <w:bottom w:type="dxa" w:w="100"/>
              <w:right w:type="dxa" w:w="80"/>
            </w:tcMar>
            <w:vAlign w:val="center"/>
          </w:tcPr>
          <w:p>
            <w:r>
              <w:rPr>
                <w:rFonts w:ascii="Calibri" w:cs="Calibri" w:eastAsia="Calibri" w:hAnsi="Calibri"/>
                <w:b/>
                <w:bCs/>
                <w:color w:val="059669"/>
                <w:sz w:val="20"/>
                <w:szCs w:val="20"/>
              </w:rPr>
              <w:t xml:space="preserve">Invest if:</w:t>
            </w:r>
          </w:p>
        </w:tc>
        <w:tc>
          <w:tcPr>
            <w:tcW w:type="dxa" w:w="7920"/>
            <w:tcBorders>
              <w:top w:val="none"/>
              <w:left w:val="none"/>
              <w:bottom w:val="none"/>
              <w:right w:val="none"/>
            </w:tcBorders>
            <w:shd w:fill="f0fdf4" w:val="clear"/>
            <w:tcMar>
              <w:top w:type="dxa" w:w="100"/>
              <w:left w:type="dxa" w:w="160"/>
              <w:bottom w:type="dxa" w:w="100"/>
              <w:right w:type="dxa" w:w="160"/>
            </w:tcMar>
          </w:tcPr>
          <w:p>
            <w:r>
              <w:rPr>
                <w:rFonts w:ascii="Calibri" w:cs="Calibri" w:eastAsia="Calibri" w:hAnsi="Calibri"/>
                <w:color w:val="374151"/>
                <w:sz w:val="21"/>
                <w:szCs w:val="21"/>
              </w:rPr>
              <w:t xml:space="preserve">Team has at least one member with collections industry network OR can hire a DCA-connected advisor in the first 90 days. Compliance architecture must be built into v1, not bolted on later. This is a high-ACV, recurring-revenue business with natural outcome-based pricing — a compelling model for both the customer and the investor.</w:t>
            </w:r>
          </w:p>
        </w:tc>
      </w:tr>
    </w:tbl>
    <w:p>
      <w:r>
        <w:br w:type="page"/>
      </w:r>
    </w:p>
    <w:p>
      <w:pPr>
        <w:pStyle w:val="Heading1"/>
        <w:pBdr>
          <w:bottom w:val="single" w:color="2563eb" w:sz="6" w:space="6"/>
        </w:pBdr>
        <w:spacing w:before="480" w:after="160"/>
      </w:pPr>
      <w:r>
        <w:rPr>
          <w:rFonts w:ascii="Calibri" w:cs="Calibri" w:eastAsia="Calibri" w:hAnsi="Calibri"/>
          <w:b/>
          <w:bCs/>
          <w:color w:val="1a1a2e"/>
          <w:sz w:val="44"/>
          <w:szCs w:val="44"/>
        </w:rPr>
        <w:t xml:space="preserve">Direction 2: AI Legal Intake &amp; Outbound Follow-up  ★  Score: 7.0/10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059669" w:sz="16"/>
              <w:bottom w:val="none"/>
              <w:right w:val="none"/>
            </w:tcBorders>
            <w:shd w:fill="f0fdf4" w:val="clear"/>
            <w:tcMar>
              <w:top w:type="dxa" w:w="100"/>
              <w:left w:type="dxa" w:w="160"/>
              <w:bottom w:type="dxa" w:w="100"/>
              <w:right w:type="dxa" w:w="80"/>
            </w:tcMar>
            <w:vAlign w:val="center"/>
          </w:tcPr>
          <w:p>
            <w:r>
              <w:rPr>
                <w:rFonts w:ascii="Calibri" w:cs="Calibri" w:eastAsia="Calibri" w:hAnsi="Calibri"/>
                <w:b/>
                <w:bCs/>
                <w:color w:val="059669"/>
                <w:sz w:val="20"/>
                <w:szCs w:val="20"/>
              </w:rPr>
              <w:t xml:space="preserve">Thesis</w:t>
            </w:r>
          </w:p>
        </w:tc>
        <w:tc>
          <w:tcPr>
            <w:tcW w:type="dxa" w:w="7920"/>
            <w:tcBorders>
              <w:top w:val="none"/>
              <w:left w:val="none"/>
              <w:bottom w:val="none"/>
              <w:right w:val="none"/>
            </w:tcBorders>
            <w:shd w:fill="f0fdf4" w:val="clear"/>
            <w:tcMar>
              <w:top w:type="dxa" w:w="100"/>
              <w:left w:type="dxa" w:w="160"/>
              <w:bottom w:type="dxa" w:w="100"/>
              <w:right w:type="dxa" w:w="160"/>
            </w:tcMar>
          </w:tcPr>
          <w:p>
            <w:r>
              <w:rPr>
                <w:rFonts w:ascii="Calibri" w:cs="Calibri" w:eastAsia="Calibri" w:hAnsi="Calibri"/>
                <w:color w:val="374151"/>
                <w:sz w:val="21"/>
                <w:szCs w:val="21"/>
              </w:rPr>
              <w:t xml:space="preserve">AI voice + SMS agents handle 24/7 inbound intake for plaintiff law firms AND proactively follow up with prospects who did not immediately sign. The specific gap nobody has solved well: automated outbound nurture of unsigned leads. One signed personal injury case = $10,000–$50,000 in contingency revenue.</w:t>
            </w:r>
          </w:p>
        </w:tc>
      </w:tr>
    </w:tbl>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A. Is the Demand Real?</w:t>
      </w:r>
    </w:p>
    <w:p>
      <w:pPr>
        <w:spacing w:before="60" w:after="140"/>
        <w:jc w:val="left"/>
      </w:pPr>
      <w:r>
        <w:rPr>
          <w:rFonts w:ascii="Calibri" w:cs="Calibri" w:eastAsia="Calibri" w:hAnsi="Calibri"/>
          <w:b/>
          <w:bCs/>
          <w:color w:val="1a1a2e"/>
          <w:sz w:val="22"/>
          <w:szCs w:val="22"/>
        </w:rPr>
        <w:t xml:space="preserve">The administrative burden at law firms is quantified and severe:</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Attorneys spend 48% of their working day on non-billable admin tasks (Thomson Reuters, 2024). At $300/hour billing rate, that is $6,600/week in lost revenue — per attorney.</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80% of potential client calls to plaintiff law firms come outside business hours. A missed call = a lost case, because the prospect calls the next firm on Google.</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Firms are 100× more likely to reach a prospect — and 21× more likely to convert — if they follow up within 5 minutes of inquiry. Human intake teams cannot achieve this at scale.</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Over 35% of US law firms now use some form of AI in daily operations (ABA 2024 survey), signaling that adoption resistance is dropping fast.</w:t>
      </w:r>
    </w:p>
    <w:p>
      <w:pPr>
        <w:spacing w:before="60" w:after="140"/>
        <w:jc w:val="left"/>
      </w:pPr>
      <w:r>
        <w:rPr>
          <w:rFonts w:ascii="Calibri" w:cs="Calibri" w:eastAsia="Calibri" w:hAnsi="Calibri"/>
          <w:b/>
          <w:bCs/>
          <w:color w:val="1a1a2e"/>
          <w:sz w:val="22"/>
          <w:szCs w:val="22"/>
        </w:rPr>
        <w:t xml:space="preserve">YC market validation: </w:t>
      </w:r>
      <w:r>
        <w:rPr>
          <w:rFonts w:ascii="Calibri" w:cs="Calibri" w:eastAsia="Calibri" w:hAnsi="Calibri"/>
          <w:color w:val="374151"/>
          <w:sz w:val="22"/>
          <w:szCs w:val="22"/>
        </w:rPr>
        <w:t xml:space="preserve">Caseflood.ai (founded 2024) raised $3.2M Seed from Y Combinator specifically for AI legal intake and lead follow-up — a direct signal that smart money sees this opportunity.</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B. Competitive Landscape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000"/>
        <w:gridCol w:w="1200"/>
        <w:gridCol w:w="3260"/>
      </w:tblGrid>
      <w:tr>
        <w:tc>
          <w:tcPr>
            <w:tcW w:type="dxa" w:w="16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Company</w:t>
            </w:r>
          </w:p>
        </w:tc>
        <w:tc>
          <w:tcPr>
            <w:tcW w:type="dxa" w:w="1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Website</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Funding</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Pricing</w:t>
            </w:r>
          </w:p>
        </w:tc>
        <w:tc>
          <w:tcPr>
            <w:tcW w:type="dxa" w:w="32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Key Gap</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Caseflood.ai</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caseflood.ai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$3.2M Seed (YC, 2024)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Custom</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Closest competitor; handles inbound + outbound calls + SMS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CaseGen.ai</w:t>
            </w:r>
          </w:p>
        </w:tc>
        <w:tc>
          <w:tcPr>
            <w:tcW w:type="dxa" w:w="1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casegen.ai</w:t>
            </w:r>
          </w:p>
        </w:tc>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Undisclosed</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Custom</w:t>
            </w:r>
          </w:p>
        </w:tc>
        <w:tc>
          <w:tcPr>
            <w:tcW w:type="dxa" w:w="32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Tracks medical treatment progress for PI cases — niche but smart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Regal.ai</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regal.ai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$38M+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Enterprise</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Horizontal platform; legal is one of many verticals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Smith.ai</w:t>
            </w:r>
          </w:p>
        </w:tc>
        <w:tc>
          <w:tcPr>
            <w:tcW w:type="dxa" w:w="1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smith.ai</w:t>
            </w:r>
          </w:p>
        </w:tc>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$14M+</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$30–$285/mo</w:t>
            </w:r>
          </w:p>
        </w:tc>
        <w:tc>
          <w:tcPr>
            <w:tcW w:type="dxa" w:w="32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Hybrid human + AI; legal is primary focus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Ruby Receptionists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ruby.com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Funded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$145–$415/mo</w:t>
            </w:r>
          </w:p>
        </w:tc>
        <w:tc>
          <w:tcPr>
            <w:tcW w:type="dxa" w:w="3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Pure human answering; AI added as afterthought</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Dialzara</w:t>
            </w:r>
          </w:p>
        </w:tc>
        <w:tc>
          <w:tcPr>
            <w:tcW w:type="dxa" w:w="1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dialzara.com</w:t>
            </w:r>
          </w:p>
        </w:tc>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Small</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$150–$500/mo</w:t>
            </w:r>
          </w:p>
        </w:tc>
        <w:tc>
          <w:tcPr>
            <w:tcW w:type="dxa" w:w="32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Generic AI receptionist with legal templates; not purpose-built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7c3aed" w:sz="16"/>
              <w:bottom w:val="none"/>
              <w:right w:val="none"/>
            </w:tcBorders>
            <w:shd w:fill="faf5ff" w:val="clear"/>
            <w:tcMar>
              <w:top w:type="dxa" w:w="100"/>
              <w:left w:type="dxa" w:w="160"/>
              <w:bottom w:type="dxa" w:w="100"/>
              <w:right w:type="dxa" w:w="80"/>
            </w:tcMar>
            <w:vAlign w:val="center"/>
          </w:tcPr>
          <w:p>
            <w:r>
              <w:rPr>
                <w:rFonts w:ascii="Calibri" w:cs="Calibri" w:eastAsia="Calibri" w:hAnsi="Calibri"/>
                <w:b/>
                <w:bCs/>
                <w:color w:val="7c3aed"/>
                <w:sz w:val="20"/>
                <w:szCs w:val="20"/>
              </w:rPr>
              <w:t xml:space="preserve">The Actual Gap</w:t>
            </w:r>
          </w:p>
        </w:tc>
        <w:tc>
          <w:tcPr>
            <w:tcW w:type="dxa" w:w="7920"/>
            <w:tcBorders>
              <w:top w:val="none"/>
              <w:left w:val="none"/>
              <w:bottom w:val="none"/>
              <w:right w:val="none"/>
            </w:tcBorders>
            <w:shd w:fill="faf5ff" w:val="clear"/>
            <w:tcMar>
              <w:top w:type="dxa" w:w="100"/>
              <w:left w:type="dxa" w:w="160"/>
              <w:bottom w:type="dxa" w:w="100"/>
              <w:right w:type="dxa" w:w="160"/>
            </w:tcMar>
          </w:tcPr>
          <w:p>
            <w:r>
              <w:rPr>
                <w:rFonts w:ascii="Calibri" w:cs="Calibri" w:eastAsia="Calibri" w:hAnsi="Calibri"/>
                <w:color w:val="374151"/>
                <w:sz w:val="21"/>
                <w:szCs w:val="21"/>
              </w:rPr>
              <w:t xml:space="preserve">Every competitor focuses on INBOUND answering. None has built a strong OUTBOUND follow-up system — AI proactively calling back leads that filled out a web form but never signed a retainer. This is the highest-value action in plaintiff law firm operations, and it is largely unmanned.</w:t>
            </w:r>
          </w:p>
        </w:tc>
      </w:tr>
    </w:tbl>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C. Willingness to Pay</w:t>
      </w:r>
    </w:p>
    <w:p>
      <w:pPr>
        <w:spacing w:before="60" w:after="140"/>
        <w:jc w:val="left"/>
      </w:pPr>
      <w:r>
        <w:rPr>
          <w:rFonts w:ascii="Calibri" w:cs="Calibri" w:eastAsia="Calibri" w:hAnsi="Calibri"/>
          <w:b/>
          <w:bCs/>
          <w:color w:val="1a1a2e"/>
          <w:sz w:val="22"/>
          <w:szCs w:val="22"/>
        </w:rPr>
        <w:t xml:space="preserve">Target customer: </w:t>
      </w:r>
      <w:r>
        <w:rPr>
          <w:rFonts w:ascii="Calibri" w:cs="Calibri" w:eastAsia="Calibri" w:hAnsi="Calibri"/>
          <w:color w:val="374151"/>
          <w:sz w:val="22"/>
          <w:szCs w:val="22"/>
        </w:rPr>
        <w:t xml:space="preserve">Personal injury, workers' compensation, and mass tort law firms with 2–20 attorneys. They handle 50–500 potential client inquiries per month and spend $3,000–$15,000/month on live answering services and intake staff.</w:t>
      </w:r>
    </w:p>
    <w:p>
      <w:pPr>
        <w:spacing w:before="60" w:after="140"/>
        <w:jc w:val="left"/>
      </w:pPr>
      <w:r>
        <w:rPr>
          <w:rFonts w:ascii="Calibri" w:cs="Calibri" w:eastAsia="Calibri" w:hAnsi="Calibri"/>
          <w:b/>
          <w:bCs/>
          <w:color w:val="1a1a2e"/>
          <w:sz w:val="22"/>
          <w:szCs w:val="22"/>
        </w:rPr>
        <w:t xml:space="preserve">ROI calculation:</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 5% improvement in lead-to-retained conversion (e.g., 50 leads/month → 2.5 additional clients)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Average PI case revenue: $15,000–$20,000 in attorney fees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Monthly value of 2.5 extra cases: $37,500–$50,000</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Our monthly fee: $1,500–$4,000 → ROI of 10–25× is easily justifiable</w:t>
      </w:r>
    </w:p>
    <w:p>
      <w:pPr>
        <w:spacing w:before="60" w:after="140"/>
        <w:jc w:val="left"/>
      </w:pPr>
      <w:r>
        <w:rPr>
          <w:rFonts w:ascii="Calibri" w:cs="Calibri" w:eastAsia="Calibri" w:hAnsi="Calibri"/>
          <w:b/>
          <w:bCs/>
          <w:color w:val="1a1a2e"/>
          <w:sz w:val="22"/>
          <w:szCs w:val="22"/>
        </w:rPr>
        <w:t xml:space="preserve">Decision maker: </w:t>
      </w:r>
      <w:r>
        <w:rPr>
          <w:rFonts w:ascii="Calibri" w:cs="Calibri" w:eastAsia="Calibri" w:hAnsi="Calibri"/>
          <w:color w:val="374151"/>
          <w:sz w:val="22"/>
          <w:szCs w:val="22"/>
        </w:rPr>
        <w:t xml:space="preserve">The law firm's managing partner or practice administrator. They are results-oriented and will switch services the moment a competitor demonstrates higher conversion rates. Easy to quantify, easy to sell.</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D. Why Now?</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AI can now express genuine empathy and compassion on intake calls ("I'm so sorry to hear about your accident"). Earlier TTS sounded robotic and made potential clients feel dismissed at a vulnerable moment.</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Twilio, Vapi, and Retell AI have commoditized the voice infrastructure layer — we can build on proven rails rather than building TTS/STT from scratch.</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The ABA formally endorsed AI tools for legal intake in 2024 guidance, removing an important adoption barrier.</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E. Kill Factors &amp; Risks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960"/>
      </w:tblGrid>
      <w:tr>
        <w:tc>
          <w:tcPr>
            <w:tcW w:type="dxa" w:w="24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Risk</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Severity</w:t>
            </w:r>
          </w:p>
        </w:tc>
        <w:tc>
          <w:tcPr>
            <w:tcW w:type="dxa" w:w="59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Mitigation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Unauthorized Practice of Law (UPL)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HIGH</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AI must strictly collect information only. Never offer legal advice, case assessment, or likely outcome statements. Script review by attorney required before launch.</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Attorney-client privilege ambiguity</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MEDIUM</w:t>
            </w:r>
          </w:p>
        </w:tc>
        <w:tc>
          <w:tcPr>
            <w:tcW w:type="dxa" w:w="5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Position AI as a "message-taking service." Intake data is forwarded to the attorney, who creates the privileged relationship. Get legal opinion on data handling.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Small firm fragmentation (high CAC)</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MEDIUM</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Focus on firms doing 100+ leads/month. Use referral incentives and bar association partnerships to reduce CAC.</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Caseflood.ai head start</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LOW</w:t>
            </w:r>
          </w:p>
        </w:tc>
        <w:tc>
          <w:tcPr>
            <w:tcW w:type="dxa" w:w="5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Their $3.2M is enough to build product but not to dominate the market. Outbound follow-up is our differentiator they have not yet cracked.</w:t>
            </w:r>
          </w:p>
        </w:tc>
      </w:tr>
    </w:tbl>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F. Investor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059669" w:sz="16"/>
              <w:bottom w:val="none"/>
              <w:right w:val="none"/>
            </w:tcBorders>
            <w:shd w:fill="f0fdf4" w:val="clear"/>
            <w:tcMar>
              <w:top w:type="dxa" w:w="100"/>
              <w:left w:type="dxa" w:w="160"/>
              <w:bottom w:type="dxa" w:w="100"/>
              <w:right w:type="dxa" w:w="80"/>
            </w:tcMar>
            <w:vAlign w:val="center"/>
          </w:tcPr>
          <w:p>
            <w:r>
              <w:rPr>
                <w:rFonts w:ascii="Calibri" w:cs="Calibri" w:eastAsia="Calibri" w:hAnsi="Calibri"/>
                <w:b/>
                <w:bCs/>
                <w:color w:val="059669"/>
                <w:sz w:val="20"/>
                <w:szCs w:val="20"/>
              </w:rPr>
              <w:t xml:space="preserve">Invest if:</w:t>
            </w:r>
          </w:p>
        </w:tc>
        <w:tc>
          <w:tcPr>
            <w:tcW w:type="dxa" w:w="7920"/>
            <w:tcBorders>
              <w:top w:val="none"/>
              <w:left w:val="none"/>
              <w:bottom w:val="none"/>
              <w:right w:val="none"/>
            </w:tcBorders>
            <w:shd w:fill="f0fdf4" w:val="clear"/>
            <w:tcMar>
              <w:top w:type="dxa" w:w="100"/>
              <w:left w:type="dxa" w:w="160"/>
              <w:bottom w:type="dxa" w:w="100"/>
              <w:right w:type="dxa" w:w="160"/>
            </w:tcMar>
          </w:tcPr>
          <w:p>
            <w:r>
              <w:rPr>
                <w:rFonts w:ascii="Calibri" w:cs="Calibri" w:eastAsia="Calibri" w:hAnsi="Calibri"/>
                <w:color w:val="374151"/>
                <w:sz w:val="21"/>
                <w:szCs w:val="21"/>
              </w:rPr>
              <w:t xml:space="preserve">We can demonstrate a measurably higher lead conversion rate than current alternatives within 3 months of deployment at a pilot firm. The pitch is simple: "We pay for ourselves with the first extra case we help you close." High ACV, predictable churn, and an underserved market segment.</w:t>
            </w:r>
          </w:p>
        </w:tc>
      </w:tr>
    </w:tbl>
    <w:p>
      <w:r>
        <w:br w:type="page"/>
      </w:r>
    </w:p>
    <w:p>
      <w:pPr>
        <w:pStyle w:val="Heading1"/>
        <w:pBdr>
          <w:bottom w:val="single" w:color="2563eb" w:sz="6" w:space="6"/>
        </w:pBdr>
        <w:spacing w:before="480" w:after="160"/>
      </w:pPr>
      <w:r>
        <w:rPr>
          <w:rFonts w:ascii="Calibri" w:cs="Calibri" w:eastAsia="Calibri" w:hAnsi="Calibri"/>
          <w:b/>
          <w:bCs/>
          <w:color w:val="1a1a2e"/>
          <w:sz w:val="44"/>
          <w:szCs w:val="44"/>
        </w:rPr>
        <w:t xml:space="preserve">Direction 3: AI Automotive Dealer Service &amp; Recall  ◑  Score: 6.5/10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0d9488" w:sz="16"/>
              <w:bottom w:val="none"/>
              <w:right w:val="none"/>
            </w:tcBorders>
            <w:shd w:fill="f0fdfa" w:val="clear"/>
            <w:tcMar>
              <w:top w:type="dxa" w:w="100"/>
              <w:left w:type="dxa" w:w="160"/>
              <w:bottom w:type="dxa" w:w="100"/>
              <w:right w:type="dxa" w:w="80"/>
            </w:tcMar>
            <w:vAlign w:val="center"/>
          </w:tcPr>
          <w:p>
            <w:r>
              <w:rPr>
                <w:rFonts w:ascii="Calibri" w:cs="Calibri" w:eastAsia="Calibri" w:hAnsi="Calibri"/>
                <w:b/>
                <w:bCs/>
                <w:color w:val="0d9488"/>
                <w:sz w:val="20"/>
                <w:szCs w:val="20"/>
              </w:rPr>
              <w:t xml:space="preserve">Thesis</w:t>
            </w:r>
          </w:p>
        </w:tc>
        <w:tc>
          <w:tcPr>
            <w:tcW w:type="dxa" w:w="7920"/>
            <w:tcBorders>
              <w:top w:val="none"/>
              <w:left w:val="none"/>
              <w:bottom w:val="none"/>
              <w:right w:val="none"/>
            </w:tcBorders>
            <w:shd w:fill="f0fdfa" w:val="clear"/>
            <w:tcMar>
              <w:top w:type="dxa" w:w="100"/>
              <w:left w:type="dxa" w:w="160"/>
              <w:bottom w:type="dxa" w:w="100"/>
              <w:right w:type="dxa" w:w="160"/>
            </w:tcMar>
          </w:tcPr>
          <w:p>
            <w:r>
              <w:rPr>
                <w:rFonts w:ascii="Calibri" w:cs="Calibri" w:eastAsia="Calibri" w:hAnsi="Calibri"/>
                <w:color w:val="374151"/>
                <w:sz w:val="21"/>
                <w:szCs w:val="21"/>
              </w:rPr>
              <w:t xml:space="preserve">AI voice + SMS agents proactively contact customers about open safety recalls and overdue service intervals, turning dormant vehicle data into booked service appointments — without a single BDC agent dialing a number.</w:t>
            </w:r>
          </w:p>
        </w:tc>
      </w:tr>
    </w:tbl>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A. Is the Demand Real?</w:t>
      </w:r>
    </w:p>
    <w:p>
      <w:pPr>
        <w:spacing w:before="60" w:after="140"/>
        <w:jc w:val="left"/>
      </w:pPr>
      <w:r>
        <w:rPr>
          <w:rFonts w:ascii="Calibri" w:cs="Calibri" w:eastAsia="Calibri" w:hAnsi="Calibri"/>
          <w:b/>
          <w:bCs/>
          <w:color w:val="1a1a2e"/>
          <w:sz w:val="22"/>
          <w:szCs w:val="22"/>
        </w:rPr>
        <w:t xml:space="preserve">The scale of the problem is staggering:</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Over 73 million vehicles on US roads have open, unactioned safety recalls as of 2025.</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In 2024 alone, automakers issued recalls covering 27+ million US vehicles.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Q3 2025 saw 96 recall campaigns covering 8.5 million vehicles — the highest quarterly total since Q1 2024.</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50% of dealers have no structured plan to contact customers on their recall manifest list — even though those customers convert at 3× the rate of cold outbound. (STELLA Automotive AI, 2025 survey)</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64% of dealership service managers report being understaffed (Car Dealership Guy, Sep 2025), making human outbound impossible.</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BizzyCar's AI agent achieves a 52% conversion rate on recall outreach — outperforming human BDC agents at a fraction of the cost.</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B. Competitive Landscape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000"/>
        <w:gridCol w:w="1700"/>
        <w:gridCol w:w="2460"/>
      </w:tblGrid>
      <w:tr>
        <w:tc>
          <w:tcPr>
            <w:tcW w:type="dxa" w:w="17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Company</w:t>
            </w:r>
          </w:p>
        </w:tc>
        <w:tc>
          <w:tcPr>
            <w:tcW w:type="dxa" w:w="17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Website</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Funding</w:t>
            </w:r>
          </w:p>
        </w:tc>
        <w:tc>
          <w:tcPr>
            <w:tcW w:type="dxa" w:w="17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Scale</w:t>
            </w:r>
          </w:p>
        </w:tc>
        <w:tc>
          <w:tcPr>
            <w:tcW w:type="dxa" w:w="24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Differentiator</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BizzyCar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bizzycar.com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$15M (Dealer Tire strategic, 2024)</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Growing US network</w:t>
            </w:r>
          </w:p>
        </w:tc>
        <w:tc>
          <w:tcPr>
            <w:tcW w:type="dxa" w:w="2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Direct OEM recall data feed; CDK/Dealertrack DMS integration</w:t>
            </w:r>
          </w:p>
        </w:tc>
      </w:tr>
      <w:tr>
        <w:tc>
          <w:tcPr>
            <w:tcW w:type="dxa" w:w="17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Numa</w:t>
            </w:r>
          </w:p>
        </w:tc>
        <w:tc>
          <w:tcPr>
            <w:tcW w:type="dxa" w:w="17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numa.com</w:t>
            </w:r>
          </w:p>
        </w:tc>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Undisclosed</w:t>
            </w:r>
          </w:p>
        </w:tc>
        <w:tc>
          <w:tcPr>
            <w:tcW w:type="dxa" w:w="17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1,200+ dealerships</w:t>
            </w:r>
          </w:p>
        </w:tc>
        <w:tc>
          <w:tcPr>
            <w:tcW w:type="dxa" w:w="24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AI inbox for all customer communication; recall engine included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STELLA Automotive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stellaautomotive.com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Undisclosed</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3M+ calls in 2024</w:t>
            </w:r>
          </w:p>
        </w:tc>
        <w:tc>
          <w:tcPr>
            <w:tcW w:type="dxa" w:w="2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Inbound + outbound "Catalyst" product; 40% of dealers see ROI in 3 months</w:t>
            </w:r>
          </w:p>
        </w:tc>
      </w:tr>
      <w:tr>
        <w:tc>
          <w:tcPr>
            <w:tcW w:type="dxa" w:w="17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Impel AI</w:t>
            </w:r>
          </w:p>
        </w:tc>
        <w:tc>
          <w:tcPr>
            <w:tcW w:type="dxa" w:w="17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impel.ai</w:t>
            </w:r>
          </w:p>
        </w:tc>
        <w:tc>
          <w:tcPr>
            <w:tcW w:type="dxa" w:w="20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$48M</w:t>
            </w:r>
          </w:p>
        </w:tc>
        <w:tc>
          <w:tcPr>
            <w:tcW w:type="dxa" w:w="17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Large dealership groups</w:t>
            </w:r>
          </w:p>
        </w:tc>
        <w:tc>
          <w:tcPr>
            <w:tcW w:type="dxa" w:w="24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More sales/CRM focused; service is secondary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ea580c" w:sz="16"/>
              <w:bottom w:val="none"/>
              <w:right w:val="none"/>
            </w:tcBorders>
            <w:shd w:fill="fff7ed" w:val="clear"/>
            <w:tcMar>
              <w:top w:type="dxa" w:w="100"/>
              <w:left w:type="dxa" w:w="160"/>
              <w:bottom w:type="dxa" w:w="100"/>
              <w:right w:type="dxa" w:w="80"/>
            </w:tcMar>
            <w:vAlign w:val="center"/>
          </w:tcPr>
          <w:p>
            <w:r>
              <w:rPr>
                <w:rFonts w:ascii="Calibri" w:cs="Calibri" w:eastAsia="Calibri" w:hAnsi="Calibri"/>
                <w:b/>
                <w:bCs/>
                <w:color w:val="ea580c"/>
                <w:sz w:val="20"/>
                <w:szCs w:val="20"/>
              </w:rPr>
              <w:t xml:space="preserve">Entry Barrier Warning</w:t>
            </w:r>
          </w:p>
        </w:tc>
        <w:tc>
          <w:tcPr>
            <w:tcW w:type="dxa" w:w="7920"/>
            <w:tcBorders>
              <w:top w:val="none"/>
              <w:left w:val="none"/>
              <w:bottom w:val="none"/>
              <w:right w:val="none"/>
            </w:tcBorders>
            <w:shd w:fill="fff7ed" w:val="clear"/>
            <w:tcMar>
              <w:top w:type="dxa" w:w="100"/>
              <w:left w:type="dxa" w:w="160"/>
              <w:bottom w:type="dxa" w:w="100"/>
              <w:right w:type="dxa" w:w="160"/>
            </w:tcMar>
          </w:tcPr>
          <w:p>
            <w:r>
              <w:rPr>
                <w:rFonts w:ascii="Calibri" w:cs="Calibri" w:eastAsia="Calibri" w:hAnsi="Calibri"/>
                <w:color w:val="374151"/>
                <w:sz w:val="21"/>
                <w:szCs w:val="21"/>
              </w:rPr>
              <w:t xml:space="preserve">DMS integration (CDK Global, Dealertrack, Tekion) is the single biggest technical moat in this market. BizzyCar spent years building these integrations. Without them, your AI cannot access the vehicle history, appointment calendars, or parts availability data needed to make the outbound call useful. This is a 6–12 month build before you can go to market.</w:t>
            </w:r>
          </w:p>
        </w:tc>
      </w:tr>
    </w:tbl>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C. Willingness to Pay</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Service departments represent 50%+ of dealership gross profit. Every incremental service appointment matters enormously.</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Typical economics: AI generates 50 extra recall appointments/month × $200 average service revenue = $10,000/month incremental revenue. Our monthly fee: $500–$2,000. ROI: 5–20×.</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Dealership owners are pragmatic buyers — they want to see a demo with real numbers, then they sign. Short sales cycles for clearly ROI-positive tools.</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D. Why Now?</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Recall volume is at historic highs — structural demand is increasing, not decreasing.</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86% of vehicles are now out-of-warranty, creating massive urgency for dealers to retain service business they would otherwise lose to independent shops.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CDK/Dealertrack API access has become more available as vendors compete for integrations.</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E. Kill Factors &amp; Risks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960"/>
      </w:tblGrid>
      <w:tr>
        <w:tc>
          <w:tcPr>
            <w:tcW w:type="dxa" w:w="26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Risk</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Severity</w:t>
            </w:r>
          </w:p>
        </w:tc>
        <w:tc>
          <w:tcPr>
            <w:tcW w:type="dxa" w:w="59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Mitigation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DMS integration is a 6–12 month build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HIGH</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Consider a partnership or white-label deal with a smaller DMS provider first, or acquire integration via API intermediaries (e.g., DealerSocket, Tekion).</w:t>
            </w:r>
          </w:p>
        </w:tc>
      </w:tr>
      <w:tr>
        <w:tc>
          <w:tcPr>
            <w:tcW w:type="dxa" w:w="26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BizzyCar has first-mover advantage in US</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HIGH</w:t>
            </w:r>
          </w:p>
        </w:tc>
        <w:tc>
          <w:tcPr>
            <w:tcW w:type="dxa" w:w="5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Explore geographic differentiation: Australia, UK, Canada, Germany all have similar recall problems with no BizzyCar equivalent.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Industry sales cycle (NADA Show driven)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MEDIUM</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Budget for presence at NADA 2027. Dealership buying decisions cluster around industry events.</w:t>
            </w:r>
          </w:p>
        </w:tc>
      </w:tr>
    </w:tbl>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F. Investor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0d9488" w:sz="16"/>
              <w:bottom w:val="none"/>
              <w:right w:val="none"/>
            </w:tcBorders>
            <w:shd w:fill="f0fdfa" w:val="clear"/>
            <w:tcMar>
              <w:top w:type="dxa" w:w="100"/>
              <w:left w:type="dxa" w:w="160"/>
              <w:bottom w:type="dxa" w:w="100"/>
              <w:right w:type="dxa" w:w="80"/>
            </w:tcMar>
            <w:vAlign w:val="center"/>
          </w:tcPr>
          <w:p>
            <w:r>
              <w:rPr>
                <w:rFonts w:ascii="Calibri" w:cs="Calibri" w:eastAsia="Calibri" w:hAnsi="Calibri"/>
                <w:b/>
                <w:bCs/>
                <w:color w:val="0d9488"/>
                <w:sz w:val="20"/>
                <w:szCs w:val="20"/>
              </w:rPr>
              <w:t xml:space="preserve">Conditional:</w:t>
            </w:r>
          </w:p>
        </w:tc>
        <w:tc>
          <w:tcPr>
            <w:tcW w:type="dxa" w:w="7920"/>
            <w:tcBorders>
              <w:top w:val="none"/>
              <w:left w:val="none"/>
              <w:bottom w:val="none"/>
              <w:right w:val="none"/>
            </w:tcBorders>
            <w:shd w:fill="f0fdfa" w:val="clear"/>
            <w:tcMar>
              <w:top w:type="dxa" w:w="100"/>
              <w:left w:type="dxa" w:w="160"/>
              <w:bottom w:type="dxa" w:w="100"/>
              <w:right w:type="dxa" w:w="160"/>
            </w:tcMar>
          </w:tcPr>
          <w:p>
            <w:r>
              <w:rPr>
                <w:rFonts w:ascii="Calibri" w:cs="Calibri" w:eastAsia="Calibri" w:hAnsi="Calibri"/>
                <w:color w:val="374151"/>
                <w:sz w:val="21"/>
                <w:szCs w:val="21"/>
              </w:rPr>
              <w:t xml:space="preserve">Attractive market with proven ROI. However, DMS integration is a genuine technical and time barrier. Best positioned as Direction 3, not 1 or 2. Consider if team has existing automotive industry relationships or can partner with a DMS provider for fast-track integration.</w:t>
            </w:r>
          </w:p>
        </w:tc>
      </w:tr>
    </w:tbl>
    <w:p>
      <w:r>
        <w:br w:type="page"/>
      </w:r>
    </w:p>
    <w:p>
      <w:pPr>
        <w:pStyle w:val="Heading1"/>
        <w:pBdr>
          <w:bottom w:val="single" w:color="2563eb" w:sz="6" w:space="6"/>
        </w:pBdr>
        <w:spacing w:before="480" w:after="160"/>
      </w:pPr>
      <w:r>
        <w:rPr>
          <w:rFonts w:ascii="Calibri" w:cs="Calibri" w:eastAsia="Calibri" w:hAnsi="Calibri"/>
          <w:b/>
          <w:bCs/>
          <w:color w:val="1a1a2e"/>
          <w:sz w:val="44"/>
          <w:szCs w:val="44"/>
        </w:rPr>
        <w:t xml:space="preserve">Direction 4: AI Financial Compliance Call  ◑  Score: 5.5/10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0d9488" w:sz="16"/>
              <w:bottom w:val="none"/>
              <w:right w:val="none"/>
            </w:tcBorders>
            <w:shd w:fill="f0fdfa" w:val="clear"/>
            <w:tcMar>
              <w:top w:type="dxa" w:w="100"/>
              <w:left w:type="dxa" w:w="160"/>
              <w:bottom w:type="dxa" w:w="100"/>
              <w:right w:type="dxa" w:w="80"/>
            </w:tcMar>
            <w:vAlign w:val="center"/>
          </w:tcPr>
          <w:p>
            <w:r>
              <w:rPr>
                <w:rFonts w:ascii="Calibri" w:cs="Calibri" w:eastAsia="Calibri" w:hAnsi="Calibri"/>
                <w:b/>
                <w:bCs/>
                <w:color w:val="0d9488"/>
                <w:sz w:val="20"/>
                <w:szCs w:val="20"/>
              </w:rPr>
              <w:t xml:space="preserve">Thesis</w:t>
            </w:r>
          </w:p>
        </w:tc>
        <w:tc>
          <w:tcPr>
            <w:tcW w:type="dxa" w:w="7920"/>
            <w:tcBorders>
              <w:top w:val="none"/>
              <w:left w:val="none"/>
              <w:bottom w:val="none"/>
              <w:right w:val="none"/>
            </w:tcBorders>
            <w:shd w:fill="f0fdfa" w:val="clear"/>
            <w:tcMar>
              <w:top w:type="dxa" w:w="100"/>
              <w:left w:type="dxa" w:w="160"/>
              <w:bottom w:type="dxa" w:w="100"/>
              <w:right w:type="dxa" w:w="160"/>
            </w:tcMar>
          </w:tcPr>
          <w:p>
            <w:r>
              <w:rPr>
                <w:rFonts w:ascii="Calibri" w:cs="Calibri" w:eastAsia="Calibri" w:hAnsi="Calibri"/>
                <w:color w:val="374151"/>
                <w:sz w:val="21"/>
                <w:szCs w:val="21"/>
              </w:rPr>
              <w:t xml:space="preserve">AI voice agents conduct mandatory post-sale compliance callbacks for financial advisors and insurance brokers — confirming the client understood what they purchased. Regulators (FCA, ASIC, MAS, FINRA) require this. Human compliance teams are expensive and inconsistent. AI solves both problems.</w:t>
            </w:r>
          </w:p>
        </w:tc>
      </w:tr>
    </w:tbl>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A. Is the Demand Real?</w:t>
      </w:r>
    </w:p>
    <w:p>
      <w:pPr>
        <w:spacing w:before="60" w:after="140"/>
        <w:jc w:val="left"/>
      </w:pPr>
      <w:r>
        <w:rPr>
          <w:rFonts w:ascii="Calibri" w:cs="Calibri" w:eastAsia="Calibri" w:hAnsi="Calibri"/>
          <w:b/>
          <w:bCs/>
          <w:color w:val="1a1a2e"/>
          <w:sz w:val="22"/>
          <w:szCs w:val="22"/>
        </w:rPr>
        <w:t xml:space="preserve">The need is regulatory — not optional:</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UK FCA: Requires insurers to conduct annual renewal reviews confirming client understanding and suitability.</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Australia ASIC: Financial advisors must conduct annual suitability reviews (Best Interests Duty, 2019 legislation).</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Singapore MAS: Product suitability framework requires documented client acknowledgment of understood risks.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US FINRA: Suitability review requirements for complex financial products.</w:t>
      </w:r>
    </w:p>
    <w:p>
      <w:pPr>
        <w:spacing w:before="60" w:after="140"/>
        <w:jc w:val="left"/>
      </w:pPr>
      <w:r>
        <w:rPr>
          <w:rFonts w:ascii="Calibri" w:cs="Calibri" w:eastAsia="Calibri" w:hAnsi="Calibri"/>
          <w:color w:val="374151"/>
          <w:sz w:val="22"/>
          <w:szCs w:val="22"/>
        </w:rPr>
        <w:t xml:space="preserve">These are not "nice to have" calls — they are </w:t>
      </w:r>
      <w:r>
        <w:rPr>
          <w:rFonts w:ascii="Calibri" w:cs="Calibri" w:eastAsia="Calibri" w:hAnsi="Calibri"/>
          <w:b/>
          <w:bCs/>
          <w:color w:val="1a1a2e"/>
          <w:sz w:val="22"/>
          <w:szCs w:val="22"/>
        </w:rPr>
        <w:t xml:space="preserve">legally mandated</w:t>
      </w:r>
      <w:r>
        <w:rPr>
          <w:rFonts w:ascii="Calibri" w:cs="Calibri" w:eastAsia="Calibri" w:hAnsi="Calibri"/>
          <w:color w:val="374151"/>
          <w:sz w:val="22"/>
          <w:szCs w:val="22"/>
        </w:rPr>
        <w:t xml:space="preserve">. Firms that fail compliance callbacks face regulatory fines, license revocations, and investor lawsuits. The pain is existential, not incremental.</w:t>
      </w:r>
    </w:p>
    <w:p>
      <w:pPr>
        <w:spacing w:before="60" w:after="140"/>
        <w:jc w:val="left"/>
      </w:pPr>
      <w:r>
        <w:rPr>
          <w:rFonts w:ascii="Calibri" w:cs="Calibri" w:eastAsia="Calibri" w:hAnsi="Calibri"/>
          <w:b/>
          <w:bCs/>
          <w:color w:val="1a1a2e"/>
          <w:sz w:val="22"/>
          <w:szCs w:val="22"/>
        </w:rPr>
        <w:t xml:space="preserve">What we could not verify: </w:t>
      </w:r>
      <w:r>
        <w:rPr>
          <w:rFonts w:ascii="Calibri" w:cs="Calibri" w:eastAsia="Calibri" w:hAnsi="Calibri"/>
          <w:color w:val="374151"/>
          <w:sz w:val="22"/>
          <w:szCs w:val="22"/>
        </w:rPr>
        <w:t xml:space="preserve">We could not find published Reddit/forum complaints from compliance officers about this specific pain point. This may indicate the need is handled quietly through BPO outsourcing — which is both the risk (hidden demand) and the opportunity (no incumbent software solution exists).</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B. Competitive Landscape</w:t>
      </w:r>
    </w:p>
    <w:p>
      <w:pPr>
        <w:spacing w:before="60" w:after="140"/>
        <w:jc w:val="left"/>
      </w:pPr>
      <w:r>
        <w:rPr>
          <w:rFonts w:ascii="Calibri" w:cs="Calibri" w:eastAsia="Calibri" w:hAnsi="Calibri"/>
          <w:b/>
          <w:bCs/>
          <w:color w:val="1a1a2e"/>
          <w:sz w:val="22"/>
          <w:szCs w:val="22"/>
        </w:rPr>
        <w:t xml:space="preserve">This is the closest to a genuine blue ocean among all nine verticals evaluated.</w:t>
      </w:r>
    </w:p>
    <w:p>
      <w:pPr>
        <w:spacing w:before="60" w:after="140"/>
        <w:jc w:val="left"/>
      </w:pPr>
      <w:r>
        <w:rPr>
          <w:rFonts w:ascii="Calibri" w:cs="Calibri" w:eastAsia="Calibri" w:hAnsi="Calibri"/>
          <w:color w:val="374151"/>
          <w:sz w:val="22"/>
          <w:szCs w:val="22"/>
        </w:rPr>
        <w:t xml:space="preserve">We searched "AI compliance callback financial services startup", "suitability review automation", and "insurance compliance voice AI" — and found </w:t>
      </w:r>
      <w:r>
        <w:rPr>
          <w:rFonts w:ascii="Calibri" w:cs="Calibri" w:eastAsia="Calibri" w:hAnsi="Calibri"/>
          <w:b/>
          <w:bCs/>
          <w:color w:val="1a1a2e"/>
          <w:sz w:val="22"/>
          <w:szCs w:val="22"/>
        </w:rPr>
        <w:t xml:space="preserve">no dedicated startup</w:t>
      </w:r>
      <w:r>
        <w:rPr>
          <w:rFonts w:ascii="Calibri" w:cs="Calibri" w:eastAsia="Calibri" w:hAnsi="Calibri"/>
          <w:color w:val="374151"/>
          <w:sz w:val="22"/>
          <w:szCs w:val="22"/>
        </w:rPr>
        <w:t xml:space="preserve"> in this space. Existing players are:</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Behavox: Monitors internal employee calls for compliance violations — NOT customer-facing callbacks.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NICE Actimize: Enterprise compliance recording and analytics — NOT AI-powered callbacks.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FurtherAI: AI for insurance underwriting/claims workflow automation — NOT voice callbacks.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Generic BPO firms: Human call centers doing compliance calls at $15–$25/call.</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C. Willingness to Pay</w:t>
      </w:r>
    </w:p>
    <w:p>
      <w:pPr>
        <w:spacing w:before="60" w:after="140"/>
        <w:jc w:val="left"/>
      </w:pPr>
      <w:r>
        <w:rPr>
          <w:rFonts w:ascii="Calibri" w:cs="Calibri" w:eastAsia="Calibri" w:hAnsi="Calibri"/>
          <w:b/>
          <w:bCs/>
          <w:color w:val="1a1a2e"/>
          <w:sz w:val="22"/>
          <w:szCs w:val="22"/>
        </w:rPr>
        <w:t xml:space="preserve">Target customer: </w:t>
      </w:r>
      <w:r>
        <w:rPr>
          <w:rFonts w:ascii="Calibri" w:cs="Calibri" w:eastAsia="Calibri" w:hAnsi="Calibri"/>
          <w:color w:val="374151"/>
          <w:sz w:val="22"/>
          <w:szCs w:val="22"/>
        </w:rPr>
        <w:t xml:space="preserve">Mid-size financial advisory groups (20–200 advisors), insurance companies (regional/national), wealth management firms. Compliance departments at these firms have dedicated budgets.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BPO current cost: $15–$25 per human compliance call</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AI cost: $0.50–$2 per call</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 500-advisor firm doing 5,000 compliance calls/year saves $65,000–$115,000 annually</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ACV potential: $20,000–$100,000/year per enterprise client</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D. Why Now?</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TCPA exemption exists for calls with an "established business relationship" — compliance callbacks to existing clients face lower regulatory exposure than cold outreach.</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Consent is typically captured in the original product purchase agreement — no new consent infrastructure needed.</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The February 2024 FCC ruling clarified AI voice is legal with proper consent and disclosure. Compliance callbacks with existing clients fit this framework cleanly.</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E. Kill Factors &amp; Risks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Risk</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Severity</w:t>
            </w:r>
          </w:p>
        </w:tc>
        <w:tc>
          <w:tcPr>
            <w:tcW w:type="dxa" w:w="55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Mitigation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Legal/compliance review cycle (6–18 months)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HIGH</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Pilot with a single friendly firm; get their legal team to approve scripts and audit framework before scaling.</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AI error in regulated context = major liability</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HIGH</w:t>
            </w:r>
          </w:p>
        </w:tc>
        <w:tc>
          <w:tcPr>
            <w:tcW w:type="dxa" w:w="55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AI says something wrong about a financial product → client complaint → regulatory action. 100% script control + human review of all edge cases.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Large institutions prefer to self-build or use Salesforce/Genesys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MEDIUM</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Target mid-market (20–200 advisor firms); they cannot self-build and cannot afford enterprise platforms.</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Hidden demand — market may be smaller than assumed</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MEDIUM</w:t>
            </w:r>
          </w:p>
        </w:tc>
        <w:tc>
          <w:tcPr>
            <w:tcW w:type="dxa" w:w="55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Must validate with 10 compliance officer interviews before building. If none express pain, reconsider.</w:t>
            </w:r>
          </w:p>
        </w:tc>
      </w:tr>
    </w:tbl>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F. Investor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fbbf24" w:sz="16"/>
              <w:bottom w:val="none"/>
              <w:right w:val="none"/>
            </w:tcBorders>
            <w:shd w:fill="fefce8" w:val="clear"/>
            <w:tcMar>
              <w:top w:type="dxa" w:w="100"/>
              <w:left w:type="dxa" w:w="160"/>
              <w:bottom w:type="dxa" w:w="100"/>
              <w:right w:type="dxa" w:w="80"/>
            </w:tcMar>
            <w:vAlign w:val="center"/>
          </w:tcPr>
          <w:p>
            <w:r>
              <w:rPr>
                <w:rFonts w:ascii="Calibri" w:cs="Calibri" w:eastAsia="Calibri" w:hAnsi="Calibri"/>
                <w:b/>
                <w:bCs/>
                <w:color w:val="fbbf24"/>
                <w:sz w:val="20"/>
                <w:szCs w:val="20"/>
              </w:rPr>
              <w:t xml:space="preserve">Validate first:</w:t>
            </w:r>
          </w:p>
        </w:tc>
        <w:tc>
          <w:tcPr>
            <w:tcW w:type="dxa" w:w="7920"/>
            <w:tcBorders>
              <w:top w:val="none"/>
              <w:left w:val="none"/>
              <w:bottom w:val="none"/>
              <w:right w:val="none"/>
            </w:tcBorders>
            <w:shd w:fill="fefce8" w:val="clear"/>
            <w:tcMar>
              <w:top w:type="dxa" w:w="100"/>
              <w:left w:type="dxa" w:w="160"/>
              <w:bottom w:type="dxa" w:w="100"/>
              <w:right w:type="dxa" w:w="160"/>
            </w:tcMar>
          </w:tcPr>
          <w:p>
            <w:r>
              <w:rPr>
                <w:rFonts w:ascii="Calibri" w:cs="Calibri" w:eastAsia="Calibri" w:hAnsi="Calibri"/>
                <w:color w:val="374151"/>
                <w:sz w:val="21"/>
                <w:szCs w:val="21"/>
              </w:rPr>
              <w:t xml:space="preserve">High ACV if it works. But demand validation through customer interviews is required before investment. Recommended: conduct 10 discovery calls with compliance officers at insurance companies or wealth management firms in the UK or Australia (where regulations are clearest) before committing development resources.</w:t>
            </w:r>
          </w:p>
        </w:tc>
      </w:tr>
    </w:tbl>
    <w:p>
      <w:r>
        <w:br w:type="page"/>
      </w:r>
    </w:p>
    <w:p>
      <w:pPr>
        <w:pStyle w:val="Heading1"/>
        <w:pBdr>
          <w:bottom w:val="single" w:color="2563eb" w:sz="6" w:space="6"/>
        </w:pBdr>
        <w:spacing w:before="480" w:after="160"/>
      </w:pPr>
      <w:r>
        <w:rPr>
          <w:rFonts w:ascii="Calibri" w:cs="Calibri" w:eastAsia="Calibri" w:hAnsi="Calibri"/>
          <w:b/>
          <w:bCs/>
          <w:color w:val="1a1a2e"/>
          <w:sz w:val="44"/>
          <w:szCs w:val="44"/>
        </w:rPr>
        <w:t xml:space="preserve">Direction 5: AI Mystery Shopping (Customer Service Quality Audit)  ◑  Score: 5.5/10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0d9488" w:sz="16"/>
              <w:bottom w:val="none"/>
              <w:right w:val="none"/>
            </w:tcBorders>
            <w:shd w:fill="f0fdfa" w:val="clear"/>
            <w:tcMar>
              <w:top w:type="dxa" w:w="100"/>
              <w:left w:type="dxa" w:w="160"/>
              <w:bottom w:type="dxa" w:w="100"/>
              <w:right w:type="dxa" w:w="80"/>
            </w:tcMar>
            <w:vAlign w:val="center"/>
          </w:tcPr>
          <w:p>
            <w:r>
              <w:rPr>
                <w:rFonts w:ascii="Calibri" w:cs="Calibri" w:eastAsia="Calibri" w:hAnsi="Calibri"/>
                <w:b/>
                <w:bCs/>
                <w:color w:val="0d9488"/>
                <w:sz w:val="20"/>
                <w:szCs w:val="20"/>
              </w:rPr>
              <w:t xml:space="preserve">Thesis</w:t>
            </w:r>
          </w:p>
        </w:tc>
        <w:tc>
          <w:tcPr>
            <w:tcW w:type="dxa" w:w="7920"/>
            <w:tcBorders>
              <w:top w:val="none"/>
              <w:left w:val="none"/>
              <w:bottom w:val="none"/>
              <w:right w:val="none"/>
            </w:tcBorders>
            <w:shd w:fill="f0fdfa" w:val="clear"/>
            <w:tcMar>
              <w:top w:type="dxa" w:w="100"/>
              <w:left w:type="dxa" w:w="160"/>
              <w:bottom w:type="dxa" w:w="100"/>
              <w:right w:type="dxa" w:w="160"/>
            </w:tcMar>
          </w:tcPr>
          <w:p>
            <w:r>
              <w:rPr>
                <w:rFonts w:ascii="Calibri" w:cs="Calibri" w:eastAsia="Calibri" w:hAnsi="Calibri"/>
                <w:color w:val="374151"/>
                <w:sz w:val="21"/>
                <w:szCs w:val="21"/>
              </w:rPr>
              <w:t xml:space="preserve">AI places calls to enterprise customer service centers, pretending to be a real customer, then evaluates agent performance against a scoring rubric — delivering consistent, scalable, affordable quality audits. Traditional mystery shopping costs $20,000–$100,000/year per client. AI makes it $500–$3,000/month.</w:t>
            </w:r>
          </w:p>
        </w:tc>
      </w:tr>
    </w:tbl>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A. Is the Demand Real?</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Global mystery shopping services market: $2.31B in 2025, growing to $3.61B by 2034 at 5.12% CAGR.</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Over 90% of unhappy customers simply leave without complaining — mystery shopping is the only way to surface the problem before it becomes churn.</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Customer experience has become the primary competitive battleground across retail, banking, hospitality, and auto dealerships. Executives now have compensation tied to CX scores.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Traditional phone mystery shopping: $30–$100/call. For a brand with 200 locations doing monthly audits, this is $72,000–$240,000/year. AI compresses this to $5–$10/call.</w:t>
      </w:r>
    </w:p>
    <w:p>
      <w:pPr>
        <w:spacing w:before="60" w:after="140"/>
        <w:jc w:val="left"/>
      </w:pPr>
      <w:r>
        <w:rPr>
          <w:rFonts w:ascii="Calibri" w:cs="Calibri" w:eastAsia="Calibri" w:hAnsi="Calibri"/>
          <w:b/>
          <w:bCs/>
          <w:color w:val="1a1a2e"/>
          <w:sz w:val="22"/>
          <w:szCs w:val="22"/>
        </w:rPr>
        <w:t xml:space="preserve">What we could not find: </w:t>
      </w:r>
      <w:r>
        <w:rPr>
          <w:rFonts w:ascii="Calibri" w:cs="Calibri" w:eastAsia="Calibri" w:hAnsi="Calibri"/>
          <w:color w:val="374151"/>
          <w:sz w:val="22"/>
          <w:szCs w:val="22"/>
        </w:rPr>
        <w:t xml:space="preserve">No Reddit threads or open forums with customer service managers actively complaining about the cost of mystery shopping programs. This suggests the pain exists but is handled by procurement/CX teams who are less vocal online. It is B2B procurement pain, not consumer pain.</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B. Competitive Landscape</w:t>
      </w:r>
    </w:p>
    <w:p>
      <w:pPr>
        <w:spacing w:before="60" w:after="140"/>
        <w:jc w:val="left"/>
      </w:pPr>
      <w:r>
        <w:rPr>
          <w:rFonts w:ascii="Calibri" w:cs="Calibri" w:eastAsia="Calibri" w:hAnsi="Calibri"/>
          <w:b/>
          <w:bCs/>
          <w:color w:val="1a1a2e"/>
          <w:sz w:val="22"/>
          <w:szCs w:val="22"/>
        </w:rPr>
        <w:t xml:space="preserve">This is the second-most-open market we evaluated:</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CallCenterQA.org: Traditional human telephone mystery shopping. No AI.</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Observe.AI, Scorebuddy, MaestroQA: Analyze REAL customer service calls for QA — passive monitoring, not active testing.</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No funded startup found that does AI-initiated outbound mystery shopping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2563eb" w:sz="16"/>
              <w:bottom w:val="none"/>
              <w:right w:val="none"/>
            </w:tcBorders>
            <w:shd w:fill="eff6ff" w:val="clear"/>
            <w:tcMar>
              <w:top w:type="dxa" w:w="100"/>
              <w:left w:type="dxa" w:w="160"/>
              <w:bottom w:type="dxa" w:w="100"/>
              <w:right w:type="dxa" w:w="80"/>
            </w:tcMar>
            <w:vAlign w:val="center"/>
          </w:tcPr>
          <w:p>
            <w:r>
              <w:rPr>
                <w:rFonts w:ascii="Calibri" w:cs="Calibri" w:eastAsia="Calibri" w:hAnsi="Calibri"/>
                <w:b/>
                <w:bCs/>
                <w:color w:val="2563eb"/>
                <w:sz w:val="20"/>
                <w:szCs w:val="20"/>
              </w:rPr>
              <w:t xml:space="preserve">Key Distinction</w:t>
            </w:r>
          </w:p>
        </w:tc>
        <w:tc>
          <w:tcPr>
            <w:tcW w:type="dxa" w:w="7920"/>
            <w:tcBorders>
              <w:top w:val="none"/>
              <w:left w:val="none"/>
              <w:bottom w:val="none"/>
              <w:right w:val="none"/>
            </w:tcBorders>
            <w:shd w:fill="eff6ff" w:val="clear"/>
            <w:tcMar>
              <w:top w:type="dxa" w:w="100"/>
              <w:left w:type="dxa" w:w="160"/>
              <w:bottom w:type="dxa" w:w="100"/>
              <w:right w:type="dxa" w:w="160"/>
            </w:tcMar>
          </w:tcPr>
          <w:p>
            <w:r>
              <w:rPr>
                <w:rFonts w:ascii="Calibri" w:cs="Calibri" w:eastAsia="Calibri" w:hAnsi="Calibri"/>
                <w:color w:val="374151"/>
                <w:sz w:val="21"/>
                <w:szCs w:val="21"/>
              </w:rPr>
              <w:t xml:space="preserve">Existing QA tools analyze real calls (reactive). Our product would CREATE fake test calls (proactive). This is a different product category — and a legal gray area that requires careful navigation.</w:t>
            </w:r>
          </w:p>
        </w:tc>
      </w:tr>
    </w:tbl>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C. Willingness to Pay</w:t>
      </w:r>
    </w:p>
    <w:p>
      <w:pPr>
        <w:spacing w:before="60" w:after="140"/>
        <w:jc w:val="left"/>
      </w:pPr>
      <w:r>
        <w:rPr>
          <w:rFonts w:ascii="Calibri" w:cs="Calibri" w:eastAsia="Calibri" w:hAnsi="Calibri"/>
          <w:b/>
          <w:bCs/>
          <w:color w:val="1a1a2e"/>
          <w:sz w:val="22"/>
          <w:szCs w:val="22"/>
        </w:rPr>
        <w:t xml:space="preserve">Target customer: </w:t>
      </w:r>
      <w:r>
        <w:rPr>
          <w:rFonts w:ascii="Calibri" w:cs="Calibri" w:eastAsia="Calibri" w:hAnsi="Calibri"/>
          <w:color w:val="374151"/>
          <w:sz w:val="22"/>
          <w:szCs w:val="22"/>
        </w:rPr>
        <w:t xml:space="preserve">CX Directors or VP Operations at multi-location brands — chain restaurants, banks, telecom companies, auto groups, insurance companies. Budget typically sits within CX/Operations, not IT.</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Price anchor: Traditional mystery shopping programs cost $10,000–$150,000/year. AI version at $500–$3,000/month ($6,000–$36,000/year) is an easy win.</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Value proposition: 10× the test frequency, 100% consistent scoring, instant results vs. 2-week turnaround.</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D. Why Now?</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ElevenLabs-quality voice AI can now pass as a real caller — earlier TTS sounded artificial, which tipped off agents and made results invalid.</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GPT-4o can handle unscripted conversations, follow-up questions, and objections naturally, making test scenarios realistic.</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E. Kill Factors &amp; Risks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Risk</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Severity</w:t>
            </w:r>
          </w:p>
        </w:tc>
        <w:tc>
          <w:tcPr>
            <w:tcW w:type="dxa" w:w="55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Mitigation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Legal: AI impersonating a customer without disclosure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HIGH</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Consult an attorney on jurisdiction-by-jurisdiction legality. In many B2B contexts, companies consent to quality auditing in service contracts. Structure as an "authorized audit service" rather than deceptive testing.</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TCPA: Calling business customer service lines</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LOW-MED</w:t>
            </w:r>
          </w:p>
        </w:tc>
        <w:tc>
          <w:tcPr>
            <w:tcW w:type="dxa" w:w="55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Most customer service numbers are business lines, not residential — lower TCPA risk. However, if agents use personal mobile numbers, risk increases.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Long sales cycles (enterprise CX procurement)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MEDIUM</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Avg 3–6 month enterprise sales cycle. Need 6+ months runway before first significant revenue.</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CX trends moving toward video/in-person</w:t>
            </w:r>
          </w:p>
        </w:tc>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LOW</w:t>
            </w:r>
          </w:p>
        </w:tc>
        <w:tc>
          <w:tcPr>
            <w:tcW w:type="dxa" w:w="55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Phone remains dominant in banking, insurance, and healthcare — the highest-value target segments.</w:t>
            </w:r>
          </w:p>
        </w:tc>
      </w:tr>
    </w:tbl>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F. Investor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fbbf24" w:sz="16"/>
              <w:bottom w:val="none"/>
              <w:right w:val="none"/>
            </w:tcBorders>
            <w:shd w:fill="fefce8" w:val="clear"/>
            <w:tcMar>
              <w:top w:type="dxa" w:w="100"/>
              <w:left w:type="dxa" w:w="160"/>
              <w:bottom w:type="dxa" w:w="100"/>
              <w:right w:type="dxa" w:w="80"/>
            </w:tcMar>
            <w:vAlign w:val="center"/>
          </w:tcPr>
          <w:p>
            <w:r>
              <w:rPr>
                <w:rFonts w:ascii="Calibri" w:cs="Calibri" w:eastAsia="Calibri" w:hAnsi="Calibri"/>
                <w:b/>
                <w:bCs/>
                <w:color w:val="fbbf24"/>
                <w:sz w:val="20"/>
                <w:szCs w:val="20"/>
              </w:rPr>
              <w:t xml:space="preserve">Interesting but validate legality first:</w:t>
            </w:r>
          </w:p>
        </w:tc>
        <w:tc>
          <w:tcPr>
            <w:tcW w:type="dxa" w:w="7920"/>
            <w:tcBorders>
              <w:top w:val="none"/>
              <w:left w:val="none"/>
              <w:bottom w:val="none"/>
              <w:right w:val="none"/>
            </w:tcBorders>
            <w:shd w:fill="fefce8" w:val="clear"/>
            <w:tcMar>
              <w:top w:type="dxa" w:w="100"/>
              <w:left w:type="dxa" w:w="160"/>
              <w:bottom w:type="dxa" w:w="100"/>
              <w:right w:type="dxa" w:w="160"/>
            </w:tcMar>
          </w:tcPr>
          <w:p>
            <w:r>
              <w:rPr>
                <w:rFonts w:ascii="Calibri" w:cs="Calibri" w:eastAsia="Calibri" w:hAnsi="Calibri"/>
                <w:color w:val="374151"/>
                <w:sz w:val="21"/>
                <w:szCs w:val="21"/>
              </w:rPr>
              <w:t xml:space="preserve">The core value proposition is clear. Get a legal opinion on the AI impersonation question in your target markets before building. If the legal path is clear, this is a differentiated, high-margin B2B SaaS opportunity with almost no direct competition.</w:t>
            </w:r>
          </w:p>
        </w:tc>
      </w:tr>
    </w:tbl>
    <w:p>
      <w:r>
        <w:br w:type="page"/>
      </w:r>
    </w:p>
    <w:p>
      <w:pPr>
        <w:pStyle w:val="Heading1"/>
        <w:pBdr>
          <w:bottom w:val="single" w:color="2563eb" w:sz="6" w:space="6"/>
        </w:pBdr>
        <w:spacing w:before="480" w:after="160"/>
      </w:pPr>
      <w:r>
        <w:rPr>
          <w:rFonts w:ascii="Calibri" w:cs="Calibri" w:eastAsia="Calibri" w:hAnsi="Calibri"/>
          <w:b/>
          <w:bCs/>
          <w:color w:val="1a1a2e"/>
          <w:sz w:val="44"/>
          <w:szCs w:val="44"/>
        </w:rPr>
        <w:t xml:space="preserve">Direction 6: AI Supplier Check-In  ○  Score: 5.0/10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475569" w:sz="16"/>
              <w:bottom w:val="none"/>
              <w:right w:val="none"/>
            </w:tcBorders>
            <w:shd w:fill="f8fafc" w:val="clear"/>
            <w:tcMar>
              <w:top w:type="dxa" w:w="100"/>
              <w:left w:type="dxa" w:w="160"/>
              <w:bottom w:type="dxa" w:w="100"/>
              <w:right w:type="dxa" w:w="80"/>
            </w:tcMar>
            <w:vAlign w:val="center"/>
          </w:tcPr>
          <w:p>
            <w:r>
              <w:rPr>
                <w:rFonts w:ascii="Calibri" w:cs="Calibri" w:eastAsia="Calibri" w:hAnsi="Calibri"/>
                <w:b/>
                <w:bCs/>
                <w:color w:val="475569"/>
                <w:sz w:val="20"/>
                <w:szCs w:val="20"/>
              </w:rPr>
              <w:t xml:space="preserve">Thesis</w:t>
            </w:r>
          </w:p>
        </w:tc>
        <w:tc>
          <w:tcPr>
            <w:tcW w:type="dxa" w:w="7920"/>
            <w:tcBorders>
              <w:top w:val="none"/>
              <w:left w:val="none"/>
              <w:bottom w:val="none"/>
              <w:right w:val="none"/>
            </w:tcBorders>
            <w:shd w:fill="f8fafc" w:val="clear"/>
            <w:tcMar>
              <w:top w:type="dxa" w:w="100"/>
              <w:left w:type="dxa" w:w="160"/>
              <w:bottom w:type="dxa" w:w="100"/>
              <w:right w:type="dxa" w:w="160"/>
            </w:tcMar>
          </w:tcPr>
          <w:p>
            <w:r>
              <w:rPr>
                <w:rFonts w:ascii="Calibri" w:cs="Calibri" w:eastAsia="Calibri" w:hAnsi="Calibri"/>
                <w:color w:val="374151"/>
                <w:sz w:val="21"/>
                <w:szCs w:val="21"/>
              </w:rPr>
              <w:t xml:space="preserve">AI contacts suppliers weekly via WhatsApp, email, or phone to confirm delivery timelines, flag delays, and update the procurement team automatically — replacing the 3–5 hours per week an operations manager currently spends on manual supplier follow-up calls.</w:t>
            </w:r>
          </w:p>
        </w:tc>
      </w:tr>
    </w:tbl>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A. Is the Demand Real?</w:t>
      </w:r>
    </w:p>
    <w:p>
      <w:pPr>
        <w:spacing w:before="60" w:after="140"/>
        <w:jc w:val="left"/>
      </w:pPr>
      <w:r>
        <w:rPr>
          <w:rFonts w:ascii="Calibri" w:cs="Calibri" w:eastAsia="Calibri" w:hAnsi="Calibri"/>
          <w:color w:val="374151"/>
          <w:sz w:val="22"/>
          <w:szCs w:val="22"/>
        </w:rPr>
        <w:t xml:space="preserve">The pain is real at the SMB manufacturing and retail level, but harder to quantify than other verticals: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94% of procurement executives now use generative AI at least weekly (AI at Wharton, 2024) — indicating the function is actively adopting technology.</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Only 4% of procurement teams have achieved large-scale AI deployment despite 49% running pilots — indicating a gap between intent and execution.</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However, the dominant AI procurement use cases are document analysis, RFP generation, and spend analytics — NOT proactive voice/WhatsApp supplier check-ins.</w:t>
      </w:r>
    </w:p>
    <w:p>
      <w:pPr>
        <w:spacing w:before="60" w:after="140"/>
        <w:jc w:val="left"/>
      </w:pPr>
      <w:r>
        <w:rPr>
          <w:rFonts w:ascii="Calibri" w:cs="Calibri" w:eastAsia="Calibri" w:hAnsi="Calibri"/>
          <w:b/>
          <w:bCs/>
          <w:color w:val="1a1a2e"/>
          <w:sz w:val="22"/>
          <w:szCs w:val="22"/>
        </w:rPr>
        <w:t xml:space="preserve">Honest assessment: </w:t>
      </w:r>
      <w:r>
        <w:rPr>
          <w:rFonts w:ascii="Calibri" w:cs="Calibri" w:eastAsia="Calibri" w:hAnsi="Calibri"/>
          <w:color w:val="374151"/>
          <w:sz w:val="22"/>
          <w:szCs w:val="22"/>
        </w:rPr>
        <w:t xml:space="preserve">We could not find Reddit or Quora discussions of procurement managers specifically complaining about needing to call suppliers. This is a genuine uncertainty — the pain might exist but be under-expressed, or it might be "nice to have" rather than a burning problem.</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B. Competitive Landscape</w:t>
      </w:r>
    </w:p>
    <w:p>
      <w:pPr>
        <w:spacing w:before="60" w:after="140"/>
        <w:jc w:val="left"/>
      </w:pPr>
      <w:r>
        <w:rPr>
          <w:rFonts w:ascii="Calibri" w:cs="Calibri" w:eastAsia="Calibri" w:hAnsi="Calibri"/>
          <w:color w:val="374151"/>
          <w:sz w:val="22"/>
          <w:szCs w:val="22"/>
        </w:rPr>
        <w:t xml:space="preserve">This is the most open market of all nine directions. There is </w:t>
      </w:r>
      <w:r>
        <w:rPr>
          <w:rFonts w:ascii="Calibri" w:cs="Calibri" w:eastAsia="Calibri" w:hAnsi="Calibri"/>
          <w:b/>
          <w:bCs/>
          <w:color w:val="1a1a2e"/>
          <w:sz w:val="22"/>
          <w:szCs w:val="22"/>
        </w:rPr>
        <w:t xml:space="preserve">no funded startup</w:t>
      </w:r>
      <w:r>
        <w:rPr>
          <w:rFonts w:ascii="Calibri" w:cs="Calibri" w:eastAsia="Calibri" w:hAnsi="Calibri"/>
          <w:color w:val="374151"/>
          <w:sz w:val="22"/>
          <w:szCs w:val="22"/>
        </w:rPr>
        <w:t xml:space="preserve"> focused specifically on AI voice/WhatsApp outbound supplier check-ins. The closest tools (SAP Joule, Turian, LightSource, Procure AI) address procurement automation for large enterprises via ERP integration — not conversational outreach to suppliers.</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C. Willingness to Pay</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Target: Operations manager or procurement lead at a 20–200 person manufacturer or distributor with 30–150 active suppliers.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Current solution: Manual calls/emails consuming 3–5 hours/week = $3,000–$6,000/month in staff time at $50/hour</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Our price: $200–$600/month — attractive on paper.</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Key risk: Procurement managers may not feel the pain acutely enough to change behavior or add a new tool subscription. Needs validation.</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D. E. Why Now &amp; Kill Factors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B2B context lowers TCPA risk significantly — suppliers are commercial entities, not consumers.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WhatsApp Business API is now mature and widely adopted for B2B supply chain communication in Asia, MENA, and LATAM.</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KILL FACTOR: Supplier acceptance. Suppliers in China, Bangladesh, Vietnam receiving an AI call asking about delivery dates may simply hang up. The value is only created if the supplier responds — which requires them to trust the channel.</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KILL FACTOR: Requires ERP/ordering system integration to know which suppliers to call and what to ask. Without this, the product cannot function autonomously.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left w:val="thick" w:color="6b7280" w:sz="16"/>
              <w:bottom w:val="none"/>
              <w:right w:val="none"/>
            </w:tcBorders>
            <w:shd w:fill="f9fafb" w:val="clear"/>
            <w:tcMar>
              <w:top w:type="dxa" w:w="100"/>
              <w:left w:type="dxa" w:w="160"/>
              <w:bottom w:type="dxa" w:w="100"/>
              <w:right w:type="dxa" w:w="80"/>
            </w:tcMar>
            <w:vAlign w:val="center"/>
          </w:tcPr>
          <w:p>
            <w:r>
              <w:rPr>
                <w:rFonts w:ascii="Calibri" w:cs="Calibri" w:eastAsia="Calibri" w:hAnsi="Calibri"/>
                <w:b/>
                <w:bCs/>
                <w:color w:val="6b7280"/>
                <w:sz w:val="20"/>
                <w:szCs w:val="20"/>
              </w:rPr>
              <w:t xml:space="preserve">Recommendation:</w:t>
            </w:r>
          </w:p>
        </w:tc>
        <w:tc>
          <w:tcPr>
            <w:tcW w:type="dxa" w:w="7920"/>
            <w:tcBorders>
              <w:top w:val="none"/>
              <w:left w:val="none"/>
              <w:bottom w:val="none"/>
              <w:right w:val="none"/>
            </w:tcBorders>
            <w:shd w:fill="f9fafb" w:val="clear"/>
            <w:tcMar>
              <w:top w:type="dxa" w:w="100"/>
              <w:left w:type="dxa" w:w="160"/>
              <w:bottom w:type="dxa" w:w="100"/>
              <w:right w:type="dxa" w:w="160"/>
            </w:tcMar>
          </w:tcPr>
          <w:p>
            <w:r>
              <w:rPr>
                <w:rFonts w:ascii="Calibri" w:cs="Calibri" w:eastAsia="Calibri" w:hAnsi="Calibri"/>
                <w:color w:val="374151"/>
                <w:sz w:val="21"/>
                <w:szCs w:val="21"/>
              </w:rPr>
              <w:t xml:space="preserve">This direction needs 10 customer interviews before any build decision. If 7 of 10 operations managers express genuine willingness to pay $300/month for automated supplier check-ins, proceed. If not, deprioritize. Do not build on assumption alone.</w:t>
            </w:r>
          </w:p>
        </w:tc>
      </w:tr>
    </w:tbl>
    <w:p>
      <w:r>
        <w:br w:type="page"/>
      </w:r>
    </w:p>
    <w:p>
      <w:pPr>
        <w:pStyle w:val="Heading1"/>
        <w:pBdr>
          <w:bottom w:val="single" w:color="2563eb" w:sz="6" w:space="6"/>
        </w:pBdr>
        <w:spacing w:before="480" w:after="160"/>
      </w:pPr>
      <w:r>
        <w:rPr>
          <w:rFonts w:ascii="Calibri" w:cs="Calibri" w:eastAsia="Calibri" w:hAnsi="Calibri"/>
          <w:b/>
          <w:bCs/>
          <w:color w:val="1a1a2e"/>
          <w:sz w:val="44"/>
          <w:szCs w:val="44"/>
        </w:rPr>
        <w:t xml:space="preserve">Directions to Avoid — Red Oceans &amp; Structural Barriers</w:t>
      </w:r>
    </w:p>
    <w:p>
      <w:pPr>
        <w:pStyle w:val="Heading2"/>
        <w:spacing w:before="320" w:after="120"/>
      </w:pPr>
      <w:r>
        <w:rPr>
          <w:rFonts w:ascii="Calibri" w:cs="Calibri" w:eastAsia="Calibri" w:hAnsi="Calibri"/>
          <w:b/>
          <w:bCs/>
          <w:color w:val="dc2626"/>
          <w:sz w:val="30"/>
          <w:szCs w:val="30"/>
        </w:rPr>
        <w:t xml:space="preserve">AI Patient Recall  ✗  Score: 4.0/10</w:t>
      </w:r>
    </w:p>
    <w:p>
      <w:pPr>
        <w:spacing w:before="60" w:after="140"/>
        <w:jc w:val="left"/>
      </w:pPr>
      <w:r>
        <w:rPr>
          <w:rFonts w:ascii="Calibri" w:cs="Calibri" w:eastAsia="Calibri" w:hAnsi="Calibri"/>
          <w:b/>
          <w:bCs/>
          <w:color w:val="1a1a2e"/>
          <w:sz w:val="22"/>
          <w:szCs w:val="22"/>
        </w:rPr>
        <w:t xml:space="preserve">Why not: </w:t>
      </w:r>
      <w:r>
        <w:rPr>
          <w:rFonts w:ascii="Calibri" w:cs="Calibri" w:eastAsia="Calibri" w:hAnsi="Calibri"/>
          <w:color w:val="374151"/>
          <w:sz w:val="22"/>
          <w:szCs w:val="22"/>
        </w:rPr>
        <w:t xml:space="preserve">The demand is genuinely massive ($150B/year industry loss from no-shows), but the market is already occupied by well-funded incumbents. SolutionReach ($329/month, 400+ EHR integrations), Luma Health ($130M+ total funding), Phreesia (publicly traded), Artera, Klara, Weave, and Relatient all compete in this space. EHR integration is the mandatory entry ticket, and building it from scratch takes 12–24 months. Every incremental feature you build, these players can replicate in weeks. The only viable entry would be a radical geographic or vertical differentiation — e.g., WhatsApp-first patient recall for Southeast Asia where none of these US incumbents operate.</w:t>
      </w:r>
    </w:p>
    <w:p>
      <w:pPr>
        <w:spacing w:before="80" w:after="80"/>
      </w:pPr>
      <w:r>
        <w:t xml:space="preserve"/>
      </w:r>
    </w:p>
    <w:p>
      <w:pPr>
        <w:pStyle w:val="Heading2"/>
        <w:spacing w:before="320" w:after="120"/>
      </w:pPr>
      <w:r>
        <w:rPr>
          <w:rFonts w:ascii="Calibri" w:cs="Calibri" w:eastAsia="Calibri" w:hAnsi="Calibri"/>
          <w:b/>
          <w:bCs/>
          <w:color w:val="dc2626"/>
          <w:sz w:val="30"/>
          <w:szCs w:val="30"/>
        </w:rPr>
        <w:t xml:space="preserve">AI Tenant / Property Communication  ✗  Score: 3.0/10</w:t>
      </w:r>
    </w:p>
    <w:p>
      <w:pPr>
        <w:spacing w:before="60" w:after="140"/>
        <w:jc w:val="left"/>
      </w:pPr>
      <w:r>
        <w:rPr>
          <w:rFonts w:ascii="Calibri" w:cs="Calibri" w:eastAsia="Calibri" w:hAnsi="Calibri"/>
          <w:b/>
          <w:bCs/>
          <w:color w:val="1a1a2e"/>
          <w:sz w:val="22"/>
          <w:szCs w:val="22"/>
        </w:rPr>
        <w:t xml:space="preserve">Why not: </w:t>
      </w:r>
      <w:r>
        <w:rPr>
          <w:rFonts w:ascii="Calibri" w:cs="Calibri" w:eastAsia="Calibri" w:hAnsi="Calibri"/>
          <w:color w:val="374151"/>
          <w:sz w:val="22"/>
          <w:szCs w:val="22"/>
        </w:rPr>
        <w:t xml:space="preserve">EliseAI raised $250M Series E at a $2.2B valuation in August 2025. They power 10% of the US apartment market. Their competitors (Colleen AI, LeaseHawk, Knock, Funnel) have all raised multiple rounds. AppFolio and Buildium have built native AI features. This market is already won. Any new entrant faces an existential question: why would a property manager switch from an embedded platform solution to a standalone tool? The only answer requires a fundamentally different market segment (e.g., commercial real estate, student housing, or international markets EliseAI has not entered).</w:t>
      </w:r>
    </w:p>
    <w:p>
      <w:pPr>
        <w:spacing w:before="80" w:after="80"/>
      </w:pPr>
      <w:r>
        <w:t xml:space="preserve"/>
      </w:r>
    </w:p>
    <w:p>
      <w:pPr>
        <w:pStyle w:val="Heading2"/>
        <w:spacing w:before="320" w:after="120"/>
      </w:pPr>
      <w:r>
        <w:rPr>
          <w:rFonts w:ascii="Calibri" w:cs="Calibri" w:eastAsia="Calibri" w:hAnsi="Calibri"/>
          <w:b/>
          <w:bCs/>
          <w:color w:val="dc2626"/>
          <w:sz w:val="30"/>
          <w:szCs w:val="30"/>
        </w:rPr>
        <w:t xml:space="preserve">AI Review &amp; Feedback Collection  ✗  Score: 3.0/10</w:t>
      </w:r>
    </w:p>
    <w:p>
      <w:pPr>
        <w:spacing w:before="60" w:after="140"/>
        <w:jc w:val="left"/>
      </w:pPr>
      <w:r>
        <w:rPr>
          <w:rFonts w:ascii="Calibri" w:cs="Calibri" w:eastAsia="Calibri" w:hAnsi="Calibri"/>
          <w:b/>
          <w:bCs/>
          <w:color w:val="1a1a2e"/>
          <w:sz w:val="22"/>
          <w:szCs w:val="22"/>
        </w:rPr>
        <w:t xml:space="preserve">Why not: </w:t>
      </w:r>
      <w:r>
        <w:rPr>
          <w:rFonts w:ascii="Calibri" w:cs="Calibri" w:eastAsia="Calibri" w:hAnsi="Calibri"/>
          <w:color w:val="374151"/>
          <w:sz w:val="22"/>
          <w:szCs w:val="22"/>
        </w:rPr>
        <w:t xml:space="preserve">Birdeye serves 150,000+ businesses and has raised $228M. Podium has raised $201M. The review management software market is projected at $3.77B in 2025. These two players alone cover the full market. Any feature we build (AI-powered SMS review requests, WhatsApp outreach, sentiment analysis) is already shipping in their platforms. The only theoretical differentiator — AI-initiated voice calls asking for reviews — is a user experience experiment that is more likely to annoy customers than generate better reviews. Google's policy also explicitly prohibits incentivized or pressured review collection, creating additional guardrails that limit the value of aggressive outreach.</w:t>
      </w:r>
    </w:p>
    <w:p>
      <w:r>
        <w:br w:type="page"/>
      </w:r>
    </w:p>
    <w:p>
      <w:pPr>
        <w:pStyle w:val="Heading1"/>
        <w:pBdr>
          <w:bottom w:val="single" w:color="2563eb" w:sz="6" w:space="6"/>
        </w:pBdr>
        <w:spacing w:before="480" w:after="160"/>
      </w:pPr>
      <w:r>
        <w:rPr>
          <w:rFonts w:ascii="Calibri" w:cs="Calibri" w:eastAsia="Calibri" w:hAnsi="Calibri"/>
          <w:b/>
          <w:bCs/>
          <w:color w:val="1a1a2e"/>
          <w:sz w:val="44"/>
          <w:szCs w:val="44"/>
        </w:rPr>
        <w:t xml:space="preserve">Strategic Recommendation</w:t>
      </w:r>
    </w:p>
    <w:p>
      <w:pPr>
        <w:pStyle w:val="Heading2"/>
        <w:spacing w:before="320" w:after="120"/>
      </w:pPr>
      <w:r>
        <w:rPr>
          <w:rFonts w:ascii="Calibri" w:cs="Calibri" w:eastAsia="Calibri" w:hAnsi="Calibri"/>
          <w:b/>
          <w:bCs/>
          <w:color w:val="2563eb"/>
          <w:sz w:val="30"/>
          <w:szCs w:val="30"/>
        </w:rPr>
        <w:t xml:space="preserve">If We Can Only Choose One: AI Debt Collection</w:t>
      </w:r>
    </w:p>
    <w:p>
      <w:pPr>
        <w:spacing w:before="60" w:after="140"/>
        <w:jc w:val="left"/>
      </w:pPr>
      <w:r>
        <w:rPr>
          <w:rFonts w:ascii="Calibri" w:cs="Calibri" w:eastAsia="Calibri" w:hAnsi="Calibri"/>
          <w:color w:val="374151"/>
          <w:sz w:val="22"/>
          <w:szCs w:val="22"/>
        </w:rPr>
        <w:t xml:space="preserve">The decision is clear: </w:t>
      </w:r>
      <w:r>
        <w:rPr>
          <w:rFonts w:ascii="Calibri" w:cs="Calibri" w:eastAsia="Calibri" w:hAnsi="Calibri"/>
          <w:b/>
          <w:bCs/>
          <w:color w:val="1a1a2e"/>
          <w:sz w:val="22"/>
          <w:szCs w:val="22"/>
        </w:rPr>
        <w:t xml:space="preserve">Debt Collection</w:t>
      </w:r>
      <w:r>
        <w:rPr>
          <w:rFonts w:ascii="Calibri" w:cs="Calibri" w:eastAsia="Calibri" w:hAnsi="Calibri"/>
          <w:color w:val="374151"/>
          <w:sz w:val="22"/>
          <w:szCs w:val="22"/>
        </w:rPr>
        <w:t xml:space="preserve"> has the largest addressable market, the highest willingness to pay, a structurally compelling outcome-based pricing model, and the clearest alignment with our multi-channel (voice + WhatsApp + email) technical capability. Murphy AI proves the market exists. Altur proves YC is interested. Neither has yet dominated.</w:t>
      </w:r>
    </w:p>
    <w:p>
      <w:pPr>
        <w:spacing w:before="60" w:after="140"/>
        <w:jc w:val="left"/>
      </w:pPr>
      <w:r>
        <w:rPr>
          <w:rFonts w:ascii="Calibri" w:cs="Calibri" w:eastAsia="Calibri" w:hAnsi="Calibri"/>
          <w:color w:val="374151"/>
          <w:sz w:val="22"/>
          <w:szCs w:val="22"/>
        </w:rPr>
        <w:t xml:space="preserve">The one non-negotiable: </w:t>
      </w:r>
      <w:r>
        <w:rPr>
          <w:rFonts w:ascii="Calibri" w:cs="Calibri" w:eastAsia="Calibri" w:hAnsi="Calibri"/>
          <w:b/>
          <w:bCs/>
          <w:color w:val="1a1a2e"/>
          <w:sz w:val="22"/>
          <w:szCs w:val="22"/>
        </w:rPr>
        <w:t xml:space="preserve">compliance architecture must be built into v1</w:t>
      </w:r>
      <w:r>
        <w:rPr>
          <w:rFonts w:ascii="Calibri" w:cs="Calibri" w:eastAsia="Calibri" w:hAnsi="Calibri"/>
          <w:color w:val="374151"/>
          <w:sz w:val="22"/>
          <w:szCs w:val="22"/>
        </w:rPr>
        <w:t xml:space="preserve">. FDCPA/TCPA compliance is not optional, not a v2 feature. Hire a collections compliance attorney as the first outside advisor. If we cannot build compliant AI from day one, this direction is not viable.</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If We Can Choose Two: Add AI Legal Intake</w:t>
      </w:r>
    </w:p>
    <w:p>
      <w:pPr>
        <w:spacing w:before="60" w:after="140"/>
        <w:jc w:val="left"/>
      </w:pPr>
      <w:r>
        <w:rPr>
          <w:rFonts w:ascii="Calibri" w:cs="Calibri" w:eastAsia="Calibri" w:hAnsi="Calibri"/>
          <w:color w:val="374151"/>
          <w:sz w:val="22"/>
          <w:szCs w:val="22"/>
        </w:rPr>
        <w:t xml:space="preserve">AI Legal Intake is a natural second direction for three reasons:</w:t>
      </w:r>
    </w:p>
    <w:p>
      <w:pPr>
        <w:pStyle w:val="ListParagraph"/>
        <w:numPr>
          <w:ilvl w:val="0"/>
          <w:numId w:val="3"/>
        </w:numPr>
        <w:spacing w:before="40" w:after="80"/>
      </w:pPr>
      <w:r>
        <w:rPr>
          <w:rFonts w:ascii="Calibri" w:cs="Calibri" w:eastAsia="Calibri" w:hAnsi="Calibri"/>
          <w:color w:val="374151"/>
          <w:sz w:val="21"/>
          <w:szCs w:val="21"/>
        </w:rPr>
        <w:t xml:space="preserve">Technical reuse: The same voice AI infrastructure, WhatsApp integration, and outbound campaign engine applies directly to both use cases.</w:t>
      </w:r>
    </w:p>
    <w:p>
      <w:pPr>
        <w:pStyle w:val="ListParagraph"/>
        <w:numPr>
          <w:ilvl w:val="0"/>
          <w:numId w:val="3"/>
        </w:numPr>
        <w:spacing w:before="40" w:after="80"/>
      </w:pPr>
      <w:r>
        <w:rPr>
          <w:rFonts w:ascii="Calibri" w:cs="Calibri" w:eastAsia="Calibri" w:hAnsi="Calibri"/>
          <w:color w:val="374151"/>
          <w:sz w:val="21"/>
          <w:szCs w:val="21"/>
        </w:rPr>
        <w:t xml:space="preserve">Different buyer: Debt collection sells to finance/operations executives. Legal sells to managing partners. We access two distinct buyer universes from the same platform.</w:t>
      </w:r>
    </w:p>
    <w:p>
      <w:pPr>
        <w:pStyle w:val="ListParagraph"/>
        <w:numPr>
          <w:ilvl w:val="0"/>
          <w:numId w:val="3"/>
        </w:numPr>
        <w:spacing w:before="40" w:after="80"/>
      </w:pPr>
      <w:r>
        <w:rPr>
          <w:rFonts w:ascii="Calibri" w:cs="Calibri" w:eastAsia="Calibri" w:hAnsi="Calibri"/>
          <w:color w:val="374151"/>
          <w:sz w:val="21"/>
          <w:szCs w:val="21"/>
        </w:rPr>
        <w:t xml:space="preserve">Lower regulatory risk: Legal intake does not carry FDCPA/TCPA exposure. The risk is UPL (unauthorized practice of law) — easier to manage through product design (intake only, no advice).</w:t>
      </w:r>
    </w:p>
    <w:p>
      <w:pPr>
        <w:spacing w:before="80" w:after="80"/>
      </w:pPr>
      <w:r>
        <w:t xml:space="preserve"/>
      </w:r>
    </w:p>
    <w:p>
      <w:pPr>
        <w:pStyle w:val="Heading2"/>
        <w:spacing w:before="320" w:after="120"/>
      </w:pPr>
      <w:r>
        <w:rPr>
          <w:rFonts w:ascii="Calibri" w:cs="Calibri" w:eastAsia="Calibri" w:hAnsi="Calibri"/>
          <w:b/>
          <w:bCs/>
          <w:color w:val="2563eb"/>
          <w:sz w:val="30"/>
          <w:szCs w:val="30"/>
        </w:rPr>
        <w:t xml:space="preserve">90-Day Validation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Week</w:t>
            </w:r>
          </w:p>
        </w:tc>
        <w:tc>
          <w:tcPr>
            <w:tcW w:type="dxa" w:w="4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Action</w:t>
            </w:r>
          </w:p>
        </w:tc>
        <w:tc>
          <w:tcPr>
            <w:tcW w:type="dxa" w:w="39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Success Metric</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1–2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Conduct 10 discovery interviews: 5 with DCA compliance managers, 5 with PI law firm managing partners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At least 6/10 express genuine pain and ask "when can I try it?"</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3–4</w:t>
            </w:r>
          </w:p>
        </w:tc>
        <w:tc>
          <w:tcPr>
            <w:tcW w:type="dxa" w:w="4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Map FDCPA/TCPA/UPL compliance requirements with outside legal counsel</w:t>
            </w:r>
          </w:p>
        </w:tc>
        <w:tc>
          <w:tcPr>
            <w:tcW w:type="dxa" w:w="3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Get written guidance on what the AI can and cannot say in each context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5–8</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Build a minimum viable demo: AI places a mock debt reminder call and a mock legal intake call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Demo passes compliance review; voice quality rated 4+/5 by test listeners</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9–12</w:t>
            </w:r>
          </w:p>
        </w:tc>
        <w:tc>
          <w:tcPr>
            <w:tcW w:type="dxa" w:w="4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Pilot with 2 paying beta customers (1 DCA, 1 law firm) at discounted rate</w:t>
            </w:r>
          </w:p>
        </w:tc>
        <w:tc>
          <w:tcPr>
            <w:tcW w:type="dxa" w:w="3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Beta customers complete pilot; at least 1 converts to paid contract</w:t>
            </w:r>
          </w:p>
        </w:tc>
      </w:tr>
    </w:tbl>
    <w:p>
      <w:pPr>
        <w:spacing w:before="120" w:after="120"/>
      </w:pPr>
      <w:r>
        <w:t xml:space="preserve"/>
      </w:r>
    </w:p>
    <w:p>
      <w:pPr>
        <w:pStyle w:val="Heading2"/>
        <w:spacing w:before="320" w:after="120"/>
      </w:pPr>
      <w:r>
        <w:rPr>
          <w:rFonts w:ascii="Calibri" w:cs="Calibri" w:eastAsia="Calibri" w:hAnsi="Calibri"/>
          <w:b/>
          <w:bCs/>
          <w:color w:val="2563eb"/>
          <w:sz w:val="30"/>
          <w:szCs w:val="30"/>
        </w:rPr>
        <w:t xml:space="preserve">Final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800"/>
        <w:gridCol w:w="1960"/>
      </w:tblGrid>
      <w:tr>
        <w:tc>
          <w:tcPr>
            <w:tcW w:type="dxa" w:w="14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Direction</w:t>
            </w:r>
          </w:p>
        </w:tc>
        <w:tc>
          <w:tcPr>
            <w:tcW w:type="dxa" w:w="3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Action</w:t>
            </w:r>
          </w:p>
        </w:tc>
        <w:tc>
          <w:tcPr>
            <w:tcW w:type="dxa" w:w="19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Timeline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59669"/>
                <w:sz w:val="20"/>
                <w:szCs w:val="20"/>
              </w:rPr>
              <w:t xml:space="preserve">#1  BUILD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AI Debt Collection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Hire compliance advisor, start v1 build after interview validation</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Q2 2026</w:t>
            </w:r>
          </w:p>
        </w:tc>
      </w:tr>
      <w:tr>
        <w:tc>
          <w:tcPr>
            <w:tcW w:type="dxa" w:w="1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bCs/>
                <w:color w:val="059669"/>
                <w:sz w:val="20"/>
                <w:szCs w:val="20"/>
              </w:rPr>
              <w:t xml:space="preserve">#2  BUILD</w:t>
            </w:r>
          </w:p>
        </w:tc>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AI Legal Intake (PI firms)</w:t>
            </w:r>
          </w:p>
        </w:tc>
        <w:tc>
          <w:tcPr>
            <w:tcW w:type="dxa" w:w="3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Launch alongside debt collection using shared platform infrastructure</w:t>
            </w:r>
          </w:p>
        </w:tc>
        <w:tc>
          <w:tcPr>
            <w:tcW w:type="dxa" w:w="1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Q3 2026</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#3  MONITOR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AI Automotive Dealer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Validate DMS integration path; explore international markets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Q4 2026</w:t>
            </w:r>
          </w:p>
        </w:tc>
      </w:tr>
      <w:tr>
        <w:tc>
          <w:tcPr>
            <w:tcW w:type="dxa" w:w="1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#4  VALIDATE</w:t>
            </w:r>
          </w:p>
        </w:tc>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AI Compliance Call</w:t>
            </w:r>
          </w:p>
        </w:tc>
        <w:tc>
          <w:tcPr>
            <w:tcW w:type="dxa" w:w="3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10 customer interviews first; build only if strong demand signal confirmed</w:t>
            </w:r>
          </w:p>
        </w:tc>
        <w:tc>
          <w:tcPr>
            <w:tcW w:type="dxa" w:w="1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Q3 2026</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9488"/>
                <w:sz w:val="20"/>
                <w:szCs w:val="20"/>
              </w:rPr>
              <w:t xml:space="preserve">#5  VALIDATE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AI Mystery Shopping</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Legal opinion first; if green, attractive low-competition market</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Q3 2026</w:t>
            </w:r>
          </w:p>
        </w:tc>
      </w:tr>
      <w:tr>
        <w:tc>
          <w:tcPr>
            <w:tcW w:type="dxa" w:w="1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bCs/>
                <w:color w:val="6b7280"/>
                <w:sz w:val="20"/>
                <w:szCs w:val="20"/>
              </w:rPr>
              <w:t xml:space="preserve">#6  DEFER</w:t>
            </w:r>
          </w:p>
        </w:tc>
        <w:tc>
          <w:tcPr>
            <w:tcW w:type="dxa" w:w="22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AI Supplier Check-in</w:t>
            </w:r>
          </w:p>
        </w:tc>
        <w:tc>
          <w:tcPr>
            <w:tcW w:type="dxa" w:w="38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Low demand certainty; revisit if customer interviews prove strong pain</w:t>
            </w:r>
          </w:p>
        </w:tc>
        <w:tc>
          <w:tcPr>
            <w:tcW w:type="dxa" w:w="196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2027</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bCs/>
                <w:color w:val="dc2626"/>
                <w:sz w:val="20"/>
                <w:szCs w:val="20"/>
              </w:rPr>
              <w:t xml:space="preserve">#7–9  AVOID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Patient Recall / Property / Reviews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Red oceans with entrenched, well-funded incumbents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374151"/>
                <w:sz w:val="20"/>
                <w:szCs w:val="20"/>
              </w:rPr>
              <w:t xml:space="preserve">N/A</w:t>
            </w:r>
          </w:p>
        </w:tc>
      </w:tr>
    </w:tbl>
    <w:p>
      <w:pPr>
        <w:spacing w:before="200" w:after="200"/>
      </w:pPr>
      <w:r>
        <w:t xml:space="preserve"/>
      </w:r>
    </w:p>
    <w:p>
      <w:r>
        <w:br w:type="page"/>
      </w:r>
    </w:p>
    <w:p>
      <w:pPr>
        <w:pStyle w:val="Heading1"/>
        <w:pBdr>
          <w:bottom w:val="single" w:color="2563eb" w:sz="6" w:space="6"/>
        </w:pBdr>
        <w:spacing w:before="480" w:after="160"/>
      </w:pPr>
      <w:r>
        <w:rPr>
          <w:rFonts w:ascii="Calibri" w:cs="Calibri" w:eastAsia="Calibri" w:hAnsi="Calibri"/>
          <w:b/>
          <w:bCs/>
          <w:color w:val="1a1a2e"/>
          <w:sz w:val="44"/>
          <w:szCs w:val="44"/>
        </w:rPr>
        <w:t xml:space="preserve">Appendix: Key Data Sources &amp; References</w:t>
      </w:r>
    </w:p>
    <w:p>
      <w:pPr>
        <w:pStyle w:val="Heading2"/>
        <w:spacing w:before="320" w:after="120"/>
      </w:pPr>
      <w:r>
        <w:rPr>
          <w:rFonts w:ascii="Calibri" w:cs="Calibri" w:eastAsia="Calibri" w:hAnsi="Calibri"/>
          <w:b/>
          <w:bCs/>
          <w:color w:val="2563eb"/>
          <w:sz w:val="30"/>
          <w:szCs w:val="30"/>
        </w:rPr>
        <w:t xml:space="preserve">Debt Collection</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Global debt collection software market ($4.92B, 9.6% CAGR): https://www.tabbly.io/blogs/ai-voice-calling-debt-collection</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AI debt collection CAGR 15%, +$2.77B by 2029: https://smallest.ai/blog/generative-ai-transforming-debt-collection</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Murphy AI $15M Seed funding: https://finovate.com/spanish-ai-debt-collection-startup-murphy-raises-15-million/</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Altur (YC) pricing/model: https://www.ycombinator.com/companies/altur</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FDCPA compliance liability calculation: https://www.tabbly.io/blogs/ai-debt-collection-compliance</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AI reduces costs 40%, 2× recovery rates: https://blog.crsoftware.com/7-best-ai-debt-collection-software-tools-that-boost-recovery-rates</w:t>
      </w:r>
    </w:p>
    <w:p>
      <w:pPr>
        <w:spacing w:before="60" w:after="60"/>
      </w:pPr>
      <w:r>
        <w:t xml:space="preserve"/>
      </w:r>
    </w:p>
    <w:p>
      <w:pPr>
        <w:pStyle w:val="Heading2"/>
        <w:spacing w:before="320" w:after="120"/>
      </w:pPr>
      <w:r>
        <w:rPr>
          <w:rFonts w:ascii="Calibri" w:cs="Calibri" w:eastAsia="Calibri" w:hAnsi="Calibri"/>
          <w:b/>
          <w:bCs/>
          <w:color w:val="2563eb"/>
          <w:sz w:val="30"/>
          <w:szCs w:val="30"/>
        </w:rPr>
        <w:t xml:space="preserve">Legal Intake</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Attorneys spend 48% time on admin (Thomson Reuters): https://goodsmartidea.com/industries/legal/</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100× conversion with 5-minute follow-up: https://www.eve.legal/blogs/how-ai-can-transform-plaintiff-law-firm-intake-processes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Caseflood.ai YC $3.2M Seed: https://www.darrow.ai/resources/legal-tech-startups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35% law firms use AI (ABA 2024): https://www.voiceflow.com/blog/law-firm-ai</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CaseGen.ai platform: https://www.casegen.ai/</w:t>
      </w:r>
    </w:p>
    <w:p>
      <w:pPr>
        <w:spacing w:before="60" w:after="60"/>
      </w:pPr>
      <w:r>
        <w:t xml:space="preserve"/>
      </w:r>
    </w:p>
    <w:p>
      <w:pPr>
        <w:pStyle w:val="Heading2"/>
        <w:spacing w:before="320" w:after="120"/>
      </w:pPr>
      <w:r>
        <w:rPr>
          <w:rFonts w:ascii="Calibri" w:cs="Calibri" w:eastAsia="Calibri" w:hAnsi="Calibri"/>
          <w:b/>
          <w:bCs/>
          <w:color w:val="2563eb"/>
          <w:sz w:val="30"/>
          <w:szCs w:val="30"/>
        </w:rPr>
        <w:t xml:space="preserve">Automotive Dealer</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73M vehicles with open recalls: https://www.bizzycar.com/blog/how-ai-is-transforming-automotive-recalls-and-dealer-communication</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BizzyCar $15M funding + 52% conversion rate: https://www.prnewswire.com/news-releases/bizzycar-launches-ai-powered-service-engine-to-help-dealerships-boost-appointments-and-revenue-without-adding-staff-302664897.html</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50% of dealers don't contact recall list: https://stellaautomotive.com/dealer-outbound-campaigns/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STELLA AI 3M+ calls in 2024: https://stellaautomotive.com/dealer-outbound-campaigns/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Numa 1,200+ dealerships: https://www.numa.com/</w:t>
      </w:r>
    </w:p>
    <w:p>
      <w:pPr>
        <w:spacing w:before="60" w:after="60"/>
      </w:pPr>
      <w:r>
        <w:t xml:space="preserve"/>
      </w:r>
    </w:p>
    <w:p>
      <w:pPr>
        <w:pStyle w:val="Heading2"/>
        <w:spacing w:before="320" w:after="120"/>
      </w:pPr>
      <w:r>
        <w:rPr>
          <w:rFonts w:ascii="Calibri" w:cs="Calibri" w:eastAsia="Calibri" w:hAnsi="Calibri"/>
          <w:b/>
          <w:bCs/>
          <w:color w:val="2563eb"/>
          <w:sz w:val="30"/>
          <w:szCs w:val="30"/>
        </w:rPr>
        <w:t xml:space="preserve">Compliance Call</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FCC AI voice TCPA ruling Feb 2024: https://darroweverett.com/tcpa-compliance-artificial-intelligence-ai-legal-analysis/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FurtherAI insurance compliance AI: https://www.crescendo.ai/news/latest-vc-investment-deals-in-ai-startups</w:t>
      </w:r>
    </w:p>
    <w:p>
      <w:pPr>
        <w:spacing w:before="60" w:after="60"/>
      </w:pPr>
      <w:r>
        <w:t xml:space="preserve"/>
      </w:r>
    </w:p>
    <w:p>
      <w:pPr>
        <w:pStyle w:val="Heading2"/>
        <w:spacing w:before="320" w:after="120"/>
      </w:pPr>
      <w:r>
        <w:rPr>
          <w:rFonts w:ascii="Calibri" w:cs="Calibri" w:eastAsia="Calibri" w:hAnsi="Calibri"/>
          <w:b/>
          <w:bCs/>
          <w:color w:val="2563eb"/>
          <w:sz w:val="30"/>
          <w:szCs w:val="30"/>
        </w:rPr>
        <w:t xml:space="preserve">Mystery Shopping</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Mystery shopping market $2.31B → $3.61B: https://www.fortunebusinessinsights.com/mystery-shopping-services-market-111774</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90%+ unhappy customers leave silently: https://www.greenbook.org/insights/focus-on-apac/the-growing-need-for-mystery-shopping</w:t>
      </w:r>
    </w:p>
    <w:p>
      <w:pPr>
        <w:spacing w:before="60" w:after="60"/>
      </w:pPr>
      <w:r>
        <w:t xml:space="preserve"/>
      </w:r>
    </w:p>
    <w:p>
      <w:pPr>
        <w:pStyle w:val="Heading2"/>
        <w:spacing w:before="320" w:after="120"/>
      </w:pPr>
      <w:r>
        <w:rPr>
          <w:rFonts w:ascii="Calibri" w:cs="Calibri" w:eastAsia="Calibri" w:hAnsi="Calibri"/>
          <w:b/>
          <w:bCs/>
          <w:color w:val="2563eb"/>
          <w:sz w:val="30"/>
          <w:szCs w:val="30"/>
        </w:rPr>
        <w:t xml:space="preserve">Directions Avoided</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EliseAI $250M Series E at $2.2B: https://eliseai.com/blog/eliseai-raises-250m-series-e</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EliseAI 10% of US apartment market: https://siliconangle.com/2025/08/20/property-management-startup-eliseai-nabs-250m-2-2b-valuation/</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Birdeye 150,000+ businesses, $228M raised: https://birdeye.com/blog/google-review-management-software-2026/</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Luma Health $130M+ patient engagement: https://www.lumahealth.io/competitors/</w:t>
      </w:r>
    </w:p>
    <w:p>
      <w:pPr>
        <w:pStyle w:val="ListParagraph"/>
        <w:numPr>
          <w:ilvl w:val="0"/>
          <w:numId w:val="2"/>
        </w:numPr>
        <w:spacing w:before="40" w:after="80"/>
      </w:pPr>
      <w:r>
        <w:rPr>
          <w:rFonts w:ascii="Calibri" w:cs="Calibri" w:eastAsia="Calibri" w:hAnsi="Calibri"/>
          <w:b w:val="false"/>
          <w:bCs w:val="false"/>
          <w:color w:val="374151"/>
          <w:sz w:val="21"/>
          <w:szCs w:val="21"/>
        </w:rPr>
        <w:t xml:space="preserve">MGMA no-show data 2024: https://www.mgma.com/mgma-stat/patient-no-shows-still-an-issue-despite-more-automated-reminders</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6"/>
      </w:pBdr>
      <w:tabs>
        <w:tab w:val="right" w:pos="9026"/>
      </w:tabs>
      <w:spacing w:before="80" w:after="0"/>
    </w:pPr>
    <w:r>
      <w:rPr>
        <w:rFonts w:ascii="Calibri" w:cs="Calibri" w:eastAsia="Calibri" w:hAnsi="Calibri"/>
        <w:i/>
        <w:iCs/>
        <w:color w:val="6b7280"/>
        <w:sz w:val="18"/>
        <w:szCs w:val="18"/>
      </w:rPr>
      <w:t xml:space="preserve">Internal Use Only</w:t>
    </w:r>
    <w:r>
      <w:rPr>
        <w:rFonts w:ascii="Calibri" w:cs="Calibri" w:eastAsia="Calibri" w:hAnsi="Calibri"/>
        <w:color w:val="6b7280"/>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6"/>
      </w:pBdr>
      <w:tabs>
        <w:tab w:val="right" w:pos="9026"/>
      </w:tabs>
      <w:spacing w:before="0" w:after="140"/>
    </w:pPr>
    <w:r>
      <w:rPr>
        <w:rFonts w:ascii="Calibri" w:cs="Calibri" w:eastAsia="Calibri" w:hAnsi="Calibri"/>
        <w:b/>
        <w:bCs/>
        <w:color w:val="2563eb"/>
        <w:sz w:val="18"/>
        <w:szCs w:val="18"/>
      </w:rPr>
      <w:t xml:space="preserve">AI Outbound Platform — Go-to-Market Opportunity Analysis</w:t>
    </w:r>
    <w:r>
      <w:rPr>
        <w:rFonts w:ascii="Calibri" w:cs="Calibri" w:eastAsia="Calibri" w:hAnsi="Calibri"/>
        <w:i/>
        <w:iCs/>
        <w:color w:val="6b7280"/>
        <w:sz w:val="18"/>
        <w:szCs w:val="18"/>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alibri" w:cs="Calibri" w:eastAsia="Calibri" w:hAnsi="Calibri"/>
      <w:b/>
      <w:bCs/>
      <w:color w:val="1a1a2e"/>
      <w:sz w:val="44"/>
      <w:szCs w:val="44"/>
    </w:rPr>
  </w:style>
  <w:style w:type="paragraph" w:styleId="Heading2">
    <w:name w:val="Heading 2"/>
    <w:basedOn w:val="Normal"/>
    <w:next w:val="Normal"/>
    <w:qFormat/>
    <w:pPr>
      <w:spacing w:before="320" w:after="120"/>
      <w:outlineLvl w:val="1"/>
    </w:pPr>
    <w:rPr>
      <w:rFonts w:ascii="Calibri" w:cs="Calibri" w:eastAsia="Calibri" w:hAnsi="Calibri"/>
      <w:b/>
      <w:bCs/>
      <w:color w:val="2563eb"/>
      <w:sz w:val="30"/>
      <w:szCs w:val="30"/>
    </w:rPr>
  </w:style>
  <w:style w:type="paragraph" w:styleId="Heading3">
    <w:name w:val="Heading 3"/>
    <w:basedOn w:val="Normal"/>
    <w:next w:val="Normal"/>
    <w:qFormat/>
    <w:pPr>
      <w:spacing w:before="200" w:after="80"/>
      <w:outlineLvl w:val="2"/>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2026-03-19T00:12:14.381Z</dcterms:created>
  <dcterms:modified xsi:type="dcterms:W3CDTF">2026-03-19T00:12:14.383Z</dcterms:modified>
</cp:coreProperties>
</file>

<file path=docProps/custom.xml><?xml version="1.0" encoding="utf-8"?>
<Properties xmlns="http://schemas.openxmlformats.org/officeDocument/2006/custom-properties" xmlns:vt="http://schemas.openxmlformats.org/officeDocument/2006/docPropsVTypes"/>
</file>