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B6" w:rsidRDefault="00CF33B6" w:rsidP="00592E1D">
      <w:pPr>
        <w:rPr>
          <w:b/>
          <w:bCs/>
          <w:u w:val="single"/>
        </w:rPr>
      </w:pPr>
      <w:bookmarkStart w:id="0" w:name="_GoBack"/>
      <w:bookmarkEnd w:id="0"/>
    </w:p>
    <w:p w:rsidR="00CF33B6" w:rsidRPr="00CF33B6" w:rsidRDefault="00CF33B6" w:rsidP="00CF33B6">
      <w:pPr>
        <w:ind w:left="720"/>
        <w:jc w:val="center"/>
        <w:rPr>
          <w:b/>
          <w:sz w:val="36"/>
        </w:rPr>
      </w:pPr>
      <w:r w:rsidRPr="00CF33B6">
        <w:rPr>
          <w:b/>
          <w:sz w:val="36"/>
        </w:rPr>
        <w:t>PASSAGE DU MCD AU MLD</w:t>
      </w:r>
    </w:p>
    <w:p w:rsidR="005B6212" w:rsidRPr="00592E1D" w:rsidRDefault="00CF33B6" w:rsidP="00592E1D">
      <w:pPr>
        <w:numPr>
          <w:ilvl w:val="0"/>
          <w:numId w:val="1"/>
        </w:numPr>
      </w:pPr>
      <w:r w:rsidRPr="00592E1D">
        <w:rPr>
          <w:b/>
          <w:bCs/>
          <w:u w:val="single"/>
        </w:rPr>
        <w:t>Règle 0</w:t>
      </w:r>
      <w:r w:rsidRPr="00592E1D">
        <w:t xml:space="preserve"> :</w:t>
      </w:r>
    </w:p>
    <w:p w:rsidR="00592E1D" w:rsidRPr="00592E1D" w:rsidRDefault="00592E1D" w:rsidP="00592E1D">
      <w:r w:rsidRPr="00592E1D">
        <w:rPr>
          <w:b/>
          <w:bCs/>
          <w:i/>
          <w:iCs/>
        </w:rPr>
        <w:t>Une entité est traduite par une table</w:t>
      </w:r>
      <w:r w:rsidR="00CF33B6">
        <w:rPr>
          <w:i/>
          <w:iCs/>
        </w:rPr>
        <w:t xml:space="preserve"> (</w:t>
      </w:r>
      <w:r w:rsidRPr="00592E1D">
        <w:rPr>
          <w:i/>
          <w:iCs/>
        </w:rPr>
        <w:t>une relation) de même nom dont les colonnes correspondent aux propriétés de l’entité.</w:t>
      </w:r>
    </w:p>
    <w:p w:rsidR="00592E1D" w:rsidRDefault="00592E1D" w:rsidP="00592E1D">
      <w:pPr>
        <w:numPr>
          <w:ilvl w:val="0"/>
          <w:numId w:val="1"/>
        </w:numPr>
        <w:rPr>
          <w:b/>
          <w:bCs/>
          <w:u w:val="single"/>
        </w:rPr>
      </w:pPr>
      <w:r w:rsidRPr="00592E1D">
        <w:rPr>
          <w:b/>
          <w:bCs/>
          <w:u w:val="single"/>
        </w:rPr>
        <w:t xml:space="preserve">Règle 1 : </w:t>
      </w:r>
      <w:r>
        <w:rPr>
          <w:b/>
          <w:bCs/>
          <w:u w:val="single"/>
        </w:rPr>
        <w:t>association binaire 1,1 – 0,1</w:t>
      </w:r>
    </w:p>
    <w:p w:rsidR="009C58D1" w:rsidRPr="009C58D1" w:rsidRDefault="009C58D1" w:rsidP="009C58D1">
      <w:r w:rsidRPr="009C58D1">
        <w:t>La cardinalité 1,1 est une contrainte plus forte que la cardinalité 0, 1. Donc :</w:t>
      </w:r>
    </w:p>
    <w:p w:rsidR="009C58D1" w:rsidRDefault="009C58D1" w:rsidP="009C58D1">
      <w:r w:rsidRPr="009C58D1">
        <w:t xml:space="preserve">   L’identifiant de l’entité but du lien 1,1 devient clé étrangère dans la table issue de l’entité source</w:t>
      </w:r>
      <w:r>
        <w:t>.</w:t>
      </w:r>
    </w:p>
    <w:p w:rsidR="00592E1D" w:rsidRPr="00592E1D" w:rsidRDefault="00592E1D" w:rsidP="00592E1D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Règle 2 : </w:t>
      </w:r>
      <w:r w:rsidRPr="00592E1D">
        <w:rPr>
          <w:b/>
          <w:bCs/>
          <w:u w:val="single"/>
        </w:rPr>
        <w:t xml:space="preserve">association binaire </w:t>
      </w:r>
      <w:r w:rsidR="009C58D1">
        <w:rPr>
          <w:b/>
          <w:bCs/>
          <w:u w:val="single"/>
        </w:rPr>
        <w:t>(0,</w:t>
      </w:r>
      <w:r w:rsidRPr="00592E1D">
        <w:rPr>
          <w:b/>
          <w:bCs/>
          <w:u w:val="single"/>
        </w:rPr>
        <w:t>1</w:t>
      </w:r>
      <w:r w:rsidR="009C58D1">
        <w:rPr>
          <w:b/>
          <w:bCs/>
          <w:u w:val="single"/>
        </w:rPr>
        <w:t>)</w:t>
      </w:r>
      <w:r w:rsidR="004D2EAE">
        <w:rPr>
          <w:b/>
          <w:bCs/>
          <w:u w:val="single"/>
        </w:rPr>
        <w:t>,1 – (0,1</w:t>
      </w:r>
      <w:proofErr w:type="gramStart"/>
      <w:r w:rsidR="004D2EAE">
        <w:rPr>
          <w:b/>
          <w:bCs/>
          <w:u w:val="single"/>
        </w:rPr>
        <w:t>),N</w:t>
      </w:r>
      <w:proofErr w:type="gramEnd"/>
      <w:r w:rsidRPr="00592E1D">
        <w:rPr>
          <w:b/>
          <w:bCs/>
          <w:u w:val="single"/>
        </w:rPr>
        <w:t xml:space="preserve"> </w:t>
      </w:r>
      <w:r w:rsidR="004D2EAE">
        <w:rPr>
          <w:b/>
          <w:bCs/>
          <w:u w:val="single"/>
        </w:rPr>
        <w:t xml:space="preserve"> c’est-à-dire 0,1-0,N   0,1-1,N    1,1-0,N    1,1-1,N</w:t>
      </w:r>
    </w:p>
    <w:p w:rsidR="00CE34E6" w:rsidRDefault="00592E1D" w:rsidP="00592E1D">
      <w:r w:rsidRPr="00592E1D">
        <w:t>L’association n’est pas transformée en table</w:t>
      </w:r>
      <w:r>
        <w:t xml:space="preserve">. Chaque table possède sa propre clé, mais la clé de l’entité côté </w:t>
      </w:r>
      <w:proofErr w:type="gramStart"/>
      <w:r>
        <w:t>0,n</w:t>
      </w:r>
      <w:proofErr w:type="gramEnd"/>
      <w:r>
        <w:t xml:space="preserve"> migre vers ‘autre table et devient une clé étrangère (secondaire).</w:t>
      </w:r>
    </w:p>
    <w:p w:rsidR="00592E1D" w:rsidRPr="00592E1D" w:rsidRDefault="00592E1D" w:rsidP="00592E1D">
      <w:pPr>
        <w:numPr>
          <w:ilvl w:val="0"/>
          <w:numId w:val="1"/>
        </w:numPr>
        <w:rPr>
          <w:b/>
          <w:bCs/>
          <w:u w:val="single"/>
        </w:rPr>
      </w:pPr>
      <w:r w:rsidRPr="00592E1D">
        <w:rPr>
          <w:b/>
          <w:bCs/>
          <w:u w:val="single"/>
        </w:rPr>
        <w:t xml:space="preserve">Règle 3 : association binaire </w:t>
      </w:r>
      <w:r w:rsidR="004D2EAE">
        <w:rPr>
          <w:b/>
          <w:bCs/>
          <w:u w:val="single"/>
        </w:rPr>
        <w:t>(0,1</w:t>
      </w:r>
      <w:proofErr w:type="gramStart"/>
      <w:r w:rsidR="004D2EAE">
        <w:rPr>
          <w:b/>
          <w:bCs/>
          <w:u w:val="single"/>
        </w:rPr>
        <w:t>),N</w:t>
      </w:r>
      <w:proofErr w:type="gramEnd"/>
      <w:r w:rsidR="004D2EAE">
        <w:rPr>
          <w:b/>
          <w:bCs/>
          <w:u w:val="single"/>
        </w:rPr>
        <w:t xml:space="preserve"> – (0,1),N</w:t>
      </w:r>
      <w:r>
        <w:rPr>
          <w:b/>
          <w:bCs/>
          <w:u w:val="single"/>
        </w:rPr>
        <w:t xml:space="preserve"> non porteuse d’attributs</w:t>
      </w:r>
      <w:r w:rsidR="004D2EAE" w:rsidRPr="004D2EAE">
        <w:rPr>
          <w:b/>
          <w:bCs/>
          <w:u w:val="single"/>
        </w:rPr>
        <w:t xml:space="preserve"> </w:t>
      </w:r>
      <w:r w:rsidR="004D2EAE">
        <w:rPr>
          <w:b/>
          <w:bCs/>
          <w:u w:val="single"/>
        </w:rPr>
        <w:t>c’est-à-dire 0,N-0,N   0,N-1,N    1,N-0,N    1,N-1,N</w:t>
      </w:r>
    </w:p>
    <w:p w:rsidR="00592E1D" w:rsidRPr="00592E1D" w:rsidRDefault="00592E1D" w:rsidP="00592E1D">
      <w:r w:rsidRPr="00592E1D">
        <w:t>L’association est traduite en table avec pour clé primaire</w:t>
      </w:r>
      <w:r w:rsidR="009C58D1">
        <w:t xml:space="preserve"> (clé double)</w:t>
      </w:r>
      <w:r w:rsidRPr="00592E1D">
        <w:t>, la concaténation des identifiants des entités reliées par l’association.</w:t>
      </w:r>
    </w:p>
    <w:p w:rsidR="00592E1D" w:rsidRDefault="009C58D1" w:rsidP="00592E1D">
      <w:r>
        <w:t>Cette table ne contient que 2 clés étrangères</w:t>
      </w:r>
    </w:p>
    <w:p w:rsidR="009C58D1" w:rsidRPr="009C58D1" w:rsidRDefault="004D2EAE" w:rsidP="009C58D1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Règle 4</w:t>
      </w:r>
      <w:r w:rsidR="009C58D1" w:rsidRPr="009C58D1">
        <w:rPr>
          <w:b/>
          <w:bCs/>
          <w:u w:val="single"/>
        </w:rPr>
        <w:t xml:space="preserve"> : une association tern</w:t>
      </w:r>
      <w:r>
        <w:rPr>
          <w:b/>
          <w:bCs/>
          <w:u w:val="single"/>
        </w:rPr>
        <w:t xml:space="preserve">aire et plus de cardinalités </w:t>
      </w:r>
      <w:proofErr w:type="gramStart"/>
      <w:r>
        <w:rPr>
          <w:b/>
          <w:bCs/>
          <w:u w:val="single"/>
        </w:rPr>
        <w:t>0,N</w:t>
      </w:r>
      <w:proofErr w:type="gramEnd"/>
      <w:r>
        <w:rPr>
          <w:b/>
          <w:bCs/>
          <w:u w:val="single"/>
        </w:rPr>
        <w:t>- 0,N – 0,N</w:t>
      </w:r>
    </w:p>
    <w:p w:rsidR="009C58D1" w:rsidRDefault="009C58D1" w:rsidP="009C58D1">
      <w:r w:rsidRPr="009C58D1">
        <w:t>L’association est traduite par une table ayant pour clé primaire :  la concaténation des clés étrangères provenant des entités participant à l’association.</w:t>
      </w:r>
    </w:p>
    <w:p w:rsidR="004D2EAE" w:rsidRPr="00592E1D" w:rsidRDefault="004D2EAE" w:rsidP="004D2EAE">
      <w:pPr>
        <w:numPr>
          <w:ilvl w:val="0"/>
          <w:numId w:val="1"/>
        </w:numPr>
        <w:rPr>
          <w:b/>
          <w:bCs/>
          <w:u w:val="single"/>
        </w:rPr>
      </w:pPr>
      <w:r w:rsidRPr="00592E1D">
        <w:rPr>
          <w:b/>
          <w:bCs/>
          <w:u w:val="single"/>
        </w:rPr>
        <w:t xml:space="preserve">Règle </w:t>
      </w:r>
      <w:r>
        <w:rPr>
          <w:b/>
          <w:bCs/>
          <w:u w:val="single"/>
        </w:rPr>
        <w:t>5</w:t>
      </w:r>
      <w:r w:rsidRPr="00592E1D">
        <w:rPr>
          <w:b/>
          <w:bCs/>
          <w:u w:val="single"/>
        </w:rPr>
        <w:t xml:space="preserve"> : association binaire </w:t>
      </w:r>
      <w:r>
        <w:rPr>
          <w:b/>
          <w:bCs/>
          <w:u w:val="single"/>
        </w:rPr>
        <w:t>(0,1</w:t>
      </w:r>
      <w:proofErr w:type="gramStart"/>
      <w:r>
        <w:rPr>
          <w:b/>
          <w:bCs/>
          <w:u w:val="single"/>
        </w:rPr>
        <w:t>),N</w:t>
      </w:r>
      <w:proofErr w:type="gramEnd"/>
      <w:r>
        <w:rPr>
          <w:b/>
          <w:bCs/>
          <w:u w:val="single"/>
        </w:rPr>
        <w:t xml:space="preserve"> – (0,1),N porteuse d’attributs</w:t>
      </w:r>
      <w:r w:rsidRPr="004D2EA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c’est-à-dire 0,N-0,N   0,N-1,N    1,N-0,N    1,N-1,N</w:t>
      </w:r>
    </w:p>
    <w:p w:rsidR="004D2EAE" w:rsidRPr="00592E1D" w:rsidRDefault="004D2EAE" w:rsidP="004D2EAE">
      <w:r w:rsidRPr="00592E1D">
        <w:t>L’association est traduite en table avec pour clé primaire</w:t>
      </w:r>
      <w:r>
        <w:t xml:space="preserve"> (clé double)</w:t>
      </w:r>
      <w:r w:rsidRPr="00592E1D">
        <w:t>, la concaténation des identifiants des entités reliées par l’association.</w:t>
      </w:r>
    </w:p>
    <w:p w:rsidR="004D2EAE" w:rsidRDefault="004D2EAE" w:rsidP="004D2EAE">
      <w:r>
        <w:t>Cette table contient 2 clés étrangères et les attributs de l’association</w:t>
      </w:r>
    </w:p>
    <w:p w:rsidR="00CF33B6" w:rsidRDefault="00CF33B6"/>
    <w:p w:rsidR="00CF33B6" w:rsidRDefault="00CF33B6" w:rsidP="009C58D1"/>
    <w:p w:rsidR="00CF33B6" w:rsidRDefault="00CF33B6" w:rsidP="009C58D1"/>
    <w:p w:rsidR="00CF33B6" w:rsidRDefault="00CF33B6" w:rsidP="009C58D1"/>
    <w:p w:rsidR="00CF33B6" w:rsidRDefault="00CF33B6" w:rsidP="00CF33B6">
      <w:pPr>
        <w:ind w:left="2832" w:firstLine="708"/>
      </w:pPr>
      <w:r>
        <w:t>MCD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MLD</w:t>
      </w:r>
    </w:p>
    <w:p w:rsidR="00CF33B6" w:rsidRPr="009C58D1" w:rsidRDefault="004D2EAE" w:rsidP="009C58D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4607387</wp:posOffset>
                </wp:positionH>
                <wp:positionV relativeFrom="paragraph">
                  <wp:posOffset>792826</wp:posOffset>
                </wp:positionV>
                <wp:extent cx="606136" cy="69273"/>
                <wp:effectExtent l="0" t="0" r="381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36" cy="69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E086A" id="Rectangle 1" o:spid="_x0000_s1026" style="position:absolute;margin-left:362.8pt;margin-top:62.45pt;width:47.7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" fillcolor="white [3212]" stroked="f" strokeweight="1pt"/>
            </w:pict>
          </mc:Fallback>
        </mc:AlternateContent>
      </w:r>
      <w:r w:rsidR="00CF33B6">
        <w:rPr>
          <w:noProof/>
          <w:lang w:eastAsia="fr-FR"/>
        </w:rPr>
        <w:drawing>
          <wp:inline distT="0" distB="0" distL="0" distR="0">
            <wp:extent cx="4170918" cy="3863340"/>
            <wp:effectExtent l="0" t="0" r="127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C16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58" cy="38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B6">
        <w:t xml:space="preserve">         </w:t>
      </w:r>
      <w:r w:rsidR="00CF33B6">
        <w:rPr>
          <w:noProof/>
          <w:lang w:eastAsia="fr-FR"/>
        </w:rPr>
        <w:drawing>
          <wp:inline distT="0" distB="0" distL="0" distR="0">
            <wp:extent cx="3797400" cy="3862699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C6D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72" cy="38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D1" w:rsidRPr="00592E1D" w:rsidRDefault="009C58D1" w:rsidP="00592E1D"/>
    <w:sectPr w:rsidR="009C58D1" w:rsidRPr="00592E1D" w:rsidSect="00CF33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63D55"/>
    <w:multiLevelType w:val="hybridMultilevel"/>
    <w:tmpl w:val="6804FDFC"/>
    <w:lvl w:ilvl="0" w:tplc="34A60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FA8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36C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DAF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183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3E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0F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2E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1AD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1D"/>
    <w:rsid w:val="004429F7"/>
    <w:rsid w:val="004D2EAE"/>
    <w:rsid w:val="00592E1D"/>
    <w:rsid w:val="005B6212"/>
    <w:rsid w:val="0085182C"/>
    <w:rsid w:val="009C58D1"/>
    <w:rsid w:val="00CE34E6"/>
    <w:rsid w:val="00C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59444-674C-4AB1-9019-D1C791FB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9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2018-12-10T13:37:00Z</dcterms:created>
  <dcterms:modified xsi:type="dcterms:W3CDTF">2018-12-10T13:37:00Z</dcterms:modified>
</cp:coreProperties>
</file>