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line="252" w:lineRule="auto"/>
        <w:jc w:val="center"/>
      </w:pPr>
      <w:r>
        <w:rPr>
          <w:rFonts w:ascii="Arial" w:hAnsi="Arial" w:eastAsia="Arial"/>
          <w:b/>
          <w:color w:val="1F4E78"/>
          <w:sz w:val="46"/>
        </w:rPr>
        <w:t>BÁO CÁO ĐÓNG GÓI FEATURE 2.1</w:t>
      </w:r>
    </w:p>
    <w:p>
      <w:pPr>
        <w:spacing w:before="0" w:after="60" w:line="252" w:lineRule="auto"/>
        <w:jc w:val="center"/>
      </w:pPr>
      <w:r>
        <w:rPr>
          <w:rFonts w:ascii="Arial" w:hAnsi="Arial" w:eastAsia="Arial"/>
          <w:color w:val="4F4F4F"/>
          <w:sz w:val="28"/>
        </w:rPr>
        <w:t>Data Intake, Validation &amp; Temporal Split - HitRadar Pro</w:t>
      </w:r>
    </w:p>
    <w:p>
      <w:pPr>
        <w:spacing w:before="0" w:after="200" w:line="252" w:lineRule="auto"/>
        <w:jc w:val="center"/>
      </w:pPr>
      <w:r>
        <w:rPr>
          <w:rFonts w:ascii="Arial" w:hAnsi="Arial" w:eastAsia="Arial"/>
          <w:color w:val="595959"/>
          <w:sz w:val="25"/>
        </w:rPr>
        <w:t>EPIC 2 - Data Science &amp; ML Engineering</w:t>
      </w:r>
    </w:p>
    <w:tbl>
      <w:tblPr>
        <w:tblW w:type="auto" w:w="0"/>
        <w:jc w:val="center"/>
        <w:tblLayout w:type="fixed"/>
        <w:tblLook w:firstColumn="1" w:firstRow="1" w:lastColumn="0" w:lastRow="0" w:noHBand="0" w:noVBand="1" w:val="04A0"/>
      </w:tblPr>
      <w:tblGrid>
        <w:gridCol w:w="10123"/>
      </w:tblGrid>
      <w:tr>
        <w:tc>
          <w:tcPr>
            <w:tcW w:type="dxa" w:w="10152"/>
            <w:shd w:fill="E2F0D9"/>
            <w:tcMar>
              <w:top w:w="100" w:type="dxa"/>
              <w:start w:w="120" w:type="dxa"/>
              <w:bottom w:w="100" w:type="dxa"/>
              <w:end w:w="120" w:type="dxa"/>
            </w:tcMar>
            <w:tcBorders>
              <w:top w:val="single" w:sz="7" w:color="70AD47"/>
              <w:left w:val="single" w:sz="7" w:color="70AD47"/>
              <w:bottom w:val="single" w:sz="7" w:color="70AD47"/>
              <w:right w:val="single" w:sz="7" w:color="70AD47"/>
            </w:tcBorders>
          </w:tcPr>
          <w:p>
            <w:pPr>
              <w:spacing w:before="0" w:after="40" w:line="252" w:lineRule="auto"/>
            </w:pPr>
            <w:r>
              <w:rPr>
                <w:rFonts w:ascii="Arial" w:hAnsi="Arial" w:eastAsia="Arial"/>
                <w:b/>
                <w:color w:val="1F4E78"/>
                <w:sz w:val="23"/>
              </w:rPr>
              <w:t>Trạng thái: PASS_WITH_WARNINGS - TEMPORAL SPLIT LOCKED &amp; HOTFIX VERIFIED</w:t>
              <w:br/>
              <w:t>Feature 2.1 đã tiếp nhận và đóng băng snapshot dữ liệu, xác minh contract, khóa temporal split, bảo vệ test set và chạy 95 kiểm tra nội dung. Toàn bộ 95 check đều PASS, không có FAIL hoặc blocker; các rủi ro temporal shift, proxy và ngoại lệ dữ liệu đã được chuyển tiếp có kiểm soát.</w:t>
            </w:r>
          </w:p>
        </w:tc>
      </w:tr>
    </w:tbl>
    <w:p>
      <w:pPr>
        <w:spacing w:after="0"/>
      </w:pPr>
    </w:p>
    <w:tbl>
      <w:tblPr>
        <w:tblW w:type="auto" w:w="0"/>
        <w:jc w:val="center"/>
        <w:tblLayout w:type="fixed"/>
        <w:tblLook w:firstColumn="1" w:firstRow="1" w:lastColumn="0" w:lastRow="0" w:noHBand="0" w:noVBand="1" w:val="04A0"/>
      </w:tblPr>
      <w:tblGrid>
        <w:gridCol w:w="3374"/>
        <w:gridCol w:w="3374"/>
        <w:gridCol w:w="3374"/>
      </w:tblGrid>
      <w:tr>
        <w:tc>
          <w:tcPr>
            <w:tcW w:type="dxa" w:w="3384"/>
            <w:shd w:fill="D9EAF7"/>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1F4E78"/>
                <w:sz w:val="19"/>
              </w:rPr>
              <w:t>HARD CHECKS</w:t>
              <w:br/>
              <w:t>95 / 95 PASS</w:t>
              <w:br/>
              <w:t>0 FAIL</w:t>
            </w:r>
          </w:p>
        </w:tc>
        <w:tc>
          <w:tcPr>
            <w:tcW w:type="dxa" w:w="3384"/>
            <w:shd w:fill="FFF2CC"/>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C65911"/>
                <w:sz w:val="19"/>
              </w:rPr>
              <w:t>WARNING GROUPS</w:t>
              <w:br/>
              <w:t>4</w:t>
              <w:br/>
              <w:t>Shift, proxy, sentinel, imbalance</w:t>
            </w:r>
          </w:p>
        </w:tc>
        <w:tc>
          <w:tcPr>
            <w:tcW w:type="dxa" w:w="3384"/>
            <w:shd w:fill="E2F0D9"/>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2E7D32"/>
                <w:sz w:val="19"/>
              </w:rPr>
              <w:t>BLOCKER</w:t>
              <w:br/>
              <w:t>0</w:t>
              <w:br/>
              <w:t>Đủ điều kiện sang Feature 2.2</w:t>
            </w:r>
          </w:p>
        </w:tc>
      </w:tr>
    </w:tbl>
    <w:p>
      <w:pPr>
        <w:spacing w:after="0"/>
      </w:pPr>
    </w:p>
    <w:tbl>
      <w:tblPr>
        <w:tblW w:type="auto" w:w="0"/>
        <w:jc w:val="center"/>
        <w:tblLayout w:type="fixed"/>
        <w:tblLook w:firstColumn="1" w:firstRow="1" w:lastColumn="0" w:lastRow="0" w:noHBand="0" w:noVBand="1" w:val="04A0"/>
      </w:tblPr>
      <w:tblGrid>
        <w:gridCol w:w="5061"/>
        <w:gridCol w:w="5061"/>
      </w:tblGrid>
      <w:tr>
        <w:trPr>
          <w:cantSplit/>
        </w:trPr>
        <w:tc>
          <w:tcPr>
            <w:tcW w:type="dxa" w:w="316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Trường</w:t>
            </w:r>
          </w:p>
        </w:tc>
        <w:tc>
          <w:tcPr>
            <w:tcW w:type="dxa" w:w="6983"/>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Thông tin</w:t>
            </w:r>
          </w:p>
        </w:tc>
      </w:tr>
      <w:tr>
        <w:trPr>
          <w:cantSplit/>
        </w:trPr>
        <w:tc>
          <w:tcPr>
            <w:tcW w:type="dxa" w:w="316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Dự án</w:t>
            </w:r>
          </w:p>
        </w:tc>
        <w:tc>
          <w:tcPr>
            <w:tcW w:type="dxa" w:w="6983"/>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HitRadar Pro</w:t>
            </w:r>
          </w:p>
        </w:tc>
      </w:tr>
      <w:tr>
        <w:trPr>
          <w:cantSplit/>
        </w:trPr>
        <w:tc>
          <w:tcPr>
            <w:tcW w:type="dxa" w:w="316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Người thực hiện</w:t>
            </w:r>
          </w:p>
        </w:tc>
        <w:tc>
          <w:tcPr>
            <w:tcW w:type="dxa" w:w="6983"/>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Tuấn Anh</w:t>
            </w:r>
          </w:p>
        </w:tc>
      </w:tr>
      <w:tr>
        <w:trPr>
          <w:cantSplit/>
        </w:trPr>
        <w:tc>
          <w:tcPr>
            <w:tcW w:type="dxa" w:w="316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Feature</w:t>
            </w:r>
          </w:p>
        </w:tc>
        <w:tc>
          <w:tcPr>
            <w:tcW w:type="dxa" w:w="6983"/>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2.1 - Data Intake, Validation &amp; Temporal Split</w:t>
            </w:r>
          </w:p>
        </w:tc>
      </w:tr>
      <w:tr>
        <w:trPr>
          <w:cantSplit/>
        </w:trPr>
        <w:tc>
          <w:tcPr>
            <w:tcW w:type="dxa" w:w="316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Ngày hoàn thành / hotfix</w:t>
            </w:r>
          </w:p>
        </w:tc>
        <w:tc>
          <w:tcPr>
            <w:tcW w:type="dxa" w:w="6983"/>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2026-07-18</w:t>
            </w:r>
          </w:p>
        </w:tc>
      </w:tr>
      <w:tr>
        <w:trPr>
          <w:cantSplit/>
        </w:trPr>
        <w:tc>
          <w:tcPr>
            <w:tcW w:type="dxa" w:w="316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Nguồn canonical</w:t>
            </w:r>
          </w:p>
        </w:tc>
        <w:tc>
          <w:tcPr>
            <w:tcW w:type="dxa" w:w="6983"/>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analytics.vw_ml_ready_dataset</w:t>
            </w:r>
          </w:p>
        </w:tc>
      </w:tr>
      <w:tr>
        <w:trPr>
          <w:cantSplit/>
        </w:trPr>
        <w:tc>
          <w:tcPr>
            <w:tcW w:type="dxa" w:w="316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Snapshot sử dụng</w:t>
            </w:r>
          </w:p>
        </w:tc>
        <w:tc>
          <w:tcPr>
            <w:tcW w:type="dxa" w:w="6983"/>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5.DATA/processed/ml_ready_dataset.parquet</w:t>
            </w:r>
          </w:p>
        </w:tc>
      </w:tr>
      <w:tr>
        <w:trPr>
          <w:cantSplit/>
        </w:trPr>
        <w:tc>
          <w:tcPr>
            <w:tcW w:type="dxa" w:w="316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Data / split version</w:t>
            </w:r>
          </w:p>
        </w:tc>
        <w:tc>
          <w:tcPr>
            <w:tcW w:type="dxa" w:w="6983"/>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ml-ready-2026-07-17-v1 / temporal-split-v1</w:t>
            </w:r>
          </w:p>
        </w:tc>
      </w:tr>
      <w:tr>
        <w:trPr>
          <w:cantSplit/>
        </w:trPr>
        <w:tc>
          <w:tcPr>
            <w:tcW w:type="dxa" w:w="316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Quyết định</w:t>
            </w:r>
          </w:p>
        </w:tc>
        <w:tc>
          <w:tcPr>
            <w:tcW w:type="dxa" w:w="6983"/>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Đóng Feature 2.1; được phép bắt đầu Feature 2.2 — Leakage-Safe Preprocessing Pipeline</w:t>
            </w:r>
          </w:p>
        </w:tc>
      </w:tr>
    </w:tbl>
    <w:p>
      <w:pPr>
        <w:spacing w:after="0"/>
      </w:pPr>
    </w:p>
    <w:p>
      <w:r>
        <w:br w:type="page"/>
      </w:r>
    </w:p>
    <w:p>
      <w:pPr>
        <w:keepNext/>
        <w:spacing w:before="140" w:after="80"/>
      </w:pPr>
      <w:r>
        <w:rPr>
          <w:rFonts w:ascii="Arial" w:hAnsi="Arial" w:eastAsia="Arial"/>
          <w:b/>
          <w:color w:val="1F4E78"/>
          <w:sz w:val="30"/>
        </w:rPr>
        <w:t>Mục lục nhanh</w:t>
      </w:r>
    </w:p>
    <w:p>
      <w:pPr>
        <w:spacing w:before="0" w:after="30" w:line="252" w:lineRule="auto"/>
      </w:pPr>
      <w:r>
        <w:rPr>
          <w:rFonts w:ascii="Arial" w:hAnsi="Arial" w:eastAsia="Arial"/>
          <w:color w:val="111111"/>
          <w:sz w:val="20"/>
        </w:rPr>
        <w:t>1. Kết luận điều hành</w:t>
      </w:r>
    </w:p>
    <w:p>
      <w:pPr>
        <w:spacing w:before="0" w:after="30" w:line="252" w:lineRule="auto"/>
      </w:pPr>
      <w:r>
        <w:rPr>
          <w:rFonts w:ascii="Arial" w:hAnsi="Arial" w:eastAsia="Arial"/>
          <w:color w:val="111111"/>
          <w:sz w:val="20"/>
        </w:rPr>
        <w:t>2. Feature 2.1 là gì và nằm ở đâu trong EPIC 2</w:t>
      </w:r>
    </w:p>
    <w:p>
      <w:pPr>
        <w:spacing w:before="0" w:after="30" w:line="252" w:lineRule="auto"/>
      </w:pPr>
      <w:r>
        <w:rPr>
          <w:rFonts w:ascii="Arial" w:hAnsi="Arial" w:eastAsia="Arial"/>
          <w:color w:val="111111"/>
          <w:sz w:val="20"/>
        </w:rPr>
        <w:t>3. Input contract, snapshot và source reconciliation</w:t>
      </w:r>
    </w:p>
    <w:p>
      <w:pPr>
        <w:spacing w:before="0" w:after="30" w:line="252" w:lineRule="auto"/>
      </w:pPr>
      <w:r>
        <w:rPr>
          <w:rFonts w:ascii="Arial" w:hAnsi="Arial" w:eastAsia="Arial"/>
          <w:color w:val="111111"/>
          <w:sz w:val="20"/>
        </w:rPr>
        <w:t>4. Kết quả validation dữ liệu</w:t>
      </w:r>
    </w:p>
    <w:p>
      <w:pPr>
        <w:spacing w:before="0" w:after="30" w:line="252" w:lineRule="auto"/>
      </w:pPr>
      <w:r>
        <w:rPr>
          <w:rFonts w:ascii="Arial" w:hAnsi="Arial" w:eastAsia="Arial"/>
          <w:color w:val="111111"/>
          <w:sz w:val="20"/>
        </w:rPr>
        <w:t>5. Phân tích candidate và temporal split đã khóa</w:t>
      </w:r>
    </w:p>
    <w:p>
      <w:pPr>
        <w:spacing w:before="0" w:after="30" w:line="252" w:lineRule="auto"/>
      </w:pPr>
      <w:r>
        <w:rPr>
          <w:rFonts w:ascii="Arial" w:hAnsi="Arial" w:eastAsia="Arial"/>
          <w:color w:val="111111"/>
          <w:sz w:val="20"/>
        </w:rPr>
        <w:t>6. Split integrity, test governance và reproducibility</w:t>
      </w:r>
    </w:p>
    <w:p>
      <w:pPr>
        <w:spacing w:before="0" w:after="30" w:line="252" w:lineRule="auto"/>
      </w:pPr>
      <w:r>
        <w:rPr>
          <w:rFonts w:ascii="Arial" w:hAnsi="Arial" w:eastAsia="Arial"/>
          <w:color w:val="111111"/>
          <w:sz w:val="20"/>
        </w:rPr>
        <w:t>7. Hotfix: 9 lỗi đã phát hiện và sửa</w:t>
      </w:r>
    </w:p>
    <w:p>
      <w:pPr>
        <w:spacing w:before="0" w:after="30" w:line="252" w:lineRule="auto"/>
      </w:pPr>
      <w:r>
        <w:rPr>
          <w:rFonts w:ascii="Arial" w:hAnsi="Arial" w:eastAsia="Arial"/>
          <w:color w:val="111111"/>
          <w:sz w:val="20"/>
        </w:rPr>
        <w:t>8. Temporal shift, proxy risk và carry-forward</w:t>
      </w:r>
    </w:p>
    <w:p>
      <w:pPr>
        <w:spacing w:before="0" w:after="30" w:line="252" w:lineRule="auto"/>
      </w:pPr>
      <w:r>
        <w:rPr>
          <w:rFonts w:ascii="Arial" w:hAnsi="Arial" w:eastAsia="Arial"/>
          <w:color w:val="111111"/>
          <w:sz w:val="20"/>
        </w:rPr>
        <w:t>9. Output, Definition of Done và quyết định đóng Feature</w:t>
      </w:r>
    </w:p>
    <w:p>
      <w:pPr>
        <w:spacing w:before="0" w:after="30" w:line="252" w:lineRule="auto"/>
      </w:pPr>
      <w:r>
        <w:rPr>
          <w:rFonts w:ascii="Arial" w:hAnsi="Arial" w:eastAsia="Arial"/>
          <w:color w:val="111111"/>
          <w:sz w:val="20"/>
        </w:rPr>
        <w:t>Phụ lục: Evidence files và nguồn báo cáo</w:t>
      </w:r>
    </w:p>
    <w:p>
      <w:pPr>
        <w:keepNext/>
        <w:spacing w:before="140" w:after="80"/>
      </w:pPr>
      <w:r>
        <w:rPr>
          <w:rFonts w:ascii="Arial" w:hAnsi="Arial" w:eastAsia="Arial"/>
          <w:b/>
          <w:color w:val="1F4E78"/>
          <w:sz w:val="30"/>
        </w:rPr>
        <w:t>Vị trí Feature 2.1 trong EPIC 2</w:t>
      </w:r>
    </w:p>
    <w:tbl>
      <w:tblPr>
        <w:tblW w:type="auto" w:w="0"/>
        <w:jc w:val="center"/>
        <w:tblLayout w:type="fixed"/>
        <w:tblLook w:firstColumn="1" w:firstRow="1" w:lastColumn="0" w:lastRow="0" w:noHBand="0" w:noVBand="1" w:val="04A0"/>
      </w:tblPr>
      <w:tblGrid>
        <w:gridCol w:w="2025"/>
        <w:gridCol w:w="2025"/>
        <w:gridCol w:w="2025"/>
        <w:gridCol w:w="2025"/>
        <w:gridCol w:w="2025"/>
      </w:tblGrid>
      <w:tr>
        <w:tc>
          <w:tcPr>
            <w:tcW w:type="dxa" w:w="2030"/>
            <w:shd w:fill="D9EAF7"/>
            <w:tcMar>
              <w:top w:w="80" w:type="dxa"/>
              <w:start w:w="60" w:type="dxa"/>
              <w:bottom w:w="80" w:type="dxa"/>
              <w:end w:w="60" w:type="dxa"/>
            </w:tcMar>
            <w:tcBorders>
              <w:top w:val="single" w:sz="8" w:color="2F75B5"/>
              <w:left w:val="single" w:sz="8" w:color="2F75B5"/>
              <w:bottom w:val="single" w:sz="8" w:color="2F75B5"/>
              <w:right w:val="single" w:sz="8" w:color="2F75B5"/>
            </w:tcBorders>
          </w:tcPr>
          <w:p>
            <w:pPr>
              <w:spacing w:before="0" w:after="20" w:line="252" w:lineRule="auto"/>
              <w:jc w:val="center"/>
            </w:pPr>
            <w:r>
              <w:rPr>
                <w:rFonts w:ascii="Arial" w:hAnsi="Arial" w:eastAsia="Arial"/>
                <w:b/>
                <w:color w:val="1F4E78"/>
                <w:sz w:val="18"/>
              </w:rPr>
              <w:t>F2.0</w:t>
            </w:r>
          </w:p>
          <w:p>
            <w:pPr>
              <w:spacing w:before="0" w:after="0" w:line="252" w:lineRule="auto"/>
              <w:jc w:val="center"/>
            </w:pPr>
            <w:r>
              <w:rPr>
                <w:rFonts w:ascii="Arial" w:hAnsi="Arial" w:eastAsia="Arial"/>
                <w:color w:val="666666"/>
                <w:sz w:val="15"/>
              </w:rPr>
              <w:t>ML Contract</w:t>
              <w:br/>
              <w:t>LOCKED</w:t>
            </w:r>
          </w:p>
        </w:tc>
        <w:tc>
          <w:tcPr>
            <w:tcW w:type="dxa" w:w="2030"/>
            <w:shd w:fill="E2F0D9"/>
            <w:tcMar>
              <w:top w:w="80" w:type="dxa"/>
              <w:start w:w="60" w:type="dxa"/>
              <w:bottom w:w="80" w:type="dxa"/>
              <w:end w:w="60" w:type="dxa"/>
            </w:tcMar>
            <w:tcBorders>
              <w:top w:val="single" w:sz="8" w:color="2E7D32"/>
              <w:left w:val="single" w:sz="8" w:color="2E7D32"/>
              <w:bottom w:val="single" w:sz="8" w:color="2E7D32"/>
              <w:right w:val="single" w:sz="8" w:color="2E7D32"/>
            </w:tcBorders>
          </w:tcPr>
          <w:p>
            <w:pPr>
              <w:spacing w:before="0" w:after="20" w:line="252" w:lineRule="auto"/>
              <w:jc w:val="center"/>
            </w:pPr>
            <w:r>
              <w:rPr>
                <w:rFonts w:ascii="Arial" w:hAnsi="Arial" w:eastAsia="Arial"/>
                <w:b/>
                <w:color w:val="2E7D32"/>
                <w:sz w:val="18"/>
              </w:rPr>
              <w:t>F2.1</w:t>
            </w:r>
          </w:p>
          <w:p>
            <w:pPr>
              <w:spacing w:before="0" w:after="0" w:line="252" w:lineRule="auto"/>
              <w:jc w:val="center"/>
            </w:pPr>
            <w:r>
              <w:rPr>
                <w:rFonts w:ascii="Arial" w:hAnsi="Arial" w:eastAsia="Arial"/>
                <w:color w:val="666666"/>
                <w:sz w:val="15"/>
              </w:rPr>
              <w:t>Intake + Split</w:t>
              <w:br/>
              <w:t>PASS_WITH_WARNINGS</w:t>
            </w:r>
          </w:p>
        </w:tc>
        <w:tc>
          <w:tcPr>
            <w:tcW w:type="dxa" w:w="2030"/>
            <w:shd w:fill="FFF2CC"/>
            <w:tcMar>
              <w:top w:w="80" w:type="dxa"/>
              <w:start w:w="60" w:type="dxa"/>
              <w:bottom w:w="80" w:type="dxa"/>
              <w:end w:w="60" w:type="dxa"/>
            </w:tcMar>
            <w:tcBorders>
              <w:top w:val="single" w:sz="8" w:color="D6B656"/>
              <w:left w:val="single" w:sz="8" w:color="D6B656"/>
              <w:bottom w:val="single" w:sz="8" w:color="D6B656"/>
              <w:right w:val="single" w:sz="8" w:color="D6B656"/>
            </w:tcBorders>
          </w:tcPr>
          <w:p>
            <w:pPr>
              <w:spacing w:before="0" w:after="20" w:line="252" w:lineRule="auto"/>
              <w:jc w:val="center"/>
            </w:pPr>
            <w:r>
              <w:rPr>
                <w:rFonts w:ascii="Arial" w:hAnsi="Arial" w:eastAsia="Arial"/>
                <w:b/>
                <w:color w:val="C65911"/>
                <w:sz w:val="18"/>
              </w:rPr>
              <w:t>F2.2</w:t>
            </w:r>
          </w:p>
          <w:p>
            <w:pPr>
              <w:spacing w:before="0" w:after="0" w:line="252" w:lineRule="auto"/>
              <w:jc w:val="center"/>
            </w:pPr>
            <w:r>
              <w:rPr>
                <w:rFonts w:ascii="Arial" w:hAnsi="Arial" w:eastAsia="Arial"/>
                <w:color w:val="666666"/>
                <w:sz w:val="15"/>
              </w:rPr>
              <w:t>Leakage-Safe</w:t>
              <w:br/>
              <w:t>Preprocessing</w:t>
            </w:r>
          </w:p>
        </w:tc>
        <w:tc>
          <w:tcPr>
            <w:tcW w:type="dxa" w:w="2030"/>
            <w:shd w:fill="FFF2CC"/>
            <w:tcMar>
              <w:top w:w="80" w:type="dxa"/>
              <w:start w:w="60" w:type="dxa"/>
              <w:bottom w:w="80" w:type="dxa"/>
              <w:end w:w="60" w:type="dxa"/>
            </w:tcMar>
            <w:tcBorders>
              <w:top w:val="single" w:sz="8" w:color="D6B656"/>
              <w:left w:val="single" w:sz="8" w:color="D6B656"/>
              <w:bottom w:val="single" w:sz="8" w:color="D6B656"/>
              <w:right w:val="single" w:sz="8" w:color="D6B656"/>
            </w:tcBorders>
          </w:tcPr>
          <w:p>
            <w:pPr>
              <w:spacing w:before="0" w:after="20" w:line="252" w:lineRule="auto"/>
              <w:jc w:val="center"/>
            </w:pPr>
            <w:r>
              <w:rPr>
                <w:rFonts w:ascii="Arial" w:hAnsi="Arial" w:eastAsia="Arial"/>
                <w:b/>
                <w:color w:val="C65911"/>
                <w:sz w:val="18"/>
              </w:rPr>
              <w:t>F2.3</w:t>
            </w:r>
          </w:p>
          <w:p>
            <w:pPr>
              <w:spacing w:before="0" w:after="0" w:line="252" w:lineRule="auto"/>
              <w:jc w:val="center"/>
            </w:pPr>
            <w:r>
              <w:rPr>
                <w:rFonts w:ascii="Arial" w:hAnsi="Arial" w:eastAsia="Arial"/>
                <w:color w:val="666666"/>
                <w:sz w:val="15"/>
              </w:rPr>
              <w:t>Feature</w:t>
              <w:br/>
              <w:t>Engineering</w:t>
            </w:r>
          </w:p>
        </w:tc>
        <w:tc>
          <w:tcPr>
            <w:tcW w:type="dxa" w:w="2030"/>
            <w:shd w:fill="EAF3F8"/>
            <w:tcMar>
              <w:top w:w="80" w:type="dxa"/>
              <w:start w:w="60" w:type="dxa"/>
              <w:bottom w:w="80" w:type="dxa"/>
              <w:end w:w="60" w:type="dxa"/>
            </w:tcMar>
            <w:tcBorders>
              <w:top w:val="single" w:sz="8" w:color="2F75B5"/>
              <w:left w:val="single" w:sz="8" w:color="2F75B5"/>
              <w:bottom w:val="single" w:sz="8" w:color="2F75B5"/>
              <w:right w:val="single" w:sz="8" w:color="2F75B5"/>
            </w:tcBorders>
          </w:tcPr>
          <w:p>
            <w:pPr>
              <w:spacing w:before="0" w:after="20" w:line="252" w:lineRule="auto"/>
              <w:jc w:val="center"/>
            </w:pPr>
            <w:r>
              <w:rPr>
                <w:rFonts w:ascii="Arial" w:hAnsi="Arial" w:eastAsia="Arial"/>
                <w:b/>
                <w:color w:val="1F4E78"/>
                <w:sz w:val="18"/>
              </w:rPr>
              <w:t>F2.4–2.7</w:t>
            </w:r>
          </w:p>
          <w:p>
            <w:pPr>
              <w:spacing w:before="0" w:after="0" w:line="252" w:lineRule="auto"/>
              <w:jc w:val="center"/>
            </w:pPr>
            <w:r>
              <w:rPr>
                <w:rFonts w:ascii="Arial" w:hAnsi="Arial" w:eastAsia="Arial"/>
                <w:color w:val="666666"/>
                <w:sz w:val="15"/>
              </w:rPr>
              <w:t>Train → Evaluate</w:t>
              <w:br/>
              <w:t>SHAP → Package</w:t>
            </w:r>
          </w:p>
        </w:tc>
      </w:tr>
    </w:tbl>
    <w:p>
      <w:pPr>
        <w:spacing w:after="0"/>
      </w:pPr>
    </w:p>
    <w:p>
      <w:pPr>
        <w:spacing w:before="60" w:after="60" w:line="252" w:lineRule="auto"/>
      </w:pPr>
      <w:r>
        <w:rPr>
          <w:rFonts w:ascii="Arial" w:hAnsi="Arial" w:eastAsia="Arial"/>
          <w:b w:val="0"/>
          <w:i/>
          <w:color w:val="666666"/>
          <w:sz w:val="18"/>
        </w:rPr>
        <w:t>Ý nghĩa: Feature 2.1 khóa membership của train/validation/test. Từ Feature 2.2 trở đi, mọi preprocessing, feature engineering và model phải sử dụng đúng data_version và split_version đã bàn giao.</w:t>
      </w:r>
    </w:p>
    <w:p>
      <w:pPr>
        <w:keepNext/>
        <w:spacing w:before="140" w:after="80"/>
      </w:pPr>
      <w:r>
        <w:rPr>
          <w:rFonts w:ascii="Arial" w:hAnsi="Arial" w:eastAsia="Arial"/>
          <w:b/>
          <w:color w:val="1F4E78"/>
          <w:sz w:val="30"/>
        </w:rPr>
        <w:t>Cách đọc trạng thái</w:t>
      </w:r>
    </w:p>
    <w:tbl>
      <w:tblPr>
        <w:tblW w:type="auto" w:w="0"/>
        <w:jc w:val="center"/>
        <w:tblLayout w:type="fixed"/>
        <w:tblLook w:firstColumn="1" w:firstRow="1" w:lastColumn="0" w:lastRow="0" w:noHBand="0" w:noVBand="1" w:val="04A0"/>
      </w:tblPr>
      <w:tblGrid>
        <w:gridCol w:w="5061"/>
        <w:gridCol w:w="5061"/>
      </w:tblGrid>
      <w:tr>
        <w:trPr>
          <w:cantSplit/>
        </w:trPr>
        <w:tc>
          <w:tcPr>
            <w:tcW w:type="dxa" w:w="230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8"/>
              </w:rPr>
              <w:t>Trạng thái</w:t>
            </w:r>
          </w:p>
        </w:tc>
        <w:tc>
          <w:tcPr>
            <w:tcW w:type="dxa" w:w="784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8"/>
              </w:rPr>
              <w:t>Ý nghĩa</w:t>
            </w:r>
          </w:p>
        </w:tc>
      </w:tr>
      <w:tr>
        <w:trPr>
          <w:cantSplit/>
        </w:trPr>
        <w:tc>
          <w:tcPr>
            <w:tcW w:type="dxa" w:w="230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8"/>
              </w:rPr>
              <w:t>PASS</w:t>
            </w:r>
          </w:p>
        </w:tc>
        <w:tc>
          <w:tcPr>
            <w:tcW w:type="dxa" w:w="78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8"/>
              </w:rPr>
              <w:t>Tất cả hard gate đạt, không còn warning đáng kể.</w:t>
            </w:r>
          </w:p>
        </w:tc>
      </w:tr>
      <w:tr>
        <w:trPr>
          <w:cantSplit/>
        </w:trPr>
        <w:tc>
          <w:tcPr>
            <w:tcW w:type="dxa" w:w="230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8"/>
              </w:rPr>
              <w:t>PASS_WITH_WARNINGS</w:t>
            </w:r>
          </w:p>
        </w:tc>
        <w:tc>
          <w:tcPr>
            <w:tcW w:type="dxa" w:w="78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8"/>
              </w:rPr>
              <w:t>Không có blocker; warning đã được định danh, gán owner và carry-forward.</w:t>
            </w:r>
          </w:p>
        </w:tc>
      </w:tr>
      <w:tr>
        <w:trPr>
          <w:cantSplit/>
        </w:trPr>
        <w:tc>
          <w:tcPr>
            <w:tcW w:type="dxa" w:w="230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8"/>
              </w:rPr>
              <w:t>FAIL</w:t>
            </w:r>
          </w:p>
        </w:tc>
        <w:tc>
          <w:tcPr>
            <w:tcW w:type="dxa" w:w="78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8"/>
              </w:rPr>
              <w:t>Sai contract, overlap, chronology, hash, target/identifier hoặc có test misuse.</w:t>
            </w:r>
          </w:p>
        </w:tc>
      </w:tr>
    </w:tbl>
    <w:p>
      <w:pPr>
        <w:spacing w:after="0"/>
      </w:pPr>
    </w:p>
    <w:p>
      <w:r>
        <w:br w:type="page"/>
      </w:r>
    </w:p>
    <w:p>
      <w:pPr>
        <w:keepNext/>
        <w:spacing w:before="140" w:after="80"/>
      </w:pPr>
      <w:r>
        <w:rPr>
          <w:rFonts w:ascii="Arial" w:hAnsi="Arial" w:eastAsia="Arial"/>
          <w:b/>
          <w:color w:val="1F4E78"/>
          <w:sz w:val="30"/>
        </w:rPr>
        <w:t>1. Kết luận điều hành</w:t>
      </w:r>
    </w:p>
    <w:tbl>
      <w:tblPr>
        <w:tblW w:type="auto" w:w="0"/>
        <w:jc w:val="center"/>
        <w:tblLayout w:type="fixed"/>
        <w:tblLook w:firstColumn="1" w:firstRow="1" w:lastColumn="0" w:lastRow="0" w:noHBand="0" w:noVBand="1" w:val="04A0"/>
      </w:tblPr>
      <w:tblGrid>
        <w:gridCol w:w="10123"/>
      </w:tblGrid>
      <w:tr>
        <w:tc>
          <w:tcPr>
            <w:tcW w:type="dxa" w:w="10152"/>
            <w:shd w:fill="EAF3F8"/>
            <w:tcMar>
              <w:top w:w="100" w:type="dxa"/>
              <w:start w:w="120" w:type="dxa"/>
              <w:bottom w:w="100" w:type="dxa"/>
              <w:end w:w="120" w:type="dxa"/>
            </w:tcMar>
            <w:tcBorders>
              <w:top w:val="single" w:sz="7" w:color="2F75B5"/>
              <w:left w:val="single" w:sz="7" w:color="2F75B5"/>
              <w:bottom w:val="single" w:sz="7" w:color="2F75B5"/>
              <w:right w:val="single" w:sz="7" w:color="2F75B5"/>
            </w:tcBorders>
          </w:tcPr>
          <w:p>
            <w:pPr>
              <w:spacing w:before="0" w:after="40" w:line="252" w:lineRule="auto"/>
            </w:pPr>
            <w:r>
              <w:rPr>
                <w:rFonts w:ascii="Arial" w:hAnsi="Arial" w:eastAsia="Arial"/>
                <w:b/>
                <w:color w:val="1F4E78"/>
                <w:sz w:val="23"/>
              </w:rPr>
              <w:t>Kết luận một câu</w:t>
            </w:r>
          </w:p>
          <w:p>
            <w:pPr>
              <w:spacing w:before="0" w:after="0" w:line="259" w:lineRule="auto"/>
            </w:pPr>
            <w:r>
              <w:rPr>
                <w:rFonts w:ascii="Arial" w:hAnsi="Arial" w:eastAsia="Arial"/>
                <w:color w:val="111111"/>
                <w:sz w:val="19"/>
              </w:rPr>
              <w:t>Feature 2.1 đã chuyển dataset ML-ready từ trạng thái “được bàn giao” sang trạng thái “được đóng băng, định danh phiên bản, chia theo thời gian, khóa test set và kiểm chứng bằng nội dung”.</w:t>
            </w:r>
          </w:p>
        </w:tc>
      </w:tr>
    </w:tbl>
    <w:p>
      <w:pPr>
        <w:spacing w:after="0"/>
      </w:pPr>
    </w:p>
    <w:p>
      <w:pPr>
        <w:spacing w:before="40" w:after="40" w:line="252" w:lineRule="auto"/>
      </w:pPr>
      <w:r>
        <w:rPr>
          <w:rFonts w:ascii="Arial" w:hAnsi="Arial" w:eastAsia="Arial"/>
          <w:b/>
          <w:i w:val="0"/>
          <w:color w:val="1F4E78"/>
          <w:sz w:val="22"/>
        </w:rPr>
        <w:t>Kết quả cuối cùng</w:t>
      </w:r>
    </w:p>
    <w:p>
      <w:pPr>
        <w:pStyle w:val="ListBullet"/>
        <w:spacing w:before="0" w:after="30" w:line="252" w:lineRule="auto"/>
        <w:ind w:left="259" w:hanging="173"/>
      </w:pPr>
      <w:r>
        <w:rPr>
          <w:rFonts w:ascii="Arial" w:hAnsi="Arial" w:eastAsia="Arial"/>
          <w:color w:val="111111"/>
          <w:sz w:val="19"/>
        </w:rPr>
        <w:t>Hai export vật lý Parquet và CSV đã được đối chiếu và khớp 586.672 dòng × 20 cột. Tuy nhiên live view analytics.vw_ml_ready_dataset không được kiểm tra trực tiếp trong môi trường sinh báo cáo; vì vậy trạng thái chính xác là Physical exports = RECONCILED, Live DB = NOT_DIRECTLY_VERIFIED.</w:t>
      </w:r>
    </w:p>
    <w:p>
      <w:pPr>
        <w:pStyle w:val="ListBullet"/>
        <w:spacing w:before="0" w:after="30" w:line="252" w:lineRule="auto"/>
        <w:ind w:left="259" w:hanging="173"/>
      </w:pPr>
      <w:r>
        <w:rPr>
          <w:rFonts w:ascii="Arial" w:hAnsi="Arial" w:eastAsia="Arial"/>
          <w:color w:val="111111"/>
          <w:sz w:val="19"/>
        </w:rPr>
        <w:t>Dataset có đúng 18 baseline features; track_id và target_popularity không nằm trong feature matrix; không phát hiện forbidden leakage columns.</w:t>
      </w:r>
    </w:p>
    <w:p>
      <w:pPr>
        <w:pStyle w:val="ListBullet"/>
        <w:spacing w:before="0" w:after="30" w:line="252" w:lineRule="auto"/>
        <w:ind w:left="259" w:hanging="173"/>
      </w:pPr>
      <w:r>
        <w:rPr>
          <w:rFonts w:ascii="Arial" w:hAnsi="Arial" w:eastAsia="Arial"/>
          <w:color w:val="111111"/>
          <w:sz w:val="19"/>
        </w:rPr>
        <w:t>Temporal split được khóa theo C1: Train 1900–2004, Validation 2005–2013, Test 2014–2021; tổng cộng 586.672 dòng, zero overlap.</w:t>
      </w:r>
    </w:p>
    <w:p>
      <w:pPr>
        <w:pStyle w:val="ListBullet"/>
        <w:spacing w:before="0" w:after="30" w:line="252" w:lineRule="auto"/>
        <w:ind w:left="259" w:hanging="173"/>
      </w:pPr>
      <w:r>
        <w:rPr>
          <w:rFonts w:ascii="Arial" w:hAnsi="Arial" w:eastAsia="Arial"/>
          <w:color w:val="111111"/>
          <w:sz w:val="19"/>
        </w:rPr>
        <w:t>Validation được nâng từ kiểm tra file tồn tại lên 95 kiểm tra nội dung: YAML/JSON parsing, schema, hash, union/intersection, chronology, manifest, test lock, source reconciliation và hai guard bổ sung xác nhận PSI train–validation là NOT_COMPUTED/NOT_ASSESSED.</w:t>
      </w:r>
    </w:p>
    <w:p>
      <w:pPr>
        <w:pStyle w:val="ListBullet"/>
        <w:spacing w:before="0" w:after="30" w:line="252" w:lineRule="auto"/>
        <w:ind w:left="259" w:hanging="173"/>
      </w:pPr>
      <w:r>
        <w:rPr>
          <w:rFonts w:ascii="Arial" w:hAnsi="Arial" w:eastAsia="Arial"/>
          <w:color w:val="111111"/>
          <w:sz w:val="19"/>
        </w:rPr>
        <w:t>Trạng thái cuối PASS_WITH_WARNINGS; không có blocker và Feature 2.2 được phép bắt đầu. Các warning còn lại không phải lỗi split mà là rủi ro cần xử lý đúng owner ở Feature 2.2, Feature 2.4 và Feature 2.5.</w:t>
      </w:r>
    </w:p>
    <w:p>
      <w:pPr>
        <w:keepNext/>
        <w:spacing w:before="140" w:after="80"/>
      </w:pPr>
      <w:r>
        <w:rPr>
          <w:rFonts w:ascii="Arial" w:hAnsi="Arial" w:eastAsia="Arial"/>
          <w:b/>
          <w:color w:val="1F4E78"/>
          <w:sz w:val="30"/>
        </w:rPr>
        <w:t>2. Feature 2.1 là gì?</w:t>
      </w:r>
    </w:p>
    <w:p>
      <w:pPr>
        <w:spacing w:before="0" w:after="60" w:line="252" w:lineRule="auto"/>
      </w:pPr>
      <w:r>
        <w:rPr>
          <w:rFonts w:ascii="Arial" w:hAnsi="Arial" w:eastAsia="Arial"/>
          <w:b w:val="0"/>
          <w:i w:val="0"/>
          <w:color w:val="111111"/>
          <w:sz w:val="19"/>
        </w:rPr>
        <w:t>Nói đơn giản, Feature 2.1 là bước “nhận hàng, niêm phong và chia kho theo thời gian”. Dataset từ EPIC 1 được kiểm tra lại, gắn data version, sau đó mỗi track được đưa vào đúng một trong ba tập. Từ thời điểm này, các Feature sau không được tự ý đổi nguồn, đổi cutoff hoặc mở test set để chọn model.</w:t>
      </w:r>
    </w:p>
    <w:tbl>
      <w:tblPr>
        <w:tblW w:type="auto" w:w="0"/>
        <w:jc w:val="center"/>
        <w:tblLayout w:type="fixed"/>
        <w:tblLook w:firstColumn="1" w:firstRow="1" w:lastColumn="0" w:lastRow="0" w:noHBand="0" w:noVBand="1" w:val="04A0"/>
      </w:tblPr>
      <w:tblGrid>
        <w:gridCol w:w="5061"/>
        <w:gridCol w:w="5061"/>
      </w:tblGrid>
      <w:tr>
        <w:trPr>
          <w:cantSplit/>
        </w:trPr>
        <w:tc>
          <w:tcPr>
            <w:tcW w:type="dxa" w:w="223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Phạm vi</w:t>
            </w:r>
          </w:p>
        </w:tc>
        <w:tc>
          <w:tcPr>
            <w:tcW w:type="dxa" w:w="792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Nội dung</w:t>
            </w:r>
          </w:p>
        </w:tc>
      </w:tr>
      <w:tr>
        <w:trPr>
          <w:cantSplit/>
        </w:trPr>
        <w:tc>
          <w:tcPr>
            <w:tcW w:type="dxa" w:w="223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Có làm</w:t>
            </w:r>
          </w:p>
        </w:tc>
        <w:tc>
          <w:tcPr>
            <w:tcW w:type="dxa" w:w="792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Load/freeze snapshot; validate schema, ID, target; phân tích release_year; chọn candidate; khóa split; kiểm overlap/hash; test governance; reports.</w:t>
            </w:r>
          </w:p>
        </w:tc>
      </w:tr>
      <w:tr>
        <w:trPr>
          <w:cantSplit/>
        </w:trPr>
        <w:tc>
          <w:tcPr>
            <w:tcW w:type="dxa" w:w="223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Không làm</w:t>
            </w:r>
          </w:p>
        </w:tc>
        <w:tc>
          <w:tcPr>
            <w:tcW w:type="dxa" w:w="792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Không train model; không fit imputer/scaler/encoder/KMeans; không feature engineering; không tuning; không tính model metric trên test.</w:t>
            </w:r>
          </w:p>
        </w:tc>
      </w:tr>
      <w:tr>
        <w:trPr>
          <w:cantSplit/>
        </w:trPr>
        <w:tc>
          <w:tcPr>
            <w:tcW w:type="dxa" w:w="223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Đầu ra cốt lõi</w:t>
            </w:r>
          </w:p>
        </w:tc>
        <w:tc>
          <w:tcPr>
            <w:tcW w:type="dxa" w:w="792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data_version + split_version + ID files + manifests + test_set_lock + validation reports.</w:t>
            </w:r>
          </w:p>
        </w:tc>
      </w:tr>
    </w:tbl>
    <w:p>
      <w:pPr>
        <w:spacing w:after="0"/>
      </w:pPr>
    </w:p>
    <w:p>
      <w:pPr>
        <w:keepNext/>
        <w:spacing w:before="80" w:after="80"/>
      </w:pPr>
      <w:r>
        <w:rPr>
          <w:rFonts w:ascii="Arial" w:hAnsi="Arial" w:eastAsia="Arial"/>
          <w:b/>
          <w:color w:val="2F75B5"/>
          <w:sz w:val="24"/>
        </w:rPr>
        <w:t>Luồng xử lý đã thực hiện</w:t>
      </w:r>
    </w:p>
    <w:tbl>
      <w:tblPr>
        <w:tblW w:type="auto" w:w="0"/>
        <w:jc w:val="center"/>
        <w:tblLayout w:type="fixed"/>
        <w:tblLook w:firstColumn="1" w:firstRow="1" w:lastColumn="0" w:lastRow="0" w:noHBand="0" w:noVBand="1" w:val="04A0"/>
      </w:tblPr>
      <w:tblGrid>
        <w:gridCol w:w="2025"/>
        <w:gridCol w:w="2025"/>
        <w:gridCol w:w="2025"/>
        <w:gridCol w:w="2025"/>
        <w:gridCol w:w="2025"/>
      </w:tblGrid>
      <w:tr>
        <w:tc>
          <w:tcPr>
            <w:tcW w:type="dxa" w:w="2030"/>
            <w:shd w:fill="D9EAF7"/>
            <w:tcMar>
              <w:top w:w="80" w:type="dxa"/>
              <w:start w:w="60" w:type="dxa"/>
              <w:bottom w:w="80" w:type="dxa"/>
              <w:end w:w="60" w:type="dxa"/>
            </w:tcMar>
            <w:tcBorders>
              <w:top w:val="single" w:sz="8" w:color="2F75B5"/>
              <w:left w:val="single" w:sz="8" w:color="2F75B5"/>
              <w:bottom w:val="single" w:sz="8" w:color="2F75B5"/>
              <w:right w:val="single" w:sz="8" w:color="2F75B5"/>
            </w:tcBorders>
          </w:tcPr>
          <w:p>
            <w:pPr>
              <w:spacing w:before="0" w:after="20" w:line="252" w:lineRule="auto"/>
              <w:jc w:val="center"/>
            </w:pPr>
            <w:r>
              <w:rPr>
                <w:rFonts w:ascii="Arial" w:hAnsi="Arial" w:eastAsia="Arial"/>
                <w:b/>
                <w:color w:val="1F4E78"/>
                <w:sz w:val="18"/>
              </w:rPr>
              <w:t>Freeze</w:t>
            </w:r>
          </w:p>
          <w:p>
            <w:pPr>
              <w:spacing w:before="0" w:after="0" w:line="252" w:lineRule="auto"/>
              <w:jc w:val="center"/>
            </w:pPr>
            <w:r>
              <w:rPr>
                <w:rFonts w:ascii="Arial" w:hAnsi="Arial" w:eastAsia="Arial"/>
                <w:color w:val="666666"/>
                <w:sz w:val="15"/>
              </w:rPr>
              <w:t>snapshot + hash</w:t>
            </w:r>
          </w:p>
        </w:tc>
        <w:tc>
          <w:tcPr>
            <w:tcW w:type="dxa" w:w="2030"/>
            <w:shd w:fill="D9EAF7"/>
            <w:tcMar>
              <w:top w:w="80" w:type="dxa"/>
              <w:start w:w="60" w:type="dxa"/>
              <w:bottom w:w="80" w:type="dxa"/>
              <w:end w:w="60" w:type="dxa"/>
            </w:tcMar>
            <w:tcBorders>
              <w:top w:val="single" w:sz="8" w:color="2F75B5"/>
              <w:left w:val="single" w:sz="8" w:color="2F75B5"/>
              <w:bottom w:val="single" w:sz="8" w:color="2F75B5"/>
              <w:right w:val="single" w:sz="8" w:color="2F75B5"/>
            </w:tcBorders>
          </w:tcPr>
          <w:p>
            <w:pPr>
              <w:spacing w:before="0" w:after="20" w:line="252" w:lineRule="auto"/>
              <w:jc w:val="center"/>
            </w:pPr>
            <w:r>
              <w:rPr>
                <w:rFonts w:ascii="Arial" w:hAnsi="Arial" w:eastAsia="Arial"/>
                <w:b/>
                <w:color w:val="1F4E78"/>
                <w:sz w:val="18"/>
              </w:rPr>
              <w:t>Validate</w:t>
            </w:r>
          </w:p>
          <w:p>
            <w:pPr>
              <w:spacing w:before="0" w:after="0" w:line="252" w:lineRule="auto"/>
              <w:jc w:val="center"/>
            </w:pPr>
            <w:r>
              <w:rPr>
                <w:rFonts w:ascii="Arial" w:hAnsi="Arial" w:eastAsia="Arial"/>
                <w:color w:val="666666"/>
                <w:sz w:val="15"/>
              </w:rPr>
              <w:t>schema + ID + target</w:t>
            </w:r>
          </w:p>
        </w:tc>
        <w:tc>
          <w:tcPr>
            <w:tcW w:type="dxa" w:w="2030"/>
            <w:shd w:fill="FFF2CC"/>
            <w:tcMar>
              <w:top w:w="80" w:type="dxa"/>
              <w:start w:w="60" w:type="dxa"/>
              <w:bottom w:w="80" w:type="dxa"/>
              <w:end w:w="60" w:type="dxa"/>
            </w:tcMar>
            <w:tcBorders>
              <w:top w:val="single" w:sz="8" w:color="D6B656"/>
              <w:left w:val="single" w:sz="8" w:color="D6B656"/>
              <w:bottom w:val="single" w:sz="8" w:color="D6B656"/>
              <w:right w:val="single" w:sz="8" w:color="D6B656"/>
            </w:tcBorders>
          </w:tcPr>
          <w:p>
            <w:pPr>
              <w:spacing w:before="0" w:after="20" w:line="252" w:lineRule="auto"/>
              <w:jc w:val="center"/>
            </w:pPr>
            <w:r>
              <w:rPr>
                <w:rFonts w:ascii="Arial" w:hAnsi="Arial" w:eastAsia="Arial"/>
                <w:b/>
                <w:color w:val="1F4E78"/>
                <w:sz w:val="18"/>
              </w:rPr>
              <w:t>Analyze</w:t>
            </w:r>
          </w:p>
          <w:p>
            <w:pPr>
              <w:spacing w:before="0" w:after="0" w:line="252" w:lineRule="auto"/>
              <w:jc w:val="center"/>
            </w:pPr>
            <w:r>
              <w:rPr>
                <w:rFonts w:ascii="Arial" w:hAnsi="Arial" w:eastAsia="Arial"/>
                <w:color w:val="666666"/>
                <w:sz w:val="15"/>
              </w:rPr>
              <w:t>year + candidates</w:t>
            </w:r>
          </w:p>
        </w:tc>
        <w:tc>
          <w:tcPr>
            <w:tcW w:type="dxa" w:w="2030"/>
            <w:shd w:fill="E2F0D9"/>
            <w:tcMar>
              <w:top w:w="80" w:type="dxa"/>
              <w:start w:w="60" w:type="dxa"/>
              <w:bottom w:w="80" w:type="dxa"/>
              <w:end w:w="60" w:type="dxa"/>
            </w:tcMar>
            <w:tcBorders>
              <w:top w:val="single" w:sz="8" w:color="2E7D32"/>
              <w:left w:val="single" w:sz="8" w:color="2E7D32"/>
              <w:bottom w:val="single" w:sz="8" w:color="2E7D32"/>
              <w:right w:val="single" w:sz="8" w:color="2E7D32"/>
            </w:tcBorders>
          </w:tcPr>
          <w:p>
            <w:pPr>
              <w:spacing w:before="0" w:after="20" w:line="252" w:lineRule="auto"/>
              <w:jc w:val="center"/>
            </w:pPr>
            <w:r>
              <w:rPr>
                <w:rFonts w:ascii="Arial" w:hAnsi="Arial" w:eastAsia="Arial"/>
                <w:b/>
                <w:color w:val="1F4E78"/>
                <w:sz w:val="18"/>
              </w:rPr>
              <w:t>Lock</w:t>
            </w:r>
          </w:p>
          <w:p>
            <w:pPr>
              <w:spacing w:before="0" w:after="0" w:line="252" w:lineRule="auto"/>
              <w:jc w:val="center"/>
            </w:pPr>
            <w:r>
              <w:rPr>
                <w:rFonts w:ascii="Arial" w:hAnsi="Arial" w:eastAsia="Arial"/>
                <w:color w:val="666666"/>
                <w:sz w:val="15"/>
              </w:rPr>
              <w:t>train / val / test</w:t>
            </w:r>
          </w:p>
        </w:tc>
        <w:tc>
          <w:tcPr>
            <w:tcW w:type="dxa" w:w="2030"/>
            <w:shd w:fill="EAF3F8"/>
            <w:tcMar>
              <w:top w:w="80" w:type="dxa"/>
              <w:start w:w="60" w:type="dxa"/>
              <w:bottom w:w="80" w:type="dxa"/>
              <w:end w:w="60" w:type="dxa"/>
            </w:tcMar>
            <w:tcBorders>
              <w:top w:val="single" w:sz="8" w:color="2F75B5"/>
              <w:left w:val="single" w:sz="8" w:color="2F75B5"/>
              <w:bottom w:val="single" w:sz="8" w:color="2F75B5"/>
              <w:right w:val="single" w:sz="8" w:color="2F75B5"/>
            </w:tcBorders>
          </w:tcPr>
          <w:p>
            <w:pPr>
              <w:spacing w:before="0" w:after="20" w:line="252" w:lineRule="auto"/>
              <w:jc w:val="center"/>
            </w:pPr>
            <w:r>
              <w:rPr>
                <w:rFonts w:ascii="Arial" w:hAnsi="Arial" w:eastAsia="Arial"/>
                <w:b/>
                <w:color w:val="1F4E78"/>
                <w:sz w:val="18"/>
              </w:rPr>
              <w:t>Govern</w:t>
            </w:r>
          </w:p>
          <w:p>
            <w:pPr>
              <w:spacing w:before="0" w:after="0" w:line="252" w:lineRule="auto"/>
              <w:jc w:val="center"/>
            </w:pPr>
            <w:r>
              <w:rPr>
                <w:rFonts w:ascii="Arial" w:hAnsi="Arial" w:eastAsia="Arial"/>
                <w:color w:val="666666"/>
                <w:sz w:val="15"/>
              </w:rPr>
              <w:t>test lock + reports</w:t>
            </w:r>
          </w:p>
        </w:tc>
      </w:tr>
    </w:tbl>
    <w:p>
      <w:pPr>
        <w:spacing w:after="0"/>
      </w:pPr>
    </w:p>
    <w:p>
      <w:r>
        <w:br w:type="page"/>
      </w:r>
    </w:p>
    <w:p>
      <w:pPr>
        <w:keepNext/>
        <w:spacing w:before="140" w:after="80"/>
      </w:pPr>
      <w:r>
        <w:rPr>
          <w:rFonts w:ascii="Arial" w:hAnsi="Arial" w:eastAsia="Arial"/>
          <w:b/>
          <w:color w:val="1F4E78"/>
          <w:sz w:val="30"/>
        </w:rPr>
        <w:t>3. Input contract, snapshot và source reconciliation</w:t>
      </w:r>
    </w:p>
    <w:tbl>
      <w:tblPr>
        <w:tblW w:type="auto" w:w="0"/>
        <w:jc w:val="center"/>
        <w:tblLayout w:type="fixed"/>
        <w:tblLook w:firstColumn="1" w:firstRow="1" w:lastColumn="0" w:lastRow="0" w:noHBand="0" w:noVBand="1" w:val="04A0"/>
      </w:tblPr>
      <w:tblGrid>
        <w:gridCol w:w="5061"/>
        <w:gridCol w:w="5061"/>
      </w:tblGrid>
      <w:tr>
        <w:trPr>
          <w:cantSplit/>
        </w:trPr>
        <w:tc>
          <w:tcPr>
            <w:tcW w:type="dxa" w:w="324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Thuộc tính</w:t>
            </w:r>
          </w:p>
        </w:tc>
        <w:tc>
          <w:tcPr>
            <w:tcW w:type="dxa" w:w="691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Giá trị</w:t>
            </w:r>
          </w:p>
        </w:tc>
      </w:tr>
      <w:tr>
        <w:trPr>
          <w:cantSplit/>
        </w:trPr>
        <w:tc>
          <w:tcPr>
            <w:tcW w:type="dxa" w:w="32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Logical authoritative source</w:t>
            </w:r>
          </w:p>
        </w:tc>
        <w:tc>
          <w:tcPr>
            <w:tcW w:type="dxa" w:w="69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analytics.vw_ml_ready_dataset</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Frozen physical snapshot</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5.DATA/processed/ml_ready_dataset.parquet</w:t>
            </w:r>
          </w:p>
        </w:tc>
      </w:tr>
      <w:tr>
        <w:trPr>
          <w:cantSplit/>
        </w:trPr>
        <w:tc>
          <w:tcPr>
            <w:tcW w:type="dxa" w:w="32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Fallback verification</w:t>
            </w:r>
          </w:p>
        </w:tc>
        <w:tc>
          <w:tcPr>
            <w:tcW w:type="dxa" w:w="69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5.DATA/processed/ml_ready_dataset.csv</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Data version</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ml-ready-2026-07-17-v1</w:t>
            </w:r>
          </w:p>
        </w:tc>
      </w:tr>
      <w:tr>
        <w:trPr>
          <w:cantSplit/>
        </w:trPr>
        <w:tc>
          <w:tcPr>
            <w:tcW w:type="dxa" w:w="32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Shape</w:t>
            </w:r>
          </w:p>
        </w:tc>
        <w:tc>
          <w:tcPr>
            <w:tcW w:type="dxa" w:w="69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586.672 × 20</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Identifier / Target</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track_id / target_popularity</w:t>
            </w:r>
          </w:p>
        </w:tc>
      </w:tr>
      <w:tr>
        <w:trPr>
          <w:cantSplit/>
        </w:trPr>
        <w:tc>
          <w:tcPr>
            <w:tcW w:type="dxa" w:w="32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Baseline inputs</w:t>
            </w:r>
          </w:p>
        </w:tc>
        <w:tc>
          <w:tcPr>
            <w:tcW w:type="dxa" w:w="69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18 feature</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File SHA-256</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be198ad6303400534dc455e334ee4d9f1b1613a415c5ee7848179501f8c98770</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Repository / branch</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https://github.com/tandat1512/hitradar.git / main</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Source commit</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b71946eccd4c86afca5a4a20e5bc21b708c3a4bc</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Generator</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9.SCRIPTS/regenerate_reports.py</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Generator SHA-256</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ad145bfad32eb4f4ca2676cbca08ce0f9f354108252ee7c1c38a8145c4c80706</w:t>
            </w:r>
          </w:p>
        </w:tc>
      </w:tr>
      <w:tr>
        <w:trPr>
          <w:cantSplit/>
        </w:trPr>
        <w:tc>
          <w:tcPr>
            <w:tcW w:type="dxa" w:w="32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Live DB verification</w:t>
            </w:r>
          </w:p>
        </w:tc>
        <w:tc>
          <w:tcPr>
            <w:tcW w:type="dxa" w:w="69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NOT_DIRECTLY_VERIFIED — đối chiếu hiện giới hạn ở Parquet và CSV</w:t>
            </w:r>
          </w:p>
        </w:tc>
      </w:tr>
    </w:tbl>
    <w:p>
      <w:pPr>
        <w:spacing w:after="0"/>
      </w:pPr>
    </w:p>
    <w:p>
      <w:pPr>
        <w:spacing w:before="40" w:after="40" w:line="252" w:lineRule="auto"/>
      </w:pPr>
      <w:r>
        <w:rPr>
          <w:rFonts w:ascii="Arial" w:hAnsi="Arial" w:eastAsia="Arial"/>
          <w:b/>
          <w:i w:val="0"/>
          <w:color w:val="1F4E78"/>
          <w:sz w:val="22"/>
        </w:rPr>
        <w:t>Source reconciliation</w:t>
      </w:r>
    </w:p>
    <w:tbl>
      <w:tblPr>
        <w:tblW w:type="auto" w:w="0"/>
        <w:jc w:val="center"/>
        <w:tblLayout w:type="fixed"/>
        <w:tblLook w:firstColumn="1" w:firstRow="1" w:lastColumn="0" w:lastRow="0" w:noHBand="0" w:noVBand="1" w:val="04A0"/>
      </w:tblPr>
      <w:tblGrid>
        <w:gridCol w:w="2531"/>
        <w:gridCol w:w="2531"/>
        <w:gridCol w:w="2531"/>
        <w:gridCol w:w="2531"/>
      </w:tblGrid>
      <w:tr>
        <w:trPr>
          <w:cantSplit/>
        </w:trPr>
        <w:tc>
          <w:tcPr>
            <w:tcW w:type="dxa" w:w="2951"/>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Hạng mục</w:t>
            </w:r>
          </w:p>
        </w:tc>
        <w:tc>
          <w:tcPr>
            <w:tcW w:type="dxa" w:w="244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Parquet</w:t>
            </w:r>
          </w:p>
        </w:tc>
        <w:tc>
          <w:tcPr>
            <w:tcW w:type="dxa" w:w="244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CSV</w:t>
            </w:r>
          </w:p>
        </w:tc>
        <w:tc>
          <w:tcPr>
            <w:tcW w:type="dxa" w:w="230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Kết quả</w:t>
            </w:r>
          </w:p>
        </w:tc>
      </w:tr>
      <w:tr>
        <w:trPr>
          <w:cantSplit/>
        </w:trPr>
        <w:tc>
          <w:tcPr>
            <w:tcW w:type="dxa" w:w="295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Rows / columns</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586.672 / 20</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586.672 / 20</w:t>
            </w:r>
          </w:p>
        </w:tc>
        <w:tc>
          <w:tcPr>
            <w:tcW w:type="dxa" w:w="230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r>
        <w:trPr>
          <w:cantSplit/>
        </w:trPr>
        <w:tc>
          <w:tcPr>
            <w:tcW w:type="dxa" w:w="295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Column names / order</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Official contract</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Identical</w:t>
            </w:r>
          </w:p>
        </w:tc>
        <w:tc>
          <w:tcPr>
            <w:tcW w:type="dxa" w:w="230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r>
        <w:trPr>
          <w:cantSplit/>
        </w:trPr>
        <w:tc>
          <w:tcPr>
            <w:tcW w:type="dxa" w:w="295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track_id set</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586.672 unique</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Same set</w:t>
            </w:r>
          </w:p>
        </w:tc>
        <w:tc>
          <w:tcPr>
            <w:tcW w:type="dxa" w:w="230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r>
        <w:trPr>
          <w:cantSplit/>
        </w:trPr>
        <w:tc>
          <w:tcPr>
            <w:tcW w:type="dxa" w:w="295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Target mean</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27,570053</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27,570053</w:t>
            </w:r>
          </w:p>
        </w:tc>
        <w:tc>
          <w:tcPr>
            <w:tcW w:type="dxa" w:w="230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r>
        <w:trPr>
          <w:cantSplit/>
        </w:trPr>
        <w:tc>
          <w:tcPr>
            <w:tcW w:type="dxa" w:w="295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NULL counts</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136.489 / 328 / 337</w:t>
            </w:r>
          </w:p>
        </w:tc>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Same</w:t>
            </w:r>
          </w:p>
        </w:tc>
        <w:tc>
          <w:tcPr>
            <w:tcW w:type="dxa" w:w="230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r>
        <w:trPr>
          <w:cantSplit/>
        </w:trPr>
        <w:tc>
          <w:tcPr>
            <w:tcW w:type="dxa" w:w="295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6"/>
              </w:rPr>
              <w:t>Numeric values</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All numeric columns</w:t>
            </w:r>
          </w:p>
        </w:tc>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Identical</w:t>
            </w:r>
          </w:p>
        </w:tc>
        <w:tc>
          <w:tcPr>
            <w:tcW w:type="dxa" w:w="230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MATCH</w:t>
            </w:r>
          </w:p>
        </w:tc>
      </w:tr>
    </w:tbl>
    <w:p>
      <w:pPr>
        <w:spacing w:after="0"/>
      </w:pPr>
    </w:p>
    <w:p>
      <w:pPr>
        <w:spacing w:before="0" w:after="60" w:line="252" w:lineRule="auto"/>
      </w:pPr>
      <w:r>
        <w:rPr>
          <w:rFonts w:ascii="Arial" w:hAnsi="Arial" w:eastAsia="Arial"/>
          <w:b w:val="0"/>
          <w:i/>
          <w:color w:val="666666"/>
          <w:sz w:val="17"/>
        </w:rPr>
        <w:t>Giới hạn: môi trường script không kết nối trực tiếp live database view; việc reconciliation được thực hiện giữa hai export vật lý do EPIC 1 tạo từ cùng view.</w:t>
      </w:r>
    </w:p>
    <w:p>
      <w:pPr>
        <w:keepNext/>
        <w:spacing w:before="140" w:after="80"/>
      </w:pPr>
      <w:r>
        <w:rPr>
          <w:rFonts w:ascii="Arial" w:hAnsi="Arial" w:eastAsia="Arial"/>
          <w:b/>
          <w:color w:val="1F4E78"/>
          <w:sz w:val="30"/>
        </w:rPr>
        <w:t>4. Kết quả validation dữ liệu</w:t>
      </w:r>
    </w:p>
    <w:tbl>
      <w:tblPr>
        <w:tblW w:type="auto" w:w="0"/>
        <w:jc w:val="center"/>
        <w:tblLayout w:type="fixed"/>
        <w:tblLook w:firstColumn="1" w:firstRow="1" w:lastColumn="0" w:lastRow="0" w:noHBand="0" w:noVBand="1" w:val="04A0"/>
      </w:tblPr>
      <w:tblGrid>
        <w:gridCol w:w="3374"/>
        <w:gridCol w:w="3374"/>
        <w:gridCol w:w="3374"/>
      </w:tblGrid>
      <w:tr>
        <w:trPr>
          <w:cantSplit/>
        </w:trPr>
        <w:tc>
          <w:tcPr>
            <w:tcW w:type="dxa" w:w="244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Nhóm kiểm tra</w:t>
            </w:r>
          </w:p>
        </w:tc>
        <w:tc>
          <w:tcPr>
            <w:tcW w:type="dxa" w:w="576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Kết quả thực tế</w:t>
            </w:r>
          </w:p>
        </w:tc>
        <w:tc>
          <w:tcPr>
            <w:tcW w:type="dxa" w:w="194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Trạng thái</w:t>
            </w:r>
          </w:p>
        </w:tc>
      </w:tr>
      <w:tr>
        <w:trPr>
          <w:cantSplit/>
        </w:trPr>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Schema</w:t>
            </w:r>
          </w:p>
        </w:tc>
        <w:tc>
          <w:tcPr>
            <w:tcW w:type="dxa" w:w="576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586.672 rows; 20 columns; 18 inputs</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Leakage guard</w:t>
            </w:r>
          </w:p>
        </w:tc>
        <w:tc>
          <w:tcPr>
            <w:tcW w:type="dxa" w:w="576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Target/ID không nằm trong X; forbidden columns = 0</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track_id</w:t>
            </w:r>
          </w:p>
        </w:tc>
        <w:tc>
          <w:tcPr>
            <w:tcW w:type="dxa" w:w="576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0 NULL; 0 duplicate; 586.672 unique</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target_popularity</w:t>
            </w:r>
          </w:p>
        </w:tc>
        <w:tc>
          <w:tcPr>
            <w:tcW w:type="dxa" w:w="576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0 NULL; range 0–100; mean 27,5701; median 27</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244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Target = 0</w:t>
            </w:r>
          </w:p>
        </w:tc>
        <w:tc>
          <w:tcPr>
            <w:tcW w:type="dxa" w:w="576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44.690 track = 7,62%; giá trị hợp lệ trong domain 0–100</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DATA_CHARACTERISTIC</w:t>
            </w:r>
          </w:p>
        </w:tc>
      </w:tr>
      <w:tr>
        <w:trPr>
          <w:cantSplit/>
        </w:trPr>
        <w:tc>
          <w:tcPr>
            <w:tcW w:type="dxa" w:w="244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Missing baseline</w:t>
            </w:r>
          </w:p>
        </w:tc>
        <w:tc>
          <w:tcPr>
            <w:tcW w:type="dxa" w:w="576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tempo 328; time_signature 337; release_month 136.489</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EXPECTED</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152"/>
            <w:shd w:fill="FFF2CC"/>
            <w:tcMar>
              <w:top w:w="100" w:type="dxa"/>
              <w:start w:w="120" w:type="dxa"/>
              <w:bottom w:w="100" w:type="dxa"/>
              <w:end w:w="120" w:type="dxa"/>
            </w:tcMar>
            <w:tcBorders>
              <w:top w:val="single" w:sz="7" w:color="D6B656"/>
              <w:left w:val="single" w:sz="7" w:color="D6B656"/>
              <w:bottom w:val="single" w:sz="7" w:color="D6B656"/>
              <w:right w:val="single" w:sz="7" w:color="D6B656"/>
            </w:tcBorders>
          </w:tcPr>
          <w:p>
            <w:pPr>
              <w:spacing w:before="0" w:after="40" w:line="252" w:lineRule="auto"/>
            </w:pPr>
            <w:r>
              <w:rPr>
                <w:rFonts w:ascii="Arial" w:hAnsi="Arial" w:eastAsia="Arial"/>
                <w:b/>
                <w:color w:val="C65911"/>
                <w:sz w:val="23"/>
              </w:rPr>
              <w:t>Ngoại lệ dữ liệu EXC-001</w:t>
              <w:br/>
              <w:t>Một track có release_year = 1900, trong khi tài liệu EPIC 1 ghi khoảng 1921–2021. Root cause chưa được xác nhận; confidence LOW vì upstream/live source chưa kiểm tra trực tiếp. Quyết định KEEP_WITH_EXCEPTION: giữ bản ghi, phân loại SUSPECTED_SENTINEL_OR_DEFAULT và đăng ký trong data_exceptions.json để bảo toàn data version.</w:t>
            </w:r>
          </w:p>
        </w:tc>
      </w:tr>
    </w:tbl>
    <w:p>
      <w:pPr>
        <w:spacing w:after="0"/>
      </w:pPr>
    </w:p>
    <w:p>
      <w:r>
        <w:br w:type="page"/>
      </w:r>
    </w:p>
    <w:p>
      <w:pPr>
        <w:keepNext/>
        <w:spacing w:before="140" w:after="80"/>
      </w:pPr>
      <w:r>
        <w:rPr>
          <w:rFonts w:ascii="Arial" w:hAnsi="Arial" w:eastAsia="Arial"/>
          <w:b/>
          <w:color w:val="1F4E78"/>
          <w:sz w:val="30"/>
        </w:rPr>
        <w:t>5. Phân tích candidate và temporal split đã khóa</w:t>
      </w:r>
    </w:p>
    <w:p>
      <w:pPr>
        <w:spacing w:before="0" w:after="60" w:line="252" w:lineRule="auto"/>
      </w:pPr>
      <w:r>
        <w:rPr>
          <w:rFonts w:ascii="Arial" w:hAnsi="Arial" w:eastAsia="Arial"/>
          <w:b w:val="0"/>
          <w:i w:val="0"/>
          <w:color w:val="111111"/>
          <w:sz w:val="19"/>
        </w:rPr>
        <w:t>Ba candidate được tính độc lập theo nguyên tắc chia nguyên năm, giữ chronology và không tối ưu cutoff bằng model performance. Candidate C1 được chọn vì gần tỷ lệ mục tiêu 70/15/15 nhất, vẫn giữ test là 8 năm mới nhất và validation là giai đoạn chuyển tiếp 9 năm.</w:t>
      </w:r>
    </w:p>
    <w:tbl>
      <w:tblPr>
        <w:tblW w:type="auto" w:w="0"/>
        <w:jc w:val="center"/>
        <w:tblLayout w:type="fixed"/>
        <w:tblLook w:firstColumn="1" w:firstRow="1" w:lastColumn="0" w:lastRow="0" w:noHBand="0" w:noVBand="1" w:val="04A0"/>
      </w:tblPr>
      <w:tblGrid>
        <w:gridCol w:w="2025"/>
        <w:gridCol w:w="2025"/>
        <w:gridCol w:w="2025"/>
        <w:gridCol w:w="2025"/>
        <w:gridCol w:w="2025"/>
      </w:tblGrid>
      <w:tr>
        <w:trPr>
          <w:cantSplit/>
        </w:trPr>
        <w:tc>
          <w:tcPr>
            <w:tcW w:type="dxa" w:w="223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Candidate</w:t>
            </w:r>
          </w:p>
        </w:tc>
        <w:tc>
          <w:tcPr>
            <w:tcW w:type="dxa" w:w="187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Train</w:t>
            </w:r>
          </w:p>
        </w:tc>
        <w:tc>
          <w:tcPr>
            <w:tcW w:type="dxa" w:w="208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Validation</w:t>
            </w:r>
          </w:p>
        </w:tc>
        <w:tc>
          <w:tcPr>
            <w:tcW w:type="dxa" w:w="194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Test</w:t>
            </w:r>
          </w:p>
        </w:tc>
        <w:tc>
          <w:tcPr>
            <w:tcW w:type="dxa" w:w="201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Tỷ lệ (%) / Score</w:t>
            </w:r>
          </w:p>
        </w:tc>
      </w:tr>
      <w:tr>
        <w:trPr>
          <w:cantSplit/>
        </w:trPr>
        <w:tc>
          <w:tcPr>
            <w:tcW w:type="dxa" w:w="223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C1 — SELECTED</w:t>
            </w:r>
          </w:p>
        </w:tc>
        <w:tc>
          <w:tcPr>
            <w:tcW w:type="dxa" w:w="187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1900–2004</w:t>
            </w:r>
          </w:p>
        </w:tc>
        <w:tc>
          <w:tcPr>
            <w:tcW w:type="dxa" w:w="208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2005–2013</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2014–2021</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70,8 / 14,5 / 14,6 · 0,0165</w:t>
            </w:r>
          </w:p>
        </w:tc>
      </w:tr>
      <w:tr>
        <w:trPr>
          <w:cantSplit/>
        </w:trPr>
        <w:tc>
          <w:tcPr>
            <w:tcW w:type="dxa" w:w="223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C2</w:t>
            </w:r>
          </w:p>
        </w:tc>
        <w:tc>
          <w:tcPr>
            <w:tcW w:type="dxa" w:w="187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1900–2003</w:t>
            </w:r>
          </w:p>
        </w:tc>
        <w:tc>
          <w:tcPr>
            <w:tcW w:type="dxa" w:w="208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2004–2013</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2014–2021</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69,2 / 16,1 / 14,6 · 0,0222</w:t>
            </w:r>
          </w:p>
        </w:tc>
      </w:tr>
      <w:tr>
        <w:trPr>
          <w:cantSplit/>
        </w:trPr>
        <w:tc>
          <w:tcPr>
            <w:tcW w:type="dxa" w:w="223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C3</w:t>
            </w:r>
          </w:p>
        </w:tc>
        <w:tc>
          <w:tcPr>
            <w:tcW w:type="dxa" w:w="187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1900–2002</w:t>
            </w:r>
          </w:p>
        </w:tc>
        <w:tc>
          <w:tcPr>
            <w:tcW w:type="dxa" w:w="208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2003–2012</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2013–2021</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67,8 / 15,7 / 16,4 · 0,0430</w:t>
            </w:r>
          </w:p>
        </w:tc>
      </w:tr>
    </w:tbl>
    <w:p>
      <w:pPr>
        <w:spacing w:after="0"/>
      </w:pPr>
    </w:p>
    <w:tbl>
      <w:tblPr>
        <w:tblW w:type="auto" w:w="0"/>
        <w:jc w:val="center"/>
        <w:tblLayout w:type="fixed"/>
        <w:tblLook w:firstColumn="1" w:firstRow="1" w:lastColumn="0" w:lastRow="0" w:noHBand="0" w:noVBand="1" w:val="04A0"/>
      </w:tblPr>
      <w:tblGrid>
        <w:gridCol w:w="5061"/>
        <w:gridCol w:w="5061"/>
      </w:tblGrid>
      <w:tr>
        <w:tc>
          <w:tcPr>
            <w:tcW w:type="dxa" w:w="5068"/>
            <w:tcMar>
              <w:top w:w="10" w:type="dxa"/>
              <w:start w:w="10" w:type="dxa"/>
              <w:bottom w:w="10" w:type="dxa"/>
              <w:end w:w="10" w:type="dxa"/>
            </w:tcMar>
          </w:tcPr>
          <w:p>
            <w:pPr>
              <w:jc w:val="center"/>
            </w:pPr>
            <w:r>
              <w:drawing>
                <wp:inline xmlns:a="http://schemas.openxmlformats.org/drawingml/2006/main" xmlns:pic="http://schemas.openxmlformats.org/drawingml/2006/picture">
                  <wp:extent cx="3063240" cy="1038589"/>
                  <wp:docPr id="1" name="Picture 1"/>
                  <wp:cNvGraphicFramePr>
                    <a:graphicFrameLocks noChangeAspect="1"/>
                  </wp:cNvGraphicFramePr>
                  <a:graphic>
                    <a:graphicData uri="http://schemas.openxmlformats.org/drawingml/2006/picture">
                      <pic:pic>
                        <pic:nvPicPr>
                          <pic:cNvPr id="0" name="split_ratio.png"/>
                          <pic:cNvPicPr/>
                        </pic:nvPicPr>
                        <pic:blipFill>
                          <a:blip r:embed="rId11"/>
                          <a:stretch>
                            <a:fillRect/>
                          </a:stretch>
                        </pic:blipFill>
                        <pic:spPr>
                          <a:xfrm>
                            <a:off x="0" y="0"/>
                            <a:ext cx="3063240" cy="1038589"/>
                          </a:xfrm>
                          <a:prstGeom prst="rect"/>
                        </pic:spPr>
                      </pic:pic>
                    </a:graphicData>
                  </a:graphic>
                </wp:inline>
              </w:drawing>
            </w:r>
          </w:p>
        </w:tc>
        <w:tc>
          <w:tcPr>
            <w:tcW w:type="dxa" w:w="5068"/>
            <w:tcMar>
              <w:top w:w="10" w:type="dxa"/>
              <w:start w:w="10" w:type="dxa"/>
              <w:bottom w:w="10" w:type="dxa"/>
              <w:end w:w="10" w:type="dxa"/>
            </w:tcMar>
          </w:tcPr>
          <w:p>
            <w:pPr>
              <w:jc w:val="center"/>
            </w:pPr>
            <w:r>
              <w:drawing>
                <wp:inline xmlns:a="http://schemas.openxmlformats.org/drawingml/2006/main" xmlns:pic="http://schemas.openxmlformats.org/drawingml/2006/picture">
                  <wp:extent cx="3063240" cy="1038589"/>
                  <wp:docPr id="2" name="Picture 2"/>
                  <wp:cNvGraphicFramePr>
                    <a:graphicFrameLocks noChangeAspect="1"/>
                  </wp:cNvGraphicFramePr>
                  <a:graphic>
                    <a:graphicData uri="http://schemas.openxmlformats.org/drawingml/2006/picture">
                      <pic:pic>
                        <pic:nvPicPr>
                          <pic:cNvPr id="0" name="target_mean.png"/>
                          <pic:cNvPicPr/>
                        </pic:nvPicPr>
                        <pic:blipFill>
                          <a:blip r:embed="rId12"/>
                          <a:stretch>
                            <a:fillRect/>
                          </a:stretch>
                        </pic:blipFill>
                        <pic:spPr>
                          <a:xfrm>
                            <a:off x="0" y="0"/>
                            <a:ext cx="3063240" cy="1038589"/>
                          </a:xfrm>
                          <a:prstGeom prst="rect"/>
                        </pic:spPr>
                      </pic:pic>
                    </a:graphicData>
                  </a:graphic>
                </wp:inline>
              </w:drawing>
            </w:r>
          </w:p>
        </w:tc>
      </w:tr>
    </w:tbl>
    <w:p>
      <w:pPr>
        <w:spacing w:after="0"/>
      </w:pPr>
    </w:p>
    <w:tbl>
      <w:tblPr>
        <w:tblW w:type="auto" w:w="0"/>
        <w:jc w:val="center"/>
        <w:tblLayout w:type="fixed"/>
        <w:tblLook w:firstColumn="1" w:firstRow="1" w:lastColumn="0" w:lastRow="0" w:noHBand="0" w:noVBand="1" w:val="04A0"/>
      </w:tblPr>
      <w:tblGrid>
        <w:gridCol w:w="1687"/>
        <w:gridCol w:w="1687"/>
        <w:gridCol w:w="1687"/>
        <w:gridCol w:w="1687"/>
        <w:gridCol w:w="1687"/>
        <w:gridCol w:w="1687"/>
      </w:tblGrid>
      <w:tr>
        <w:trPr>
          <w:cantSplit/>
        </w:trPr>
        <w:tc>
          <w:tcPr>
            <w:tcW w:type="dxa" w:w="180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Split</w:t>
            </w:r>
          </w:p>
        </w:tc>
        <w:tc>
          <w:tcPr>
            <w:tcW w:type="dxa" w:w="194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Năm</w:t>
            </w:r>
          </w:p>
        </w:tc>
        <w:tc>
          <w:tcPr>
            <w:tcW w:type="dxa" w:w="165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Rows</w:t>
            </w:r>
          </w:p>
        </w:tc>
        <w:tc>
          <w:tcPr>
            <w:tcW w:type="dxa" w:w="144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Ratio</w:t>
            </w:r>
          </w:p>
        </w:tc>
        <w:tc>
          <w:tcPr>
            <w:tcW w:type="dxa" w:w="180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Target mean</w:t>
            </w:r>
          </w:p>
        </w:tc>
        <w:tc>
          <w:tcPr>
            <w:tcW w:type="dxa" w:w="151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Target = 0</w:t>
            </w:r>
          </w:p>
        </w:tc>
      </w:tr>
      <w:tr>
        <w:trPr>
          <w:cantSplit/>
        </w:trPr>
        <w:tc>
          <w:tcPr>
            <w:tcW w:type="dxa" w:w="180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Train</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1900–2004</w:t>
            </w:r>
          </w:p>
        </w:tc>
        <w:tc>
          <w:tcPr>
            <w:tcW w:type="dxa" w:w="165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415.524</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70,83%</w:t>
            </w:r>
          </w:p>
        </w:tc>
        <w:tc>
          <w:tcPr>
            <w:tcW w:type="dxa" w:w="180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22,88</w:t>
            </w:r>
          </w:p>
        </w:tc>
        <w:tc>
          <w:tcPr>
            <w:tcW w:type="dxa" w:w="15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35.952</w:t>
            </w:r>
          </w:p>
        </w:tc>
      </w:tr>
      <w:tr>
        <w:trPr>
          <w:cantSplit/>
        </w:trPr>
        <w:tc>
          <w:tcPr>
            <w:tcW w:type="dxa" w:w="180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Validation</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2005–2013</w:t>
            </w:r>
          </w:p>
        </w:tc>
        <w:tc>
          <w:tcPr>
            <w:tcW w:type="dxa" w:w="165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85.272</w:t>
            </w:r>
          </w:p>
        </w:tc>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14,53%</w:t>
            </w:r>
          </w:p>
        </w:tc>
        <w:tc>
          <w:tcPr>
            <w:tcW w:type="dxa" w:w="180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37,0603</w:t>
            </w:r>
          </w:p>
        </w:tc>
        <w:tc>
          <w:tcPr>
            <w:tcW w:type="dxa" w:w="15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3.144</w:t>
            </w:r>
          </w:p>
        </w:tc>
      </w:tr>
      <w:tr>
        <w:trPr>
          <w:cantSplit/>
        </w:trPr>
        <w:tc>
          <w:tcPr>
            <w:tcW w:type="dxa" w:w="180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Test</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2014–2021</w:t>
            </w:r>
          </w:p>
        </w:tc>
        <w:tc>
          <w:tcPr>
            <w:tcW w:type="dxa" w:w="165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85.876</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14,64%</w:t>
            </w:r>
          </w:p>
        </w:tc>
        <w:tc>
          <w:tcPr>
            <w:tcW w:type="dxa" w:w="180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40,8401</w:t>
            </w:r>
          </w:p>
        </w:tc>
        <w:tc>
          <w:tcPr>
            <w:tcW w:type="dxa" w:w="151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5.594</w:t>
            </w:r>
          </w:p>
        </w:tc>
      </w:tr>
      <w:tr>
        <w:trPr>
          <w:cantSplit/>
        </w:trPr>
        <w:tc>
          <w:tcPr>
            <w:tcW w:type="dxa" w:w="180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Tổng</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w:t>
            </w:r>
          </w:p>
        </w:tc>
        <w:tc>
          <w:tcPr>
            <w:tcW w:type="dxa" w:w="165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586.672</w:t>
            </w:r>
          </w:p>
        </w:tc>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100%</w:t>
            </w:r>
          </w:p>
        </w:tc>
        <w:tc>
          <w:tcPr>
            <w:tcW w:type="dxa" w:w="180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w:t>
            </w:r>
          </w:p>
        </w:tc>
        <w:tc>
          <w:tcPr>
            <w:tcW w:type="dxa" w:w="151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right"/>
            </w:pPr>
            <w:r>
              <w:rPr>
                <w:rFonts w:ascii="Arial" w:hAnsi="Arial" w:eastAsia="Arial"/>
                <w:b w:val="0"/>
                <w:color w:val="111111"/>
                <w:sz w:val="16"/>
              </w:rPr>
              <w:t>44.690</w:t>
            </w:r>
          </w:p>
        </w:tc>
      </w:tr>
    </w:tbl>
    <w:p>
      <w:pPr>
        <w:spacing w:after="0"/>
      </w:pPr>
    </w:p>
    <w:p>
      <w:r>
        <w:br w:type="page"/>
      </w:r>
    </w:p>
    <w:p>
      <w:pPr>
        <w:keepNext/>
        <w:spacing w:before="140" w:after="80"/>
      </w:pPr>
      <w:r>
        <w:rPr>
          <w:rFonts w:ascii="Arial" w:hAnsi="Arial" w:eastAsia="Arial"/>
          <w:b/>
          <w:color w:val="1F4E78"/>
          <w:sz w:val="30"/>
        </w:rPr>
        <w:t>6. Split integrity, test governance và reproducibility</w:t>
      </w:r>
    </w:p>
    <w:tbl>
      <w:tblPr>
        <w:tblW w:type="auto" w:w="0"/>
        <w:jc w:val="center"/>
        <w:tblLayout w:type="fixed"/>
        <w:tblLook w:firstColumn="1" w:firstRow="1" w:lastColumn="0" w:lastRow="0" w:noHBand="0" w:noVBand="1" w:val="04A0"/>
      </w:tblPr>
      <w:tblGrid>
        <w:gridCol w:w="3374"/>
        <w:gridCol w:w="3374"/>
        <w:gridCol w:w="3374"/>
      </w:tblGrid>
      <w:tr>
        <w:trPr>
          <w:cantSplit/>
        </w:trPr>
        <w:tc>
          <w:tcPr>
            <w:tcW w:type="dxa" w:w="352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Check</w:t>
            </w:r>
          </w:p>
        </w:tc>
        <w:tc>
          <w:tcPr>
            <w:tcW w:type="dxa" w:w="460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Actual</w:t>
            </w:r>
          </w:p>
        </w:tc>
        <w:tc>
          <w:tcPr>
            <w:tcW w:type="dxa" w:w="201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Status</w:t>
            </w:r>
          </w:p>
        </w:tc>
      </w:tr>
      <w:tr>
        <w:trPr>
          <w:cantSplit/>
        </w:trPr>
        <w:tc>
          <w:tcPr>
            <w:tcW w:type="dxa" w:w="35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Train ∩ Validation</w:t>
            </w:r>
          </w:p>
        </w:tc>
        <w:tc>
          <w:tcPr>
            <w:tcW w:type="dxa" w:w="46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0</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Train ∩ Test</w:t>
            </w:r>
          </w:p>
        </w:tc>
        <w:tc>
          <w:tcPr>
            <w:tcW w:type="dxa" w:w="46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0</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Validation ∩ Test</w:t>
            </w:r>
          </w:p>
        </w:tc>
        <w:tc>
          <w:tcPr>
            <w:tcW w:type="dxa" w:w="46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0</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Union = source</w:t>
            </w:r>
          </w:p>
        </w:tc>
        <w:tc>
          <w:tcPr>
            <w:tcW w:type="dxa" w:w="46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586.672 = 586.672</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Chronology 1</w:t>
            </w:r>
          </w:p>
        </w:tc>
        <w:tc>
          <w:tcPr>
            <w:tcW w:type="dxa" w:w="46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2004 &lt; 2005</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Chronology 2</w:t>
            </w:r>
          </w:p>
        </w:tc>
        <w:tc>
          <w:tcPr>
            <w:tcW w:type="dxa" w:w="46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2013 &lt; 2014</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Train ID hash</w:t>
            </w:r>
          </w:p>
        </w:tc>
        <w:tc>
          <w:tcPr>
            <w:tcW w:type="dxa" w:w="46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d3684ebb6ba7744c…</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Validation ID hash</w:t>
            </w:r>
          </w:p>
        </w:tc>
        <w:tc>
          <w:tcPr>
            <w:tcW w:type="dxa" w:w="46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d292e4009b798e3e…</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r>
        <w:trPr>
          <w:cantSplit/>
        </w:trPr>
        <w:tc>
          <w:tcPr>
            <w:tcW w:type="dxa" w:w="35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Test ID hash</w:t>
            </w:r>
          </w:p>
        </w:tc>
        <w:tc>
          <w:tcPr>
            <w:tcW w:type="dxa" w:w="46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f446764fc87d1c73…</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PASS</w:t>
            </w:r>
          </w:p>
        </w:tc>
      </w:tr>
    </w:tbl>
    <w:p>
      <w:pPr>
        <w:spacing w:after="0"/>
      </w:pPr>
    </w:p>
    <w:p>
      <w:pPr>
        <w:keepNext/>
        <w:spacing w:before="80" w:after="80"/>
      </w:pPr>
      <w:r>
        <w:rPr>
          <w:rFonts w:ascii="Arial" w:hAnsi="Arial" w:eastAsia="Arial"/>
          <w:b/>
          <w:color w:val="2F75B5"/>
          <w:sz w:val="24"/>
        </w:rPr>
        <w:t>Quản trị test set</w:t>
      </w:r>
    </w:p>
    <w:tbl>
      <w:tblPr>
        <w:tblW w:type="auto" w:w="0"/>
        <w:jc w:val="center"/>
        <w:tblLayout w:type="fixed"/>
        <w:tblLook w:firstColumn="1" w:firstRow="1" w:lastColumn="0" w:lastRow="0" w:noHBand="0" w:noVBand="1" w:val="04A0"/>
      </w:tblPr>
      <w:tblGrid>
        <w:gridCol w:w="5061"/>
        <w:gridCol w:w="5061"/>
      </w:tblGrid>
      <w:tr>
        <w:trPr>
          <w:cantSplit/>
        </w:trPr>
        <w:tc>
          <w:tcPr>
            <w:tcW w:type="dxa" w:w="288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Giai đoạn</w:t>
            </w:r>
          </w:p>
        </w:tc>
        <w:tc>
          <w:tcPr>
            <w:tcW w:type="dxa" w:w="727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Quy tắc</w:t>
            </w:r>
          </w:p>
        </w:tc>
      </w:tr>
      <w:tr>
        <w:trPr>
          <w:cantSplit/>
        </w:trPr>
        <w:tc>
          <w:tcPr>
            <w:tcW w:type="dxa" w:w="288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2.1 pre-lock audit</w:t>
            </w:r>
          </w:p>
        </w:tc>
        <w:tc>
          <w:tcPr>
            <w:tcW w:type="dxa" w:w="727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Được phép đọc label để kiểm row count, target profile, missing, PSI/KS và year range; không có model metric.</w:t>
            </w:r>
          </w:p>
        </w:tc>
      </w:tr>
      <w:tr>
        <w:trPr>
          <w:cantSplit/>
        </w:trPr>
        <w:tc>
          <w:tcPr>
            <w:tcW w:type="dxa" w:w="288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2.2–2.4</w:t>
            </w:r>
          </w:p>
        </w:tc>
        <w:tc>
          <w:tcPr>
            <w:tcW w:type="dxa" w:w="727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Cấm đọc y_test, cấm metric, feature selection và tuning bằng test. Chỉ được transform X_test bằng pipeline fit trên train.</w:t>
            </w:r>
          </w:p>
        </w:tc>
      </w:tr>
      <w:tr>
        <w:trPr>
          <w:cantSplit/>
        </w:trPr>
        <w:tc>
          <w:tcPr>
            <w:tcW w:type="dxa" w:w="288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2.5</w:t>
            </w:r>
          </w:p>
        </w:tc>
        <w:tc>
          <w:tcPr>
            <w:tcW w:type="dxa" w:w="727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Được final evaluation đúng một lần sau khi model/hyperparameter đã khóa; cập nhật test_set_lock.json.</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152"/>
            <w:shd w:fill="EAF3F8"/>
            <w:tcMar>
              <w:top w:w="100" w:type="dxa"/>
              <w:start w:w="120" w:type="dxa"/>
              <w:bottom w:w="100" w:type="dxa"/>
              <w:end w:w="120" w:type="dxa"/>
            </w:tcMar>
            <w:tcBorders>
              <w:top w:val="single" w:sz="7" w:color="2F75B5"/>
              <w:left w:val="single" w:sz="7" w:color="2F75B5"/>
              <w:bottom w:val="single" w:sz="7" w:color="2F75B5"/>
              <w:right w:val="single" w:sz="7" w:color="2F75B5"/>
            </w:tcBorders>
          </w:tcPr>
          <w:p>
            <w:pPr>
              <w:spacing w:before="0" w:after="40" w:line="252" w:lineRule="auto"/>
            </w:pPr>
            <w:r>
              <w:rPr>
                <w:rFonts w:ascii="Arial" w:hAnsi="Arial" w:eastAsia="Arial"/>
                <w:b/>
                <w:color w:val="1F4E78"/>
                <w:sz w:val="23"/>
              </w:rPr>
              <w:t>Ngôn ngữ governance đã được sửa</w:t>
            </w:r>
          </w:p>
          <w:p>
            <w:pPr>
              <w:spacing w:before="0" w:after="0" w:line="259" w:lineRule="auto"/>
            </w:pPr>
            <w:r>
              <w:rPr>
                <w:rFonts w:ascii="Arial" w:hAnsi="Arial" w:eastAsia="Arial"/>
                <w:color w:val="111111"/>
                <w:sz w:val="19"/>
              </w:rPr>
              <w:t>Không ghi “test set chưa từng được mở”. Cách mô tả đúng: test labels đã được đọc cho descriptive audit trước khi khóa; không có model training, model selection hoặc model evaluation dựa trên test.</w:t>
            </w:r>
          </w:p>
        </w:tc>
      </w:tr>
    </w:tbl>
    <w:p>
      <w:pPr>
        <w:spacing w:after="0"/>
      </w:pPr>
    </w:p>
    <w:p>
      <w:pPr>
        <w:keepNext/>
        <w:spacing w:before="80" w:after="80"/>
      </w:pPr>
      <w:r>
        <w:rPr>
          <w:rFonts w:ascii="Arial" w:hAnsi="Arial" w:eastAsia="Arial"/>
          <w:b/>
          <w:color w:val="2F75B5"/>
          <w:sz w:val="24"/>
        </w:rPr>
        <w:t>Validation coverage</w:t>
      </w:r>
    </w:p>
    <w:tbl>
      <w:tblPr>
        <w:tblW w:type="auto" w:w="0"/>
        <w:jc w:val="center"/>
        <w:tblLayout w:type="fixed"/>
        <w:tblLook w:firstColumn="1" w:firstRow="1" w:lastColumn="0" w:lastRow="0" w:noHBand="0" w:noVBand="1" w:val="04A0"/>
      </w:tblPr>
      <w:tblGrid>
        <w:gridCol w:w="5061"/>
        <w:gridCol w:w="5061"/>
      </w:tblGrid>
      <w:tr>
        <w:trPr>
          <w:cantSplit/>
        </w:trPr>
        <w:tc>
          <w:tcPr>
            <w:tcW w:type="dxa" w:w="820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Nhóm</w:t>
            </w:r>
          </w:p>
        </w:tc>
        <w:tc>
          <w:tcPr>
            <w:tcW w:type="dxa" w:w="194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Số check</w:t>
            </w:r>
          </w:p>
        </w:tc>
      </w:tr>
      <w:tr>
        <w:trPr>
          <w:cantSplit/>
        </w:trPr>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Feature 2.0 prerequisites</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6</w:t>
            </w:r>
          </w:p>
        </w:tc>
      </w:tr>
      <w:tr>
        <w:trPr>
          <w:cantSplit/>
        </w:trPr>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Config content</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9</w:t>
            </w:r>
          </w:p>
        </w:tc>
      </w:tr>
      <w:tr>
        <w:trPr>
          <w:cantSplit/>
        </w:trPr>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Data version</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10</w:t>
            </w:r>
          </w:p>
        </w:tc>
      </w:tr>
      <w:tr>
        <w:trPr>
          <w:cantSplit/>
        </w:trPr>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Dataset validation</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14</w:t>
            </w:r>
          </w:p>
        </w:tc>
      </w:tr>
      <w:tr>
        <w:trPr>
          <w:cantSplit/>
        </w:trPr>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Exceptions + snapshots + manifests</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11</w:t>
            </w:r>
          </w:p>
        </w:tc>
      </w:tr>
      <w:tr>
        <w:trPr>
          <w:cantSplit/>
        </w:trPr>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Split artifacts</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28</w:t>
            </w:r>
          </w:p>
        </w:tc>
      </w:tr>
      <w:tr>
        <w:trPr>
          <w:cantSplit/>
        </w:trPr>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Test lock</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7</w:t>
            </w:r>
          </w:p>
        </w:tc>
      </w:tr>
      <w:tr>
        <w:trPr>
          <w:cantSplit/>
        </w:trPr>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Legacy / reconciliation / temporal shift</w:t>
            </w:r>
          </w:p>
        </w:tc>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10</w:t>
            </w:r>
          </w:p>
        </w:tc>
      </w:tr>
      <w:tr>
        <w:trPr>
          <w:cantSplit/>
        </w:trPr>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color w:val="111111"/>
                <w:sz w:val="16"/>
              </w:rPr>
              <w:t>Tổng</w:t>
            </w:r>
          </w:p>
        </w:tc>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6"/>
              </w:rPr>
              <w:t>95</w:t>
            </w:r>
          </w:p>
        </w:tc>
      </w:tr>
    </w:tbl>
    <w:p>
      <w:pPr>
        <w:spacing w:after="0"/>
      </w:pPr>
      <w:r>
        <w:rPr>
          <w:rFonts w:ascii="Arial" w:hAnsi="Arial" w:eastAsia="Arial"/>
        </w:rPr>
        <w:t>Lưu ý đối chiếu: bản Word đếm trực tiếp 95 dòng check trong validation report và phân nhóm lại theo check ID. Danh sách check chi tiết là evidence ưu tiên khi bảng tổng hợp nhóm trong Markdown có sai lệch phép cộng.</w:t>
      </w:r>
    </w:p>
    <w:p>
      <w:r>
        <w:br w:type="page"/>
      </w:r>
    </w:p>
    <w:p>
      <w:pPr>
        <w:keepNext/>
        <w:spacing w:before="140" w:after="80"/>
      </w:pPr>
      <w:r>
        <w:rPr>
          <w:rFonts w:ascii="Arial" w:hAnsi="Arial" w:eastAsia="Arial"/>
          <w:b/>
          <w:color w:val="1F4E78"/>
          <w:sz w:val="30"/>
        </w:rPr>
        <w:t>7. Hotfix: 9 lỗi đã phát hiện và sửa</w:t>
      </w:r>
    </w:p>
    <w:p>
      <w:pPr>
        <w:spacing w:before="0" w:after="60" w:line="252" w:lineRule="auto"/>
      </w:pPr>
      <w:r>
        <w:rPr>
          <w:rFonts w:ascii="Arial" w:hAnsi="Arial" w:eastAsia="Arial"/>
          <w:b w:val="0"/>
          <w:i w:val="0"/>
          <w:color w:val="111111"/>
          <w:sz w:val="19"/>
        </w:rPr>
        <w:t>Hotfix 1.0 không thay đổi data version, split boundaries hoặc ID files. Mục tiêu là sửa số liệu candidate, quản trị test set, ngoại lệ năm 1900, quarantine artifact cũ và nâng validation lên 95 content-level checks có thể truy vết tới commit và generator hash.</w:t>
      </w:r>
    </w:p>
    <w:tbl>
      <w:tblPr>
        <w:tblW w:type="auto" w:w="0"/>
        <w:jc w:val="center"/>
        <w:tblLayout w:type="fixed"/>
        <w:tblLook w:firstColumn="1" w:firstRow="1" w:lastColumn="0" w:lastRow="0" w:noHBand="0" w:noVBand="1" w:val="04A0"/>
      </w:tblPr>
      <w:tblGrid>
        <w:gridCol w:w="2531"/>
        <w:gridCol w:w="2531"/>
        <w:gridCol w:w="2531"/>
        <w:gridCol w:w="2531"/>
      </w:tblGrid>
      <w:tr>
        <w:trPr>
          <w:cantSplit/>
        </w:trPr>
        <w:tc>
          <w:tcPr>
            <w:tcW w:type="dxa" w:w="122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5"/>
              </w:rPr>
              <w:t>Bug</w:t>
            </w:r>
          </w:p>
        </w:tc>
        <w:tc>
          <w:tcPr>
            <w:tcW w:type="dxa" w:w="4392"/>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5"/>
              </w:rPr>
              <w:t>Vấn đề</w:t>
            </w:r>
          </w:p>
        </w:tc>
        <w:tc>
          <w:tcPr>
            <w:tcW w:type="dxa" w:w="122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5"/>
              </w:rPr>
              <w:t>Mức</w:t>
            </w:r>
          </w:p>
        </w:tc>
        <w:tc>
          <w:tcPr>
            <w:tcW w:type="dxa" w:w="3311"/>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5"/>
              </w:rPr>
              <w:t>Cách sửa</w:t>
            </w:r>
          </w:p>
        </w:tc>
      </w:tr>
      <w:tr>
        <w:trPr>
          <w:cantSplit/>
        </w:trPr>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BUG-001</w:t>
            </w:r>
          </w:p>
        </w:tc>
        <w:tc>
          <w:tcPr>
            <w:tcW w:type="dxa" w:w="439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Zero count của C2/C3 bị tái sử dụng từ C1</w:t>
            </w:r>
          </w:p>
        </w:tc>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MEDIUM</w:t>
            </w:r>
          </w:p>
        </w:tc>
        <w:tc>
          <w:tcPr>
            <w:tcW w:type="dxa" w:w="331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Tính lại độc lập; regenerate reports</w:t>
            </w:r>
          </w:p>
        </w:tc>
      </w:tr>
      <w:tr>
        <w:trPr>
          <w:cantSplit/>
        </w:trPr>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BUG-002</w:t>
            </w:r>
          </w:p>
        </w:tc>
        <w:tc>
          <w:tcPr>
            <w:tcW w:type="dxa" w:w="439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Năm 1900 chưa được đánh dấu deviation</w:t>
            </w:r>
          </w:p>
        </w:tc>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HIGH</w:t>
            </w:r>
          </w:p>
        </w:tc>
        <w:tc>
          <w:tcPr>
            <w:tcW w:type="dxa" w:w="331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Exception registry + anomaly report</w:t>
            </w:r>
          </w:p>
        </w:tc>
      </w:tr>
      <w:tr>
        <w:trPr>
          <w:cantSplit/>
        </w:trPr>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BUG-003</w:t>
            </w:r>
          </w:p>
        </w:tc>
        <w:tc>
          <w:tcPr>
            <w:tcW w:type="dxa" w:w="439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test_set_lock thiếu governance fields</w:t>
            </w:r>
          </w:p>
        </w:tc>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HIGH</w:t>
            </w:r>
          </w:p>
        </w:tc>
        <w:tc>
          <w:tcPr>
            <w:tcW w:type="dxa" w:w="331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Bổ sung version, prohibited actions, audit status</w:t>
            </w:r>
          </w:p>
        </w:tc>
      </w:tr>
      <w:tr>
        <w:trPr>
          <w:cantSplit/>
        </w:trPr>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BUG-004</w:t>
            </w:r>
          </w:p>
        </w:tc>
        <w:tc>
          <w:tcPr>
            <w:tcW w:type="dxa" w:w="439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Mô tả “test chưa từng mở” không chính xác</w:t>
            </w:r>
          </w:p>
        </w:tc>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MEDIUM</w:t>
            </w:r>
          </w:p>
        </w:tc>
        <w:tc>
          <w:tcPr>
            <w:tcW w:type="dxa" w:w="331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Sửa thành pre-lock descriptive audit</w:t>
            </w:r>
          </w:p>
        </w:tc>
      </w:tr>
      <w:tr>
        <w:trPr>
          <w:cantSplit/>
        </w:trPr>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BUG-005</w:t>
            </w:r>
          </w:p>
        </w:tc>
        <w:tc>
          <w:tcPr>
            <w:tcW w:type="dxa" w:w="439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Ba .pkl legacy chưa được quarantine</w:t>
            </w:r>
          </w:p>
        </w:tc>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MEDIUM</w:t>
            </w:r>
          </w:p>
        </w:tc>
        <w:tc>
          <w:tcPr>
            <w:tcW w:type="dxa" w:w="331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Di chuyển legacy_epic1 + DO_NOT_USE</w:t>
            </w:r>
          </w:p>
        </w:tc>
      </w:tr>
      <w:tr>
        <w:trPr>
          <w:cantSplit/>
        </w:trPr>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BUG-006</w:t>
            </w:r>
          </w:p>
        </w:tc>
        <w:tc>
          <w:tcPr>
            <w:tcW w:type="dxa" w:w="439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Validation chủ yếu kiểm file tồn tại</w:t>
            </w:r>
          </w:p>
        </w:tc>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HIGH</w:t>
            </w:r>
          </w:p>
        </w:tc>
        <w:tc>
          <w:tcPr>
            <w:tcW w:type="dxa" w:w="331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Viết lại 95 content-level checks</w:t>
            </w:r>
          </w:p>
        </w:tc>
      </w:tr>
      <w:tr>
        <w:trPr>
          <w:cantSplit/>
        </w:trPr>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BUG-007</w:t>
            </w:r>
          </w:p>
        </w:tc>
        <w:tc>
          <w:tcPr>
            <w:tcW w:type="dxa" w:w="439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PSI train–validation từng bị gắn HIGH dù chưa được tính</w:t>
            </w:r>
          </w:p>
        </w:tc>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HIGH</w:t>
            </w:r>
          </w:p>
        </w:tc>
        <w:tc>
          <w:tcPr>
            <w:tcW w:type="dxa" w:w="331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Đặt NOT_COMPUTED / NOT_ASSESSED; thêm 2 validation guards</w:t>
            </w:r>
          </w:p>
        </w:tc>
      </w:tr>
      <w:tr>
        <w:trPr>
          <w:cantSplit/>
        </w:trPr>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BUG-008</w:t>
            </w:r>
          </w:p>
        </w:tc>
        <w:tc>
          <w:tcPr>
            <w:tcW w:type="dxa" w:w="4392"/>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Temporal proxy release_month_missing chưa ghi nhận</w:t>
            </w:r>
          </w:p>
        </w:tc>
        <w:tc>
          <w:tcPr>
            <w:tcW w:type="dxa" w:w="12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MEDIUM</w:t>
            </w:r>
          </w:p>
        </w:tc>
        <w:tc>
          <w:tcPr>
            <w:tcW w:type="dxa" w:w="3311"/>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Proxy risk report; quyết định missing indicator chuyển sang Feature 2.4</w:t>
            </w:r>
          </w:p>
        </w:tc>
      </w:tr>
      <w:tr>
        <w:trPr>
          <w:cantSplit/>
        </w:trPr>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5"/>
              </w:rPr>
              <w:t>BUG-009</w:t>
            </w:r>
          </w:p>
        </w:tc>
        <w:tc>
          <w:tcPr>
            <w:tcW w:type="dxa" w:w="4392"/>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Tuyên bố 50/50 PASS trước semantic checks</w:t>
            </w:r>
          </w:p>
        </w:tc>
        <w:tc>
          <w:tcPr>
            <w:tcW w:type="dxa" w:w="12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HIGH</w:t>
            </w:r>
          </w:p>
        </w:tc>
        <w:tc>
          <w:tcPr>
            <w:tcW w:type="dxa" w:w="3311"/>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5"/>
              </w:rPr>
              <w:t>Thay bằng 95/95 content-level checks</w:t>
            </w:r>
          </w:p>
        </w:tc>
      </w:tr>
    </w:tbl>
    <w:p>
      <w:pPr>
        <w:spacing w:after="0"/>
      </w:pPr>
    </w:p>
    <w:p>
      <w:pPr>
        <w:keepNext/>
        <w:spacing w:before="80" w:after="80"/>
      </w:pPr>
      <w:r>
        <w:rPr>
          <w:rFonts w:ascii="Arial" w:hAnsi="Arial" w:eastAsia="Arial"/>
          <w:b/>
          <w:color w:val="2F75B5"/>
          <w:sz w:val="24"/>
        </w:rPr>
        <w:t>Legacy artifact audit</w:t>
      </w:r>
    </w:p>
    <w:p>
      <w:pPr>
        <w:spacing w:before="0" w:after="60" w:line="252" w:lineRule="auto"/>
      </w:pPr>
      <w:r>
        <w:rPr>
          <w:rFonts w:ascii="Arial" w:hAnsi="Arial" w:eastAsia="Arial"/>
          <w:b w:val="0"/>
          <w:i w:val="0"/>
          <w:color w:val="111111"/>
          <w:sz w:val="18"/>
        </w:rPr>
        <w:t>Các artifact .pkl từ EPIC 1 đã được chuyển sang 4.MODELS/legacy_epic1/. Thư mục 4.MODELS/4.1.trained/ hiện còn 0 artifact legacy; manifest và DO_NOT_USE.md được dùng làm guard để tránh pipeline EPIC 2 vô tình tải nhầm.</w:t>
      </w:r>
    </w:p>
    <w:tbl>
      <w:tblPr>
        <w:tblW w:type="auto" w:w="0"/>
        <w:jc w:val="center"/>
        <w:tblLayout w:type="fixed"/>
        <w:tblLook w:firstColumn="1" w:firstRow="1" w:lastColumn="0" w:lastRow="0" w:noHBand="0" w:noVBand="1" w:val="04A0"/>
      </w:tblPr>
      <w:tblGrid>
        <w:gridCol w:w="3374"/>
        <w:gridCol w:w="3374"/>
        <w:gridCol w:w="3374"/>
      </w:tblGrid>
      <w:tr>
        <w:tc>
          <w:tcPr>
            <w:tcW w:type="dxa" w:w="3384"/>
            <w:shd w:fill="FFF2CC"/>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C65911"/>
                <w:sz w:val="19"/>
              </w:rPr>
              <w:t>BUGS FOUND</w:t>
              <w:br/>
              <w:t>9</w:t>
              <w:br/>
              <w:t>Đã điều tra</w:t>
            </w:r>
          </w:p>
        </w:tc>
        <w:tc>
          <w:tcPr>
            <w:tcW w:type="dxa" w:w="3384"/>
            <w:shd w:fill="E2F0D9"/>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2E7D32"/>
                <w:sz w:val="19"/>
              </w:rPr>
              <w:t>BUGS FIXED</w:t>
              <w:br/>
              <w:t>9</w:t>
              <w:br/>
              <w:t>Không còn tồn đọng</w:t>
            </w:r>
          </w:p>
        </w:tc>
        <w:tc>
          <w:tcPr>
            <w:tcW w:type="dxa" w:w="3384"/>
            <w:shd w:fill="D9EAF7"/>
            <w:tcMar>
              <w:top w:w="90" w:type="dxa"/>
              <w:start w:w="100" w:type="dxa"/>
              <w:bottom w:w="90" w:type="dxa"/>
              <w:end w:w="100" w:type="dxa"/>
            </w:tcMar>
            <w:tcBorders>
              <w:top w:val="single" w:sz="6" w:color="A6A6A6"/>
              <w:left w:val="single" w:sz="6" w:color="A6A6A6"/>
              <w:bottom w:val="single" w:sz="6" w:color="A6A6A6"/>
              <w:right w:val="single" w:sz="6" w:color="A6A6A6"/>
            </w:tcBorders>
          </w:tcPr>
          <w:p>
            <w:pPr>
              <w:spacing w:before="0" w:after="0" w:line="252" w:lineRule="auto"/>
              <w:jc w:val="center"/>
            </w:pPr>
            <w:r>
              <w:rPr>
                <w:rFonts w:ascii="Arial" w:hAnsi="Arial" w:eastAsia="Arial"/>
                <w:b/>
                <w:color w:val="1F4E78"/>
                <w:sz w:val="19"/>
              </w:rPr>
              <w:t>DATA / SPLIT</w:t>
              <w:br/>
              <w:t>UNCHANGED</w:t>
              <w:br/>
              <w:t>Hash và boundaries giữ nguyên</w:t>
            </w:r>
          </w:p>
        </w:tc>
      </w:tr>
    </w:tbl>
    <w:p>
      <w:pPr>
        <w:spacing w:after="0"/>
      </w:pPr>
    </w:p>
    <w:p>
      <w:r>
        <w:br w:type="page"/>
      </w:r>
    </w:p>
    <w:p>
      <w:pPr>
        <w:keepNext/>
        <w:spacing w:before="140" w:after="80"/>
      </w:pPr>
      <w:r>
        <w:rPr>
          <w:rFonts w:ascii="Arial" w:hAnsi="Arial" w:eastAsia="Arial"/>
          <w:b/>
          <w:color w:val="1F4E78"/>
          <w:sz w:val="30"/>
        </w:rPr>
        <w:t>8. Temporal shift, proxy risk và carry-forward</w:t>
      </w:r>
    </w:p>
    <w:p>
      <w:pPr>
        <w:spacing w:before="0" w:after="40" w:line="252" w:lineRule="auto"/>
        <w:jc w:val="center"/>
      </w:pPr>
      <w:r>
        <w:drawing>
          <wp:inline xmlns:a="http://schemas.openxmlformats.org/drawingml/2006/main" xmlns:pic="http://schemas.openxmlformats.org/drawingml/2006/picture">
            <wp:extent cx="6080760" cy="1933710"/>
            <wp:docPr id="3" name="Picture 3"/>
            <wp:cNvGraphicFramePr>
              <a:graphicFrameLocks noChangeAspect="1"/>
            </wp:cNvGraphicFramePr>
            <a:graphic>
              <a:graphicData uri="http://schemas.openxmlformats.org/drawingml/2006/picture">
                <pic:pic>
                  <pic:nvPicPr>
                    <pic:cNvPr id="0" name="psi_shift.png"/>
                    <pic:cNvPicPr/>
                  </pic:nvPicPr>
                  <pic:blipFill>
                    <a:blip r:embed="rId13"/>
                    <a:stretch>
                      <a:fillRect/>
                    </a:stretch>
                  </pic:blipFill>
                  <pic:spPr>
                    <a:xfrm>
                      <a:off x="0" y="0"/>
                      <a:ext cx="6080760" cy="1933710"/>
                    </a:xfrm>
                    <a:prstGeom prst="rect"/>
                  </pic:spPr>
                </pic:pic>
              </a:graphicData>
            </a:graphic>
          </wp:inline>
        </w:drawing>
      </w:r>
    </w:p>
    <w:tbl>
      <w:tblPr>
        <w:tblW w:type="auto" w:w="0"/>
        <w:jc w:val="center"/>
        <w:tblLayout w:type="fixed"/>
        <w:tblLook w:firstColumn="1" w:firstRow="1" w:lastColumn="0" w:lastRow="0" w:noHBand="0" w:noVBand="1" w:val="04A0"/>
      </w:tblPr>
      <w:tblGrid>
        <w:gridCol w:w="2531"/>
        <w:gridCol w:w="2531"/>
        <w:gridCol w:w="2531"/>
        <w:gridCol w:w="2531"/>
      </w:tblGrid>
      <w:tr>
        <w:trPr>
          <w:cantSplit/>
        </w:trPr>
        <w:tc>
          <w:tcPr>
            <w:tcW w:type="dxa" w:w="144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Risk</w:t>
            </w:r>
          </w:p>
        </w:tc>
        <w:tc>
          <w:tcPr>
            <w:tcW w:type="dxa" w:w="5256"/>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Mô tả</w:t>
            </w:r>
          </w:p>
        </w:tc>
        <w:tc>
          <w:tcPr>
            <w:tcW w:type="dxa" w:w="1440"/>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Severity</w:t>
            </w:r>
          </w:p>
        </w:tc>
        <w:tc>
          <w:tcPr>
            <w:tcW w:type="dxa" w:w="201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Owner</w:t>
            </w:r>
          </w:p>
        </w:tc>
      </w:tr>
      <w:tr>
        <w:trPr>
          <w:cantSplit/>
        </w:trPr>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SHIFT-01</w:t>
            </w:r>
          </w:p>
        </w:tc>
        <w:tc>
          <w:tcPr>
            <w:tcW w:type="dxa" w:w="525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PSI train→test = 1,481441; target distribution thay đổi mạnh</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HIGH</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2.5</w:t>
            </w:r>
          </w:p>
        </w:tc>
      </w:tr>
      <w:tr>
        <w:trPr>
          <w:cantSplit/>
        </w:trPr>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SHIFT-02</w:t>
            </w:r>
          </w:p>
        </w:tc>
        <w:tc>
          <w:tcPr>
            <w:tcW w:type="dxa" w:w="525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Target mean: train 22,88 → validation 37,06 → test 40,84</w:t>
            </w:r>
          </w:p>
        </w:tc>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HIGH</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2.5</w:t>
            </w:r>
          </w:p>
        </w:tc>
      </w:tr>
      <w:tr>
        <w:trPr>
          <w:cantSplit/>
        </w:trPr>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SHIFT-03</w:t>
            </w:r>
          </w:p>
        </w:tc>
        <w:tc>
          <w:tcPr>
            <w:tcW w:type="dxa" w:w="525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distribution shift được ghi nhận ở loudness, acousticness, energy</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HIGH</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2.2 / 2.5</w:t>
            </w:r>
          </w:p>
        </w:tc>
      </w:tr>
      <w:tr>
        <w:trPr>
          <w:cantSplit/>
        </w:trPr>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PROXY-01</w:t>
            </w:r>
          </w:p>
        </w:tc>
        <w:tc>
          <w:tcPr>
            <w:tcW w:type="dxa" w:w="525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release_month_missing có thể nhận diện catalog cũ / thời kỳ</w:t>
            </w:r>
          </w:p>
        </w:tc>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HIGH</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2.4</w:t>
            </w:r>
          </w:p>
        </w:tc>
      </w:tr>
      <w:tr>
        <w:trPr>
          <w:cantSplit/>
        </w:trPr>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EXC-001</w:t>
            </w:r>
          </w:p>
        </w:tc>
        <w:tc>
          <w:tcPr>
            <w:tcW w:type="dxa" w:w="525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release_year = 1900; suspected sentinel/default, 1 record</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LOW</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Exception registry</w:t>
            </w:r>
          </w:p>
        </w:tc>
      </w:tr>
      <w:tr>
        <w:trPr>
          <w:cantSplit/>
        </w:trPr>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IMB-001</w:t>
            </w:r>
          </w:p>
        </w:tc>
        <w:tc>
          <w:tcPr>
            <w:tcW w:type="dxa" w:w="525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Khoảng 75% target_popularity ≤ 40</w:t>
            </w:r>
          </w:p>
        </w:tc>
        <w:tc>
          <w:tcPr>
            <w:tcW w:type="dxa" w:w="1440"/>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MEDIUM</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 2.5</w:t>
            </w:r>
          </w:p>
        </w:tc>
      </w:tr>
      <w:tr>
        <w:trPr>
          <w:cantSplit/>
        </w:trPr>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SRC-001</w:t>
            </w:r>
          </w:p>
        </w:tc>
        <w:tc>
          <w:tcPr>
            <w:tcW w:type="dxa" w:w="525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Live analytics view chưa được kiểm tra trực tiếp; chỉ export vật lý đã reconcile</w:t>
            </w:r>
          </w:p>
        </w:tc>
        <w:tc>
          <w:tcPr>
            <w:tcW w:type="dxa" w:w="1440"/>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LIMITATION</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Data governance</w:t>
            </w:r>
          </w:p>
        </w:tc>
      </w:tr>
    </w:tbl>
    <w:p>
      <w:pPr>
        <w:spacing w:after="0"/>
      </w:pPr>
    </w:p>
    <w:p>
      <w:pPr>
        <w:keepNext/>
        <w:spacing w:before="80" w:after="80"/>
      </w:pPr>
      <w:r>
        <w:rPr>
          <w:rFonts w:ascii="Arial" w:hAnsi="Arial" w:eastAsia="Arial"/>
          <w:b/>
          <w:color w:val="2F75B5"/>
          <w:sz w:val="24"/>
        </w:rPr>
        <w:t>Temporal proxy: release_month_missing</w:t>
      </w:r>
    </w:p>
    <w:p>
      <w:pPr>
        <w:spacing w:before="0" w:after="60" w:line="252" w:lineRule="auto"/>
      </w:pPr>
      <w:r>
        <w:rPr>
          <w:rFonts w:ascii="Arial" w:hAnsi="Arial" w:eastAsia="Arial"/>
          <w:b w:val="0"/>
          <w:i w:val="0"/>
          <w:color w:val="111111"/>
          <w:sz w:val="18"/>
        </w:rPr>
        <w:t>release_month_missing không phải target leakage trực tiếp, nhưng có thể trở thành temporal proxy vì độ thiếu cao ở dữ liệu cũ. Feature 2.1 chỉ ghi nhận rủi ro; quyết định giữ hay loại missing indicator phải được đánh giá bằng model-based ablation ở Feature 2.4, tuyệt đối không dùng test performance để chọn.</w:t>
      </w:r>
    </w:p>
    <w:tbl>
      <w:tblPr>
        <w:tblW w:type="auto" w:w="0"/>
        <w:jc w:val="center"/>
        <w:tblLayout w:type="fixed"/>
        <w:tblLook w:firstColumn="1" w:firstRow="1" w:lastColumn="0" w:lastRow="0" w:noHBand="0" w:noVBand="1" w:val="04A0"/>
      </w:tblPr>
      <w:tblGrid>
        <w:gridCol w:w="5061"/>
        <w:gridCol w:w="5061"/>
      </w:tblGrid>
      <w:tr>
        <w:trPr>
          <w:cantSplit/>
        </w:trPr>
        <w:tc>
          <w:tcPr>
            <w:tcW w:type="dxa" w:w="172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Quyết định / Guard</w:t>
            </w:r>
          </w:p>
        </w:tc>
        <w:tc>
          <w:tcPr>
            <w:tcW w:type="dxa" w:w="842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Yêu cầu chuyển tiếp</w:t>
            </w:r>
          </w:p>
        </w:tc>
      </w:tr>
      <w:tr>
        <w:trPr>
          <w:cantSplit/>
        </w:trPr>
        <w:tc>
          <w:tcPr>
            <w:tcW w:type="dxa" w:w="17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Candidate indicator</w:t>
            </w:r>
          </w:p>
        </w:tc>
        <w:tc>
          <w:tcPr>
            <w:tcW w:type="dxa" w:w="84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release_month_missing chưa được khóa trong Feature 2.1.</w:t>
            </w:r>
          </w:p>
        </w:tc>
      </w:tr>
      <w:tr>
        <w:trPr>
          <w:cantSplit/>
        </w:trPr>
        <w:tc>
          <w:tcPr>
            <w:tcW w:type="dxa" w:w="17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Model-based ablation</w:t>
            </w:r>
          </w:p>
        </w:tc>
        <w:tc>
          <w:tcPr>
            <w:tcW w:type="dxa" w:w="84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So sánh pipeline có/không indicator ở Feature 2.4.</w:t>
            </w:r>
          </w:p>
        </w:tc>
      </w:tr>
      <w:tr>
        <w:trPr>
          <w:cantSplit/>
        </w:trPr>
        <w:tc>
          <w:tcPr>
            <w:tcW w:type="dxa" w:w="17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Leakage guard</w:t>
            </w:r>
          </w:p>
        </w:tc>
        <w:tc>
          <w:tcPr>
            <w:tcW w:type="dxa" w:w="84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Không dùng test metric để chọn preprocessing hoặc feature.</w:t>
            </w:r>
          </w:p>
        </w:tc>
      </w:tr>
      <w:tr>
        <w:trPr>
          <w:cantSplit/>
        </w:trPr>
        <w:tc>
          <w:tcPr>
            <w:tcW w:type="dxa" w:w="172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Interpretability check</w:t>
            </w:r>
          </w:p>
        </w:tc>
        <w:tc>
          <w:tcPr>
            <w:tcW w:type="dxa" w:w="842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Kiểm feature importance để phát hiện model phụ thuộc proxy thời gian.</w:t>
            </w:r>
          </w:p>
        </w:tc>
      </w:tr>
      <w:tr>
        <w:trPr>
          <w:cantSplit/>
        </w:trPr>
        <w:tc>
          <w:tcPr>
            <w:tcW w:type="dxa" w:w="172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Final decision</w:t>
            </w:r>
          </w:p>
        </w:tc>
        <w:tc>
          <w:tcPr>
            <w:tcW w:type="dxa" w:w="842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Chốt sau validation/model selection; final test chỉ ở Feature 2.5.</w:t>
            </w:r>
          </w:p>
        </w:tc>
      </w:tr>
    </w:tbl>
    <w:p>
      <w:pPr>
        <w:spacing w:after="0"/>
      </w:pPr>
    </w:p>
    <w:p>
      <w:pPr>
        <w:keepNext/>
        <w:spacing w:before="80" w:after="80"/>
      </w:pPr>
      <w:r>
        <w:rPr>
          <w:rFonts w:ascii="Arial" w:hAnsi="Arial" w:eastAsia="Arial"/>
          <w:b/>
          <w:color w:val="2F75B5"/>
          <w:sz w:val="24"/>
        </w:rPr>
        <w:t>Carry-forward bắt buộc</w:t>
      </w:r>
    </w:p>
    <w:tbl>
      <w:tblPr>
        <w:tblW w:type="auto" w:w="0"/>
        <w:jc w:val="center"/>
        <w:tblLayout w:type="fixed"/>
        <w:tblLook w:firstColumn="1" w:firstRow="1" w:lastColumn="0" w:lastRow="0" w:noHBand="0" w:noVBand="1" w:val="04A0"/>
      </w:tblPr>
      <w:tblGrid>
        <w:gridCol w:w="5061"/>
        <w:gridCol w:w="5061"/>
      </w:tblGrid>
      <w:tr>
        <w:trPr>
          <w:cantSplit/>
        </w:trPr>
        <w:tc>
          <w:tcPr>
            <w:tcW w:type="dxa" w:w="201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Owner</w:t>
            </w:r>
          </w:p>
        </w:tc>
        <w:tc>
          <w:tcPr>
            <w:tcW w:type="dxa" w:w="8136"/>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Yêu cầu</w:t>
            </w:r>
          </w:p>
        </w:tc>
      </w:tr>
      <w:tr>
        <w:trPr>
          <w:cantSplit/>
        </w:trPr>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2.2</w:t>
            </w:r>
          </w:p>
        </w:tc>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tempo median train-only; time_signature mode train-only; categorical encoding; StandardScaler train-only; leakage-safe transform.</w:t>
            </w:r>
          </w:p>
        </w:tc>
      </w:tr>
      <w:tr>
        <w:trPr>
          <w:cantSplit/>
        </w:trPr>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2.4</w:t>
            </w:r>
          </w:p>
        </w:tc>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Model-based ablation cho release_month_missing; lựa chọn missing indicator; không dùng test performance để quyết định.</w:t>
            </w:r>
          </w:p>
        </w:tc>
      </w:tr>
      <w:tr>
        <w:trPr>
          <w:cantSplit/>
        </w:trPr>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7"/>
              </w:rPr>
              <w:t>Feature 2.5</w:t>
            </w:r>
          </w:p>
        </w:tc>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7"/>
              </w:rPr>
              <w:t>Final test đúng một lần; MAE/RMSE/R² theo decade và popularity bucket; temporal robustness; residual bias.</w:t>
            </w:r>
          </w:p>
        </w:tc>
      </w:tr>
    </w:tbl>
    <w:p>
      <w:pPr>
        <w:spacing w:after="0"/>
      </w:pPr>
    </w:p>
    <w:p>
      <w:r>
        <w:br w:type="page"/>
      </w:r>
    </w:p>
    <w:p>
      <w:pPr>
        <w:keepNext/>
        <w:spacing w:before="140" w:after="80"/>
      </w:pPr>
      <w:r>
        <w:rPr>
          <w:rFonts w:ascii="Arial" w:hAnsi="Arial" w:eastAsia="Arial"/>
          <w:b/>
          <w:color w:val="1F4E78"/>
          <w:sz w:val="30"/>
        </w:rPr>
        <w:t>9. Output, Definition of Done và quyết định đóng Feature</w:t>
      </w:r>
    </w:p>
    <w:tbl>
      <w:tblPr>
        <w:tblW w:type="auto" w:w="0"/>
        <w:jc w:val="center"/>
        <w:tblLayout w:type="fixed"/>
        <w:tblLook w:firstColumn="1" w:firstRow="1" w:lastColumn="0" w:lastRow="0" w:noHBand="0" w:noVBand="1" w:val="04A0"/>
      </w:tblPr>
      <w:tblGrid>
        <w:gridCol w:w="5061"/>
        <w:gridCol w:w="5061"/>
      </w:tblGrid>
      <w:tr>
        <w:trPr>
          <w:cantSplit/>
        </w:trPr>
        <w:tc>
          <w:tcPr>
            <w:tcW w:type="dxa" w:w="1944"/>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Nhóm output</w:t>
            </w:r>
          </w:p>
        </w:tc>
        <w:tc>
          <w:tcPr>
            <w:tcW w:type="dxa" w:w="8208"/>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6"/>
              </w:rPr>
              <w:t>Artifact chính</w:t>
            </w:r>
          </w:p>
        </w:tc>
      </w:tr>
      <w:tr>
        <w:trPr>
          <w:cantSplit/>
        </w:trPr>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Config</w:t>
            </w:r>
          </w:p>
        </w:tc>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experiment_config.yaml; split_config.yaml</w:t>
            </w:r>
          </w:p>
        </w:tc>
      </w:tr>
      <w:tr>
        <w:trPr>
          <w:cantSplit/>
        </w:trPr>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Data intake</w:t>
            </w:r>
          </w:p>
        </w:tc>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data_version.json; schema_snapshot.json; input_manifest.json; target_profile.json; warning_profile.json; year_distribution.csv; diagnostics</w:t>
            </w:r>
          </w:p>
        </w:tc>
      </w:tr>
      <w:tr>
        <w:trPr>
          <w:cantSplit/>
        </w:trPr>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Split</w:t>
            </w:r>
          </w:p>
        </w:tc>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train_ids.parquet; validation_ids.parquet; test_ids.parquet; split_version.txt; split_manifest.json; test_set_lock.json</w:t>
            </w:r>
          </w:p>
        </w:tc>
      </w:tr>
      <w:tr>
        <w:trPr>
          <w:cantSplit/>
        </w:trPr>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Scripts</w:t>
            </w:r>
          </w:p>
        </w:tc>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feature_2_1_data_intake.py; validate_temporal_split.py; validate_feature_2_1.py; validate_test_set_lock.py; hotfix scripts</w:t>
            </w:r>
          </w:p>
        </w:tc>
      </w:tr>
      <w:tr>
        <w:trPr>
          <w:cantSplit/>
        </w:trPr>
        <w:tc>
          <w:tcPr>
            <w:tcW w:type="dxa" w:w="1944"/>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Reports</w:t>
            </w:r>
          </w:p>
        </w:tc>
        <w:tc>
          <w:tcPr>
            <w:tcW w:type="dxa" w:w="8208"/>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Intake, split, validation, completion, anomaly, reconciliation, governance, legacy audit, shift, proxy risk, hotfix, changelog</w:t>
            </w:r>
          </w:p>
        </w:tc>
      </w:tr>
      <w:tr>
        <w:trPr>
          <w:cantSplit/>
        </w:trPr>
        <w:tc>
          <w:tcPr>
            <w:tcW w:type="dxa" w:w="1944"/>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color w:val="111111"/>
                <w:sz w:val="16"/>
              </w:rPr>
              <w:t>Archive</w:t>
            </w:r>
          </w:p>
        </w:tc>
        <w:tc>
          <w:tcPr>
            <w:tcW w:type="dxa" w:w="8208"/>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pPr>
            <w:r>
              <w:rPr>
                <w:rFonts w:ascii="Arial" w:hAnsi="Arial" w:eastAsia="Arial"/>
                <w:b w:val="0"/>
                <w:color w:val="111111"/>
                <w:sz w:val="16"/>
              </w:rPr>
              <w:t>10.ARCHIVE/feature_2_1_pre_hotfix/</w:t>
            </w:r>
          </w:p>
        </w:tc>
      </w:tr>
    </w:tbl>
    <w:p>
      <w:pPr>
        <w:spacing w:after="0"/>
      </w:pPr>
    </w:p>
    <w:p>
      <w:pPr>
        <w:keepNext/>
        <w:spacing w:before="80" w:after="80"/>
      </w:pPr>
      <w:r>
        <w:rPr>
          <w:rFonts w:ascii="Arial" w:hAnsi="Arial" w:eastAsia="Arial"/>
          <w:b/>
          <w:color w:val="2F75B5"/>
          <w:sz w:val="24"/>
        </w:rPr>
        <w:t>Definition of Done</w:t>
      </w:r>
    </w:p>
    <w:tbl>
      <w:tblPr>
        <w:tblW w:type="auto" w:w="0"/>
        <w:jc w:val="center"/>
        <w:tblLayout w:type="fixed"/>
        <w:tblLook w:firstColumn="1" w:firstRow="1" w:lastColumn="0" w:lastRow="0" w:noHBand="0" w:noVBand="1" w:val="04A0"/>
      </w:tblPr>
      <w:tblGrid>
        <w:gridCol w:w="5061"/>
        <w:gridCol w:w="5061"/>
      </w:tblGrid>
      <w:tr>
        <w:trPr>
          <w:cantSplit/>
        </w:trPr>
        <w:tc>
          <w:tcPr>
            <w:tcW w:type="dxa" w:w="8136"/>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Gate</w:t>
            </w:r>
          </w:p>
        </w:tc>
        <w:tc>
          <w:tcPr>
            <w:tcW w:type="dxa" w:w="2015"/>
            <w:shd w:fill="1F4E78"/>
            <w:tcMar>
              <w:top w:w="65" w:type="dxa"/>
              <w:start w:w="70" w:type="dxa"/>
              <w:bottom w:w="65" w:type="dxa"/>
              <w:end w:w="70" w:type="dxa"/>
            </w:tcMar>
            <w:vAlign w:val="center"/>
            <w:tcBorders>
              <w:top w:val="single" w:sz="5" w:space="0" w:color="B7C9D6"/>
              <w:left w:val="single" w:sz="5" w:space="0" w:color="B7C9D6"/>
              <w:bottom w:val="single" w:sz="5" w:space="0" w:color="B7C9D6"/>
              <w:right w:val="single" w:sz="5" w:space="0" w:color="B7C9D6"/>
            </w:tcBorders>
          </w:tcPr>
          <w:p>
            <w:pPr>
              <w:spacing w:before="0" w:after="0" w:line="252" w:lineRule="auto"/>
              <w:jc w:val="center"/>
            </w:pPr>
            <w:r>
              <w:rPr>
                <w:rFonts w:ascii="Arial" w:hAnsi="Arial" w:eastAsia="Arial"/>
                <w:b/>
                <w:color w:val="FFFFFF"/>
                <w:sz w:val="17"/>
              </w:rPr>
              <w:t>Status</w:t>
            </w:r>
          </w:p>
        </w:tc>
      </w:tr>
      <w:tr>
        <w:trPr>
          <w:cantSplit/>
        </w:trPr>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Source reconciled; data version + hash</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Schema 20 cột; 18 features; không leakage column</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track_id và target hợp lệ</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Anomaly năm 1900 đã điều tra/đăng ký</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Temporal split locked; chronology + zero overlap</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Row reconciliation + split hashes reproducible</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Test set lock + guard script</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Legacy artifacts quarantined</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Temporal shift/proxy risk documented</w:t>
            </w:r>
          </w:p>
        </w:tc>
        <w:tc>
          <w:tcPr>
            <w:tcW w:type="dxa" w:w="2015"/>
            <w:shd w:fill="FFFFFF"/>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r>
        <w:trPr>
          <w:cantSplit/>
        </w:trPr>
        <w:tc>
          <w:tcPr>
            <w:tcW w:type="dxa" w:w="8136"/>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left"/>
            </w:pPr>
            <w:r>
              <w:rPr>
                <w:rFonts w:ascii="Arial" w:hAnsi="Arial" w:eastAsia="Arial"/>
                <w:b w:val="0"/>
                <w:color w:val="111111"/>
                <w:sz w:val="17"/>
              </w:rPr>
              <w:t>95 checks: 95 PASS, 0 FAIL</w:t>
            </w:r>
          </w:p>
        </w:tc>
        <w:tc>
          <w:tcPr>
            <w:tcW w:type="dxa" w:w="2015"/>
            <w:shd w:fill="F2F2F2"/>
            <w:tcMar>
              <w:top w:w="50" w:type="dxa"/>
              <w:start w:w="65" w:type="dxa"/>
              <w:bottom w:w="50" w:type="dxa"/>
              <w:end w:w="65" w:type="dxa"/>
            </w:tcMar>
            <w:vAlign w:val="center"/>
            <w:tcBorders>
              <w:top w:val="single" w:sz="5" w:space="0" w:color="B7C9D6"/>
              <w:left w:val="single" w:sz="5" w:space="0" w:color="B7C9D6"/>
              <w:bottom w:val="single" w:sz="5" w:space="0" w:color="B7C9D6"/>
              <w:right w:val="single" w:sz="5" w:space="0" w:color="B7C9D6"/>
            </w:tcBorders>
          </w:tcPr>
          <w:p>
            <w:pPr>
              <w:spacing w:before="0" w:after="0" w:line="240" w:lineRule="auto"/>
              <w:jc w:val="center"/>
            </w:pPr>
            <w:r>
              <w:rPr>
                <w:rFonts w:ascii="Arial" w:hAnsi="Arial" w:eastAsia="Arial"/>
                <w:b w:val="0"/>
                <w:color w:val="111111"/>
                <w:sz w:val="17"/>
              </w:rPr>
              <w:t>PASS</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152"/>
            <w:shd w:fill="E2F0D9"/>
            <w:tcMar>
              <w:top w:w="100" w:type="dxa"/>
              <w:start w:w="120" w:type="dxa"/>
              <w:bottom w:w="100" w:type="dxa"/>
              <w:end w:w="120" w:type="dxa"/>
            </w:tcMar>
            <w:tcBorders>
              <w:top w:val="single" w:sz="7" w:color="70AD47"/>
              <w:left w:val="single" w:sz="7" w:color="70AD47"/>
              <w:bottom w:val="single" w:sz="7" w:color="70AD47"/>
              <w:right w:val="single" w:sz="7" w:color="70AD47"/>
            </w:tcBorders>
          </w:tcPr>
          <w:p>
            <w:pPr>
              <w:spacing w:before="0" w:after="40" w:line="252" w:lineRule="auto"/>
            </w:pPr>
            <w:r>
              <w:rPr>
                <w:rFonts w:ascii="Arial" w:hAnsi="Arial" w:eastAsia="Arial"/>
                <w:b/>
                <w:color w:val="2E7D32"/>
                <w:sz w:val="23"/>
              </w:rPr>
              <w:t>Quyết định đóng Feature 2.1</w:t>
              <w:br/>
              <w:t>PASS_WITH_WARNINGS. Tất cả 95 hard checks đều PASS, 0 FAIL và 0 blocker. Các warning còn lại là đặc điểm/rủi ro dữ liệu theo thời gian đã được gán owner, không phải lỗi split. Feature 2.1 đủ điều kiện đóng và Feature 2.2 — Leakage-Safe Preprocessing Pipeline được phép bắt đầu.</w:t>
            </w:r>
          </w:p>
        </w:tc>
      </w:tr>
    </w:tbl>
    <w:p>
      <w:pPr>
        <w:spacing w:after="0"/>
      </w:pPr>
    </w:p>
    <w:p>
      <w:pPr>
        <w:keepNext/>
        <w:spacing w:before="80" w:after="80"/>
      </w:pPr>
      <w:r>
        <w:rPr>
          <w:rFonts w:ascii="Arial" w:hAnsi="Arial" w:eastAsia="Arial"/>
          <w:b/>
          <w:color w:val="2F75B5"/>
          <w:sz w:val="24"/>
        </w:rPr>
        <w:t>Phụ lục: nguồn báo cáo đã tổng hợp</w:t>
      </w:r>
    </w:p>
    <w:p>
      <w:pPr>
        <w:spacing w:before="0" w:after="12" w:line="252" w:lineRule="auto"/>
      </w:pPr>
      <w:r>
        <w:rPr>
          <w:rFonts w:ascii="Arial" w:hAnsi="Arial" w:eastAsia="Arial"/>
          <w:color w:val="666666"/>
          <w:sz w:val="16"/>
        </w:rPr>
        <w:t>1. DATA_INTAKE_VALIDATION_REPORT(16).md</w:t>
      </w:r>
    </w:p>
    <w:p>
      <w:pPr>
        <w:spacing w:before="0" w:after="12" w:line="252" w:lineRule="auto"/>
      </w:pPr>
      <w:r>
        <w:rPr>
          <w:rFonts w:ascii="Arial" w:hAnsi="Arial" w:eastAsia="Arial"/>
          <w:color w:val="666666"/>
          <w:sz w:val="16"/>
        </w:rPr>
        <w:t>2. FEATURE_2_1_COMPLETION_REPORT(16).md</w:t>
      </w:r>
    </w:p>
    <w:p>
      <w:pPr>
        <w:spacing w:before="0" w:after="12" w:line="252" w:lineRule="auto"/>
      </w:pPr>
      <w:r>
        <w:rPr>
          <w:rFonts w:ascii="Arial" w:hAnsi="Arial" w:eastAsia="Arial"/>
          <w:color w:val="666666"/>
          <w:sz w:val="16"/>
        </w:rPr>
        <w:t>3. FEATURE_2_1_HOTFIX_REPORT(15).md</w:t>
      </w:r>
    </w:p>
    <w:p>
      <w:pPr>
        <w:spacing w:before="0" w:after="12" w:line="252" w:lineRule="auto"/>
      </w:pPr>
      <w:r>
        <w:rPr>
          <w:rFonts w:ascii="Arial" w:hAnsi="Arial" w:eastAsia="Arial"/>
          <w:color w:val="666666"/>
          <w:sz w:val="16"/>
        </w:rPr>
        <w:t>4. FEATURE_2_1_VALIDATION_REPORT(16).md</w:t>
      </w:r>
    </w:p>
    <w:p>
      <w:pPr>
        <w:spacing w:before="0" w:after="12" w:line="252" w:lineRule="auto"/>
      </w:pPr>
      <w:r>
        <w:rPr>
          <w:rFonts w:ascii="Arial" w:hAnsi="Arial" w:eastAsia="Arial"/>
          <w:color w:val="666666"/>
          <w:sz w:val="16"/>
        </w:rPr>
        <w:t>5. HOTFIX_CHANGELOG(5).md</w:t>
      </w:r>
    </w:p>
    <w:p>
      <w:pPr>
        <w:spacing w:before="0" w:after="12" w:line="252" w:lineRule="auto"/>
      </w:pPr>
      <w:r>
        <w:rPr>
          <w:rFonts w:ascii="Arial" w:hAnsi="Arial" w:eastAsia="Arial"/>
          <w:color w:val="666666"/>
          <w:sz w:val="16"/>
        </w:rPr>
        <w:t>6. LEGACY_ARTIFACT_AUDIT_REPORT(5).md</w:t>
      </w:r>
    </w:p>
    <w:p>
      <w:pPr>
        <w:spacing w:before="0" w:after="12" w:line="252" w:lineRule="auto"/>
      </w:pPr>
      <w:r>
        <w:rPr>
          <w:rFonts w:ascii="Arial" w:hAnsi="Arial" w:eastAsia="Arial"/>
          <w:color w:val="666666"/>
          <w:sz w:val="16"/>
        </w:rPr>
        <w:t>7. RELEASE_YEAR_ANOMALY_REPORT(12).md</w:t>
      </w:r>
    </w:p>
    <w:p>
      <w:pPr>
        <w:spacing w:before="0" w:after="12" w:line="252" w:lineRule="auto"/>
      </w:pPr>
      <w:r>
        <w:rPr>
          <w:rFonts w:ascii="Arial" w:hAnsi="Arial" w:eastAsia="Arial"/>
          <w:color w:val="666666"/>
          <w:sz w:val="16"/>
        </w:rPr>
        <w:t>8. SOURCE_RECONCILIATION_REPORT(5).md</w:t>
      </w:r>
    </w:p>
    <w:p>
      <w:pPr>
        <w:spacing w:before="0" w:after="12" w:line="252" w:lineRule="auto"/>
      </w:pPr>
      <w:r>
        <w:rPr>
          <w:rFonts w:ascii="Arial" w:hAnsi="Arial" w:eastAsia="Arial"/>
          <w:color w:val="666666"/>
          <w:sz w:val="16"/>
        </w:rPr>
        <w:t>9. TEMPORAL_DISTRIBUTION_SHIFT_REPORT(5).md</w:t>
      </w:r>
    </w:p>
    <w:p>
      <w:pPr>
        <w:spacing w:before="0" w:after="12" w:line="252" w:lineRule="auto"/>
      </w:pPr>
      <w:r>
        <w:rPr>
          <w:rFonts w:ascii="Arial" w:hAnsi="Arial" w:eastAsia="Arial"/>
          <w:color w:val="666666"/>
          <w:sz w:val="16"/>
        </w:rPr>
        <w:t>10. TEMPORAL_PROXY_RISK_REPORT(5).md</w:t>
      </w:r>
    </w:p>
    <w:p>
      <w:pPr>
        <w:spacing w:before="0" w:after="12" w:line="252" w:lineRule="auto"/>
      </w:pPr>
      <w:r>
        <w:rPr>
          <w:rFonts w:ascii="Arial" w:hAnsi="Arial" w:eastAsia="Arial"/>
          <w:color w:val="666666"/>
          <w:sz w:val="16"/>
        </w:rPr>
        <w:t>11. TEMPORAL_SPLIT_REPORT(16).md</w:t>
      </w:r>
    </w:p>
    <w:p>
      <w:pPr>
        <w:spacing w:before="0" w:after="12" w:line="252" w:lineRule="auto"/>
      </w:pPr>
      <w:r>
        <w:rPr>
          <w:rFonts w:ascii="Arial" w:hAnsi="Arial" w:eastAsia="Arial"/>
          <w:color w:val="666666"/>
          <w:sz w:val="16"/>
        </w:rPr>
        <w:t>12. TEST_SET_GOVERNANCE_REPORT(5).md</w:t>
      </w:r>
    </w:p>
    <w:sectPr w:rsidR="00FC693F" w:rsidRPr="0006063C" w:rsidSect="00034616">
      <w:headerReference w:type="default" r:id="rId9"/>
      <w:footerReference w:type="default" r:id="rId10"/>
      <w:pgSz w:w="11909" w:h="16834"/>
      <w:pgMar w:top="792" w:right="893" w:bottom="792"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76"/>
      <w:gridCol w:w="5076"/>
    </w:tblGrid>
    <w:tr>
      <w:tc>
        <w:tcPr>
          <w:tcW w:type="dxa" w:w="8496"/>
        </w:tcPr>
        <w:p>
          <w:pPr>
            <w:spacing w:before="0" w:after="0" w:line="252" w:lineRule="auto"/>
          </w:pPr>
          <w:r>
            <w:rPr>
              <w:rFonts w:ascii="Arial" w:hAnsi="Arial" w:eastAsia="Arial"/>
              <w:color w:val="666666"/>
              <w:sz w:val="16"/>
            </w:rPr>
            <w:t>HitRadar Pro - EPIC 2 - Feature 2.1</w:t>
          </w:r>
        </w:p>
      </w:tc>
      <w:tc>
        <w:tcPr>
          <w:tcW w:type="dxa" w:w="1655"/>
        </w:tcPr>
        <w:p>
          <w:pPr>
            <w:jc w:val="right"/>
          </w:pPr>
          <w:r>
            <w:rPr>
              <w:rFonts w:ascii="Arial" w:hAnsi="Arial" w:eastAsia="Arial"/>
              <w:color w:val="666666"/>
              <w:sz w:val="17"/>
            </w:rPr>
            <w:t xml:space="preserve">Trang </w:t>
          </w:r>
          <w:r>
            <w:rPr>
              <w:rFonts w:ascii="Arial" w:hAnsi="Arial" w:eastAsia="Arial"/>
              <w:color w:val="666666"/>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center"/>
    </w:pPr>
    <w:r>
      <w:rPr>
        <w:rFonts w:ascii="Arial" w:hAnsi="Arial" w:eastAsia="Arial"/>
        <w:color w:val="666666"/>
        <w:sz w:val="16"/>
      </w:rPr>
      <w:t>HitRadar Pro - EPIC 2 - Feature 2.1 Data Intake, Validation &amp; Temporal Split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đóng gói Feature 2.1 — Data Intake, Validation &amp; Temporal Split</dc:title>
  <dc:subject>HitRadar Pro — EPIC 2</dc:subject>
  <dc:creator>Tuấn Anh</dc:creator>
  <cp:keywords>HitRadar Pro, Feature 2.1, Data Intake, Temporal Split, Validation, Hotfix</cp:keywords>
  <dc:description>Tổng hợp từ 12 báo cáo Markdown; 95/95 validation checks PASS.</dc:description>
  <cp:lastModifiedBy>Tuấn Anh</cp:lastModifiedBy>
  <cp:revision>1</cp:revision>
  <dcterms:created xsi:type="dcterms:W3CDTF">2013-12-23T23:15:00Z</dcterms:created>
  <dcterms:modified xsi:type="dcterms:W3CDTF">2013-12-23T23:15:00Z</dcterms:modified>
  <cp:category/>
</cp:coreProperties>
</file>