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20"/>
        <w:jc w:val="center"/>
      </w:pPr>
      <w:r>
        <w:rPr>
          <w:b/>
          <w:color w:val="2E74B5"/>
          <w:sz w:val="22"/>
        </w:rPr>
        <w:t>UNIVERSITY PROJECT REPORT</w:t>
      </w:r>
    </w:p>
    <w:p>
      <w:pPr>
        <w:spacing w:after="200"/>
        <w:jc w:val="center"/>
      </w:pPr>
      <w:r>
        <w:rPr>
          <w:b/>
          <w:color w:val="203752"/>
          <w:sz w:val="60"/>
        </w:rPr>
        <w:t>HITRADAR</w:t>
      </w:r>
    </w:p>
    <w:p>
      <w:pPr>
        <w:spacing w:after="1560"/>
        <w:jc w:val="center"/>
      </w:pPr>
      <w:r>
        <w:rPr>
          <w:color w:val="1F4D78"/>
          <w:sz w:val="30"/>
        </w:rPr>
        <w:t>Báo cáo tổng hợp dự án</w:t>
      </w:r>
    </w:p>
    <w:p>
      <w:pPr>
        <w:spacing w:after="60"/>
        <w:jc w:val="center"/>
      </w:pPr>
      <w:r>
        <w:rPr>
          <w:b/>
          <w:sz w:val="20"/>
        </w:rPr>
        <w:t xml:space="preserve">Scope: </w:t>
      </w:r>
      <w:r>
        <w:rPr>
          <w:color w:val="555555"/>
          <w:sz w:val="20"/>
        </w:rPr>
        <w:t>Popularity regression; secondary clustering and recommendation</w:t>
      </w:r>
    </w:p>
    <w:p>
      <w:pPr>
        <w:spacing w:after="60"/>
        <w:jc w:val="center"/>
      </w:pPr>
      <w:r>
        <w:rPr>
          <w:b/>
          <w:sz w:val="20"/>
        </w:rPr>
        <w:t xml:space="preserve">Evidence snapshot: </w:t>
      </w:r>
      <w:r>
        <w:rPr>
          <w:color w:val="555555"/>
          <w:sz w:val="20"/>
        </w:rPr>
        <w:t>2026-08-14</w:t>
      </w:r>
    </w:p>
    <w:p>
      <w:pPr>
        <w:spacing w:after="60"/>
        <w:jc w:val="center"/>
      </w:pPr>
      <w:r>
        <w:rPr>
          <w:b/>
          <w:sz w:val="20"/>
        </w:rPr>
        <w:t xml:space="preserve">Model state: </w:t>
      </w:r>
      <w:r>
        <w:rPr>
          <w:color w:val="555555"/>
          <w:sz w:val="20"/>
        </w:rPr>
        <w:t>Locked; Notebook 06 not retrained</w:t>
      </w:r>
    </w:p>
    <w:p>
      <w:r>
        <w:br w:type="page"/>
      </w:r>
    </w:p>
    <w:p>
      <w:pPr>
        <w:pStyle w:val="Heading1"/>
      </w:pPr>
      <w:r>
        <w:t>1. Tóm tắt điều hành</w:t>
      </w:r>
    </w:p>
    <w:p>
      <w:r>
        <w:t>HitRadar là dự án phân tích Spotify với nhiệm vụ chính là hồi quy popularity. Hai nhiệm vụ phụ là phân cụm âm thanh bằng KMeans và gợi ý bài hát theo nội dung. Dự án cung cấp FastAPI và Streamlit dùng chung logic feature engineering với pipeline đã lưu.</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2592"/>
            <w:vAlign w:val="center"/>
            <w:shd w:fill="E8EEF5"/>
            <w:tcMar>
              <w:top w:w="80" w:type="dxa"/>
              <w:start w:w="120" w:type="dxa"/>
              <w:bottom w:w="80" w:type="dxa"/>
              <w:end w:w="120" w:type="dxa"/>
            </w:tcMar>
          </w:tcPr>
          <w:p>
            <w:r>
              <w:rPr>
                <w:rFonts w:ascii="Calibri" w:hAnsi="Calibri"/>
                <w:b/>
                <w:sz w:val="20"/>
              </w:rPr>
              <w:t>Hạng mục</w:t>
            </w:r>
          </w:p>
        </w:tc>
        <w:tc>
          <w:tcPr>
            <w:tcW w:type="dxa" w:w="6768"/>
            <w:vAlign w:val="center"/>
            <w:shd w:fill="E8EEF5"/>
            <w:tcMar>
              <w:top w:w="80" w:type="dxa"/>
              <w:start w:w="120" w:type="dxa"/>
              <w:bottom w:w="80" w:type="dxa"/>
              <w:end w:w="120" w:type="dxa"/>
            </w:tcMar>
          </w:tcPr>
          <w:p>
            <w:r>
              <w:rPr>
                <w:rFonts w:ascii="Calibri" w:hAnsi="Calibri"/>
                <w:b/>
                <w:sz w:val="20"/>
              </w:rPr>
              <w:t>Kết quả đã xác minh</w:t>
            </w:r>
          </w:p>
        </w:tc>
      </w:tr>
      <w:tr>
        <w:tc>
          <w:tcPr>
            <w:tcW w:type="dxa" w:w="2592"/>
            <w:vAlign w:val="top"/>
            <w:tcMar>
              <w:top w:w="80" w:type="dxa"/>
              <w:start w:w="120" w:type="dxa"/>
              <w:bottom w:w="80" w:type="dxa"/>
              <w:end w:w="120" w:type="dxa"/>
            </w:tcMar>
          </w:tcPr>
          <w:p>
            <w:pPr>
              <w:spacing w:after="40"/>
            </w:pPr>
            <w:r>
              <w:rPr>
                <w:rFonts w:ascii="Calibri" w:hAnsi="Calibri"/>
                <w:sz w:val="19"/>
              </w:rPr>
              <w:t>Dữ liệu</w:t>
            </w:r>
          </w:p>
        </w:tc>
        <w:tc>
          <w:tcPr>
            <w:tcW w:type="dxa" w:w="6768"/>
            <w:vAlign w:val="top"/>
            <w:tcMar>
              <w:top w:w="80" w:type="dxa"/>
              <w:start w:w="120" w:type="dxa"/>
              <w:bottom w:w="80" w:type="dxa"/>
              <w:end w:w="120" w:type="dxa"/>
            </w:tcMar>
          </w:tcPr>
          <w:p>
            <w:pPr>
              <w:spacing w:after="40"/>
            </w:pPr>
            <w:r>
              <w:rPr>
                <w:rFonts w:ascii="Calibri" w:hAnsi="Calibri"/>
                <w:sz w:val="19"/>
              </w:rPr>
              <w:t>586.672 bản ghi; release_year quan sát 1900–2021</w:t>
            </w:r>
          </w:p>
        </w:tc>
      </w:tr>
      <w:tr>
        <w:tc>
          <w:tcPr>
            <w:tcW w:type="dxa" w:w="2592"/>
            <w:vAlign w:val="top"/>
            <w:tcMar>
              <w:top w:w="80" w:type="dxa"/>
              <w:start w:w="120" w:type="dxa"/>
              <w:bottom w:w="80" w:type="dxa"/>
              <w:end w:w="120" w:type="dxa"/>
            </w:tcMar>
          </w:tcPr>
          <w:p>
            <w:pPr>
              <w:spacing w:after="40"/>
            </w:pPr>
            <w:r>
              <w:rPr>
                <w:rFonts w:ascii="Calibri" w:hAnsi="Calibri"/>
                <w:sz w:val="19"/>
              </w:rPr>
              <w:t>Mô hình thắng</w:t>
            </w:r>
          </w:p>
        </w:tc>
        <w:tc>
          <w:tcPr>
            <w:tcW w:type="dxa" w:w="6768"/>
            <w:vAlign w:val="top"/>
            <w:tcMar>
              <w:top w:w="80" w:type="dxa"/>
              <w:start w:w="120" w:type="dxa"/>
              <w:bottom w:w="80" w:type="dxa"/>
              <w:end w:w="120" w:type="dxa"/>
            </w:tcMar>
          </w:tcPr>
          <w:p>
            <w:pPr>
              <w:spacing w:after="40"/>
            </w:pPr>
            <w:r>
              <w:rPr>
                <w:rFonts w:ascii="Calibri" w:hAnsi="Calibri"/>
                <w:sz w:val="19"/>
              </w:rPr>
              <w:t>Engineered With-Time / XGBoost</w:t>
            </w:r>
          </w:p>
        </w:tc>
      </w:tr>
      <w:tr>
        <w:tc>
          <w:tcPr>
            <w:tcW w:type="dxa" w:w="2592"/>
            <w:vAlign w:val="top"/>
            <w:tcMar>
              <w:top w:w="80" w:type="dxa"/>
              <w:start w:w="120" w:type="dxa"/>
              <w:bottom w:w="80" w:type="dxa"/>
              <w:end w:w="120" w:type="dxa"/>
            </w:tcMar>
          </w:tcPr>
          <w:p>
            <w:pPr>
              <w:spacing w:after="40"/>
            </w:pPr>
            <w:r>
              <w:rPr>
                <w:rFonts w:ascii="Calibri" w:hAnsi="Calibri"/>
                <w:sz w:val="19"/>
              </w:rPr>
              <w:t>Holdout cuối</w:t>
            </w:r>
          </w:p>
        </w:tc>
        <w:tc>
          <w:tcPr>
            <w:tcW w:type="dxa" w:w="6768"/>
            <w:vAlign w:val="top"/>
            <w:tcMar>
              <w:top w:w="80" w:type="dxa"/>
              <w:start w:w="120" w:type="dxa"/>
              <w:bottom w:w="80" w:type="dxa"/>
              <w:end w:w="120" w:type="dxa"/>
            </w:tcMar>
          </w:tcPr>
          <w:p>
            <w:pPr>
              <w:spacing w:after="40"/>
            </w:pPr>
            <w:r>
              <w:rPr>
                <w:rFonts w:ascii="Calibri" w:hAnsi="Calibri"/>
                <w:sz w:val="19"/>
              </w:rPr>
              <w:t>32.125 bản ghi, release_year &gt;= 2019</w:t>
            </w:r>
          </w:p>
        </w:tc>
      </w:tr>
      <w:tr>
        <w:tc>
          <w:tcPr>
            <w:tcW w:type="dxa" w:w="2592"/>
            <w:vAlign w:val="top"/>
            <w:tcMar>
              <w:top w:w="80" w:type="dxa"/>
              <w:start w:w="120" w:type="dxa"/>
              <w:bottom w:w="80" w:type="dxa"/>
              <w:end w:w="120" w:type="dxa"/>
            </w:tcMar>
          </w:tcPr>
          <w:p>
            <w:pPr>
              <w:spacing w:after="40"/>
            </w:pPr>
            <w:r>
              <w:rPr>
                <w:rFonts w:ascii="Calibri" w:hAnsi="Calibri"/>
                <w:sz w:val="19"/>
              </w:rPr>
              <w:t>Nhiệm vụ phụ</w:t>
            </w:r>
          </w:p>
        </w:tc>
        <w:tc>
          <w:tcPr>
            <w:tcW w:type="dxa" w:w="6768"/>
            <w:vAlign w:val="top"/>
            <w:tcMar>
              <w:top w:w="80" w:type="dxa"/>
              <w:start w:w="120" w:type="dxa"/>
              <w:bottom w:w="80" w:type="dxa"/>
              <w:end w:w="120" w:type="dxa"/>
            </w:tcMar>
          </w:tcPr>
          <w:p>
            <w:pPr>
              <w:spacing w:after="40"/>
            </w:pPr>
            <w:r>
              <w:rPr>
                <w:rFonts w:ascii="Calibri" w:hAnsi="Calibri"/>
                <w:sz w:val="19"/>
              </w:rPr>
              <w:t>KMeans k=3; content-based recommendation</w:t>
            </w:r>
          </w:p>
        </w:tc>
      </w:tr>
      <w:tr>
        <w:tc>
          <w:tcPr>
            <w:tcW w:type="dxa" w:w="2592"/>
            <w:vAlign w:val="top"/>
            <w:tcMar>
              <w:top w:w="80" w:type="dxa"/>
              <w:start w:w="120" w:type="dxa"/>
              <w:bottom w:w="80" w:type="dxa"/>
              <w:end w:w="120" w:type="dxa"/>
            </w:tcMar>
          </w:tcPr>
          <w:p>
            <w:pPr>
              <w:spacing w:after="40"/>
            </w:pPr>
            <w:r>
              <w:rPr>
                <w:rFonts w:ascii="Calibri" w:hAnsi="Calibri"/>
                <w:sz w:val="19"/>
              </w:rPr>
              <w:t>Triển khai</w:t>
            </w:r>
          </w:p>
        </w:tc>
        <w:tc>
          <w:tcPr>
            <w:tcW w:type="dxa" w:w="6768"/>
            <w:vAlign w:val="top"/>
            <w:tcMar>
              <w:top w:w="80" w:type="dxa"/>
              <w:start w:w="120" w:type="dxa"/>
              <w:bottom w:w="80" w:type="dxa"/>
              <w:end w:w="120" w:type="dxa"/>
            </w:tcMar>
          </w:tcPr>
          <w:p>
            <w:pPr>
              <w:spacing w:after="40"/>
            </w:pPr>
            <w:r>
              <w:rPr>
                <w:rFonts w:ascii="Calibri" w:hAnsi="Calibri"/>
                <w:sz w:val="19"/>
              </w:rPr>
              <w:t>FastAPI + Streamlit; chính sách sau 2020 là ALLOW + WARN</w:t>
            </w:r>
          </w:p>
        </w:tc>
      </w:tr>
    </w:tbl>
    <w:p>
      <w:pPr>
        <w:spacing w:before="80" w:after="80"/>
      </w:pPr>
      <w:r>
        <w:rPr>
          <w:i/>
          <w:color w:val="555555"/>
          <w:sz w:val="18"/>
        </w:rPr>
        <w:t>Repository source: README.md; 4.MODELS/hitradar_popularity/final_test_metrics.json; cluster_metadata.json</w:t>
      </w:r>
    </w:p>
    <w:p>
      <w:pPr>
        <w:pStyle w:val="Heading1"/>
      </w:pPr>
      <w:r>
        <w:t>2. Dữ liệu và phạm vi</w:t>
      </w:r>
    </w:p>
    <w:p>
      <w:r>
        <w:t>Bảng processed chuẩn có 586.672 track. Khoảng năm quan sát 1900–2021 khác với mô tả quảng bá 1921–2020 của nguồn ban đầu. Các file processed lớn không nằm trong tracked tree hiện tại; bản local được kiểm tra bằng SHA-256.</w:t>
      </w:r>
    </w:p>
    <w:p>
      <w:pPr>
        <w:pStyle w:val="ListBullet"/>
      </w:pPr>
      <w:r>
        <w:t>Định danh nội bộ: track_id.</w:t>
      </w:r>
    </w:p>
    <w:p>
      <w:pPr>
        <w:pStyle w:val="ListBullet"/>
      </w:pPr>
      <w:r>
        <w:t>Target ML nội bộ: target_popularity, tương ứng Spotify popularity từ 0 đến 100.</w:t>
      </w:r>
    </w:p>
    <w:p>
      <w:pPr>
        <w:pStyle w:val="ListBullet"/>
      </w:pPr>
      <w:r>
        <w:t>Dữ liệu và mô hình là bằng chứng dự đoán/mô tả, không chứng minh quan hệ nhân quả.</w:t>
      </w:r>
    </w:p>
    <w:p>
      <w:pPr>
        <w:spacing w:before="80" w:after="80"/>
      </w:pPr>
      <w:r>
        <w:rPr>
          <w:i/>
          <w:color w:val="555555"/>
          <w:sz w:val="18"/>
        </w:rPr>
        <w:t>Repository source: 6.TAI_LIEU/6.1.bao_cao/DATASET_AUDIT_REPORT.md; FINAL_SUBMISSION/evidence/feature_contract.json</w:t>
      </w:r>
    </w:p>
    <w:p>
      <w:pPr>
        <w:pStyle w:val="Heading1"/>
      </w:pPr>
      <w:r>
        <w:t>3. PostgreSQL, làm sạch và chất lượng dữ liệu</w:t>
      </w:r>
    </w:p>
    <w:p>
      <w:r>
        <w:t>Repository chứa SQL tạo schema/table/view/index, script import Python, pipeline làm sạch và các báo cáo validation. Trong final repository hotfix, Notebook 02 không được thực thi lại vì máy local không có PostgreSQL service hoặc credentials. Báo cáo này không tuyên bố kết nối DB thành công trong hotfix.</w:t>
      </w:r>
    </w:p>
    <w:p>
      <w:pPr>
        <w:pStyle w:val="ListBullet"/>
      </w:pPr>
      <w:r>
        <w:t>Canonical ingestion: 9.SCRIPTS/import_raw_data.py.</w:t>
      </w:r>
    </w:p>
    <w:p>
      <w:pPr>
        <w:pStyle w:val="ListBullet"/>
      </w:pPr>
      <w:r>
        <w:t>Canonical cleaning: 9.SCRIPTS/clean_raw_to_clean.py cùng SQL quality gates.</w:t>
      </w:r>
    </w:p>
    <w:p>
      <w:pPr>
        <w:pStyle w:val="ListBullet"/>
      </w:pPr>
      <w:r>
        <w:t>Bằng chứng schema/import/cleaning trước đó được giữ nguyên và ghi nguồn rõ ràng.</w:t>
      </w:r>
    </w:p>
    <w:p>
      <w:pPr>
        <w:pStyle w:val="Heading1"/>
      </w:pPr>
      <w:r>
        <w:t>4. EDA và feature engineering</w:t>
      </w:r>
    </w:p>
    <w:p>
      <w:r>
        <w:t>EDA tập trung vào phân phối popularity, audio features, xu hướng theo thời gian, artist/genre và tương quan/outlier. Notebook 05 tạo feature bằng code thật và dùng shared module để đồng bộ với inference.</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3024"/>
            <w:vAlign w:val="center"/>
            <w:shd w:fill="E8EEF5"/>
            <w:tcMar>
              <w:top w:w="80" w:type="dxa"/>
              <w:start w:w="120" w:type="dxa"/>
              <w:bottom w:w="80" w:type="dxa"/>
              <w:end w:w="120" w:type="dxa"/>
            </w:tcMar>
          </w:tcPr>
          <w:p>
            <w:r>
              <w:rPr>
                <w:rFonts w:ascii="Calibri" w:hAnsi="Calibri"/>
                <w:b/>
                <w:sz w:val="20"/>
              </w:rPr>
              <w:t>Feature contract</w:t>
            </w:r>
          </w:p>
        </w:tc>
        <w:tc>
          <w:tcPr>
            <w:tcW w:type="dxa" w:w="6336"/>
            <w:vAlign w:val="center"/>
            <w:shd w:fill="E8EEF5"/>
            <w:tcMar>
              <w:top w:w="80" w:type="dxa"/>
              <w:start w:w="120" w:type="dxa"/>
              <w:bottom w:w="80" w:type="dxa"/>
              <w:end w:w="120" w:type="dxa"/>
            </w:tcMar>
          </w:tcPr>
          <w:p>
            <w:r>
              <w:rPr>
                <w:rFonts w:ascii="Calibri" w:hAnsi="Calibri"/>
                <w:b/>
                <w:sz w:val="20"/>
              </w:rPr>
              <w:t>Số lượng / quy tắc</w:t>
            </w:r>
          </w:p>
        </w:tc>
      </w:tr>
      <w:tr>
        <w:tc>
          <w:tcPr>
            <w:tcW w:type="dxa" w:w="3024"/>
            <w:vAlign w:val="top"/>
            <w:tcMar>
              <w:top w:w="80" w:type="dxa"/>
              <w:start w:w="120" w:type="dxa"/>
              <w:bottom w:w="80" w:type="dxa"/>
              <w:end w:w="120" w:type="dxa"/>
            </w:tcMar>
          </w:tcPr>
          <w:p>
            <w:pPr>
              <w:spacing w:after="40"/>
            </w:pPr>
            <w:r>
              <w:rPr>
                <w:rFonts w:ascii="Calibri" w:hAnsi="Calibri"/>
                <w:sz w:val="19"/>
              </w:rPr>
              <w:t>Candidate engineered features</w:t>
            </w:r>
          </w:p>
        </w:tc>
        <w:tc>
          <w:tcPr>
            <w:tcW w:type="dxa" w:w="6336"/>
            <w:vAlign w:val="top"/>
            <w:tcMar>
              <w:top w:w="80" w:type="dxa"/>
              <w:start w:w="120" w:type="dxa"/>
              <w:bottom w:w="80" w:type="dxa"/>
              <w:end w:w="120" w:type="dxa"/>
            </w:tcMar>
          </w:tcPr>
          <w:p>
            <w:pPr>
              <w:spacing w:after="40"/>
            </w:pPr>
            <w:r>
              <w:rPr>
                <w:rFonts w:ascii="Calibri" w:hAnsi="Calibri"/>
                <w:sz w:val="19"/>
              </w:rPr>
              <w:t>16</w:t>
            </w:r>
          </w:p>
        </w:tc>
      </w:tr>
      <w:tr>
        <w:tc>
          <w:tcPr>
            <w:tcW w:type="dxa" w:w="3024"/>
            <w:vAlign w:val="top"/>
            <w:tcMar>
              <w:top w:w="80" w:type="dxa"/>
              <w:start w:w="120" w:type="dxa"/>
              <w:bottom w:w="80" w:type="dxa"/>
              <w:end w:w="120" w:type="dxa"/>
            </w:tcMar>
          </w:tcPr>
          <w:p>
            <w:pPr>
              <w:spacing w:after="40"/>
            </w:pPr>
            <w:r>
              <w:rPr>
                <w:rFonts w:ascii="Calibri" w:hAnsi="Calibri"/>
                <w:sz w:val="19"/>
              </w:rPr>
              <w:t>Selected engineered features</w:t>
            </w:r>
          </w:p>
        </w:tc>
        <w:tc>
          <w:tcPr>
            <w:tcW w:type="dxa" w:w="6336"/>
            <w:vAlign w:val="top"/>
            <w:tcMar>
              <w:top w:w="80" w:type="dxa"/>
              <w:start w:w="120" w:type="dxa"/>
              <w:bottom w:w="80" w:type="dxa"/>
              <w:end w:w="120" w:type="dxa"/>
            </w:tcMar>
          </w:tcPr>
          <w:p>
            <w:pPr>
              <w:spacing w:after="40"/>
            </w:pPr>
            <w:r>
              <w:rPr>
                <w:rFonts w:ascii="Calibri" w:hAnsi="Calibri"/>
                <w:sz w:val="19"/>
              </w:rPr>
              <w:t>14</w:t>
            </w:r>
          </w:p>
        </w:tc>
      </w:tr>
      <w:tr>
        <w:tc>
          <w:tcPr>
            <w:tcW w:type="dxa" w:w="3024"/>
            <w:vAlign w:val="top"/>
            <w:tcMar>
              <w:top w:w="80" w:type="dxa"/>
              <w:start w:w="120" w:type="dxa"/>
              <w:bottom w:w="80" w:type="dxa"/>
              <w:end w:w="120" w:type="dxa"/>
            </w:tcMar>
          </w:tcPr>
          <w:p>
            <w:pPr>
              <w:spacing w:after="40"/>
            </w:pPr>
            <w:r>
              <w:rPr>
                <w:rFonts w:ascii="Calibri" w:hAnsi="Calibri"/>
                <w:sz w:val="19"/>
              </w:rPr>
              <w:t>Learned-statistic features</w:t>
            </w:r>
          </w:p>
        </w:tc>
        <w:tc>
          <w:tcPr>
            <w:tcW w:type="dxa" w:w="6336"/>
            <w:vAlign w:val="top"/>
            <w:tcMar>
              <w:top w:w="80" w:type="dxa"/>
              <w:start w:w="120" w:type="dxa"/>
              <w:bottom w:w="80" w:type="dxa"/>
              <w:end w:w="120" w:type="dxa"/>
            </w:tcMar>
          </w:tcPr>
          <w:p>
            <w:pPr>
              <w:spacing w:after="40"/>
            </w:pPr>
            <w:r>
              <w:rPr>
                <w:rFonts w:ascii="Calibri" w:hAnsi="Calibri"/>
                <w:sz w:val="19"/>
              </w:rPr>
              <w:t>4; fit trên train rồi transform validation/test/inference</w:t>
            </w:r>
          </w:p>
        </w:tc>
      </w:tr>
      <w:tr>
        <w:tc>
          <w:tcPr>
            <w:tcW w:type="dxa" w:w="3024"/>
            <w:vAlign w:val="top"/>
            <w:tcMar>
              <w:top w:w="80" w:type="dxa"/>
              <w:start w:w="120" w:type="dxa"/>
              <w:bottom w:w="80" w:type="dxa"/>
              <w:end w:w="120" w:type="dxa"/>
            </w:tcMar>
          </w:tcPr>
          <w:p>
            <w:pPr>
              <w:spacing w:after="40"/>
            </w:pPr>
            <w:r>
              <w:rPr>
                <w:rFonts w:ascii="Calibri" w:hAnsi="Calibri"/>
                <w:sz w:val="19"/>
              </w:rPr>
              <w:t>Dropped</w:t>
            </w:r>
          </w:p>
        </w:tc>
        <w:tc>
          <w:tcPr>
            <w:tcW w:type="dxa" w:w="6336"/>
            <w:vAlign w:val="top"/>
            <w:tcMar>
              <w:top w:w="80" w:type="dxa"/>
              <w:start w:w="120" w:type="dxa"/>
              <w:bottom w:w="80" w:type="dxa"/>
              <w:end w:w="120" w:type="dxa"/>
            </w:tcMar>
          </w:tcPr>
          <w:p>
            <w:pPr>
              <w:spacing w:after="40"/>
            </w:pPr>
            <w:r>
              <w:rPr>
                <w:rFonts w:ascii="Calibri" w:hAnsi="Calibri"/>
                <w:sz w:val="19"/>
              </w:rPr>
              <w:t>speechiness_log, instrumentalness_log do gần như trùng thứ hạng đơn điệu với raw feature</w:t>
            </w:r>
          </w:p>
        </w:tc>
      </w:tr>
    </w:tbl>
    <w:p>
      <w:pPr>
        <w:spacing w:before="80" w:after="80"/>
      </w:pPr>
      <w:r>
        <w:rPr>
          <w:i/>
          <w:color w:val="555555"/>
          <w:sz w:val="18"/>
        </w:rPr>
        <w:t>Repository source: 3.NOTEBOOKS/3.5.feature_engineering/05_feature_engineering.ipynb; feature_contract.json</w:t>
      </w:r>
    </w:p>
    <w:p>
      <w:pPr>
        <w:pStyle w:val="Heading1"/>
      </w:pPr>
      <w:r>
        <w:t>5. Lựa chọn mô hình theo thời gian</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val="true"/>
        </w:trPr>
        <w:tc>
          <w:tcPr>
            <w:tcW w:type="dxa" w:w="1944"/>
            <w:vAlign w:val="center"/>
            <w:shd w:fill="E8EEF5"/>
            <w:tcMar>
              <w:top w:w="80" w:type="dxa"/>
              <w:start w:w="120" w:type="dxa"/>
              <w:bottom w:w="80" w:type="dxa"/>
              <w:end w:w="120" w:type="dxa"/>
            </w:tcMar>
          </w:tcPr>
          <w:p>
            <w:r>
              <w:rPr>
                <w:rFonts w:ascii="Calibri" w:hAnsi="Calibri"/>
                <w:b/>
                <w:sz w:val="20"/>
              </w:rPr>
              <w:t>Giai đoạn</w:t>
            </w:r>
          </w:p>
        </w:tc>
        <w:tc>
          <w:tcPr>
            <w:tcW w:type="dxa" w:w="3240"/>
            <w:vAlign w:val="center"/>
            <w:shd w:fill="E8EEF5"/>
            <w:tcMar>
              <w:top w:w="80" w:type="dxa"/>
              <w:start w:w="120" w:type="dxa"/>
              <w:bottom w:w="80" w:type="dxa"/>
              <w:end w:w="120" w:type="dxa"/>
            </w:tcMar>
          </w:tcPr>
          <w:p>
            <w:r>
              <w:rPr>
                <w:rFonts w:ascii="Calibri" w:hAnsi="Calibri"/>
                <w:b/>
                <w:sz w:val="20"/>
              </w:rPr>
              <w:t>Phạm vi</w:t>
            </w:r>
          </w:p>
        </w:tc>
        <w:tc>
          <w:tcPr>
            <w:tcW w:type="dxa" w:w="4176"/>
            <w:vAlign w:val="center"/>
            <w:shd w:fill="E8EEF5"/>
            <w:tcMar>
              <w:top w:w="80" w:type="dxa"/>
              <w:start w:w="120" w:type="dxa"/>
              <w:bottom w:w="80" w:type="dxa"/>
              <w:end w:w="120" w:type="dxa"/>
            </w:tcMar>
          </w:tcPr>
          <w:p>
            <w:r>
              <w:rPr>
                <w:rFonts w:ascii="Calibri" w:hAnsi="Calibri"/>
                <w:b/>
                <w:sz w:val="20"/>
              </w:rPr>
              <w:t>Mục đích</w:t>
            </w:r>
          </w:p>
        </w:tc>
      </w:tr>
      <w:tr>
        <w:tc>
          <w:tcPr>
            <w:tcW w:type="dxa" w:w="1944"/>
            <w:vAlign w:val="top"/>
            <w:tcMar>
              <w:top w:w="80" w:type="dxa"/>
              <w:start w:w="120" w:type="dxa"/>
              <w:bottom w:w="80" w:type="dxa"/>
              <w:end w:w="120" w:type="dxa"/>
            </w:tcMar>
          </w:tcPr>
          <w:p>
            <w:pPr>
              <w:spacing w:after="40"/>
            </w:pPr>
            <w:r>
              <w:rPr>
                <w:rFonts w:ascii="Calibri" w:hAnsi="Calibri"/>
                <w:sz w:val="19"/>
              </w:rPr>
              <w:t>Selection train</w:t>
            </w:r>
          </w:p>
        </w:tc>
        <w:tc>
          <w:tcPr>
            <w:tcW w:type="dxa" w:w="3240"/>
            <w:vAlign w:val="top"/>
            <w:tcMar>
              <w:top w:w="80" w:type="dxa"/>
              <w:start w:w="120" w:type="dxa"/>
              <w:bottom w:w="80" w:type="dxa"/>
              <w:end w:w="120" w:type="dxa"/>
            </w:tcMar>
          </w:tcPr>
          <w:p>
            <w:pPr>
              <w:spacing w:after="40"/>
            </w:pPr>
            <w:r>
              <w:rPr>
                <w:rFonts w:ascii="Calibri" w:hAnsi="Calibri"/>
                <w:sz w:val="19"/>
              </w:rPr>
              <w:t>release_year &lt;= 2017</w:t>
            </w:r>
          </w:p>
        </w:tc>
        <w:tc>
          <w:tcPr>
            <w:tcW w:type="dxa" w:w="4176"/>
            <w:vAlign w:val="top"/>
            <w:tcMar>
              <w:top w:w="80" w:type="dxa"/>
              <w:start w:w="120" w:type="dxa"/>
              <w:bottom w:w="80" w:type="dxa"/>
              <w:end w:w="120" w:type="dxa"/>
            </w:tcMar>
          </w:tcPr>
          <w:p>
            <w:pPr>
              <w:spacing w:after="40"/>
            </w:pPr>
            <w:r>
              <w:rPr>
                <w:rFonts w:ascii="Calibri" w:hAnsi="Calibri"/>
                <w:sz w:val="19"/>
              </w:rPr>
              <w:t>Fit candidate pipelines</w:t>
            </w:r>
          </w:p>
        </w:tc>
      </w:tr>
      <w:tr>
        <w:tc>
          <w:tcPr>
            <w:tcW w:type="dxa" w:w="1944"/>
            <w:vAlign w:val="top"/>
            <w:tcMar>
              <w:top w:w="80" w:type="dxa"/>
              <w:start w:w="120" w:type="dxa"/>
              <w:bottom w:w="80" w:type="dxa"/>
              <w:end w:w="120" w:type="dxa"/>
            </w:tcMar>
          </w:tcPr>
          <w:p>
            <w:pPr>
              <w:spacing w:after="40"/>
            </w:pPr>
            <w:r>
              <w:rPr>
                <w:rFonts w:ascii="Calibri" w:hAnsi="Calibri"/>
                <w:sz w:val="19"/>
              </w:rPr>
              <w:t>Validation</w:t>
            </w:r>
          </w:p>
        </w:tc>
        <w:tc>
          <w:tcPr>
            <w:tcW w:type="dxa" w:w="3240"/>
            <w:vAlign w:val="top"/>
            <w:tcMar>
              <w:top w:w="80" w:type="dxa"/>
              <w:start w:w="120" w:type="dxa"/>
              <w:bottom w:w="80" w:type="dxa"/>
              <w:end w:w="120" w:type="dxa"/>
            </w:tcMar>
          </w:tcPr>
          <w:p>
            <w:pPr>
              <w:spacing w:after="40"/>
            </w:pPr>
            <w:r>
              <w:rPr>
                <w:rFonts w:ascii="Calibri" w:hAnsi="Calibri"/>
                <w:sz w:val="19"/>
              </w:rPr>
              <w:t>release_year == 2018</w:t>
            </w:r>
          </w:p>
        </w:tc>
        <w:tc>
          <w:tcPr>
            <w:tcW w:type="dxa" w:w="4176"/>
            <w:vAlign w:val="top"/>
            <w:tcMar>
              <w:top w:w="80" w:type="dxa"/>
              <w:start w:w="120" w:type="dxa"/>
              <w:bottom w:w="80" w:type="dxa"/>
              <w:end w:w="120" w:type="dxa"/>
            </w:tcMar>
          </w:tcPr>
          <w:p>
            <w:pPr>
              <w:spacing w:after="40"/>
            </w:pPr>
            <w:r>
              <w:rPr>
                <w:rFonts w:ascii="Calibri" w:hAnsi="Calibri"/>
                <w:sz w:val="19"/>
              </w:rPr>
              <w:t>Chọn winner theo clipped RMSE, rồi MAE và tie-break ổn định</w:t>
            </w:r>
          </w:p>
        </w:tc>
      </w:tr>
      <w:tr>
        <w:tc>
          <w:tcPr>
            <w:tcW w:type="dxa" w:w="1944"/>
            <w:vAlign w:val="top"/>
            <w:tcMar>
              <w:top w:w="80" w:type="dxa"/>
              <w:start w:w="120" w:type="dxa"/>
              <w:bottom w:w="80" w:type="dxa"/>
              <w:end w:w="120" w:type="dxa"/>
            </w:tcMar>
          </w:tcPr>
          <w:p>
            <w:pPr>
              <w:spacing w:after="40"/>
            </w:pPr>
            <w:r>
              <w:rPr>
                <w:rFonts w:ascii="Calibri" w:hAnsi="Calibri"/>
                <w:sz w:val="19"/>
              </w:rPr>
              <w:t>Final refit</w:t>
            </w:r>
          </w:p>
        </w:tc>
        <w:tc>
          <w:tcPr>
            <w:tcW w:type="dxa" w:w="3240"/>
            <w:vAlign w:val="top"/>
            <w:tcMar>
              <w:top w:w="80" w:type="dxa"/>
              <w:start w:w="120" w:type="dxa"/>
              <w:bottom w:w="80" w:type="dxa"/>
              <w:end w:w="120" w:type="dxa"/>
            </w:tcMar>
          </w:tcPr>
          <w:p>
            <w:pPr>
              <w:spacing w:after="40"/>
            </w:pPr>
            <w:r>
              <w:rPr>
                <w:rFonts w:ascii="Calibri" w:hAnsi="Calibri"/>
                <w:sz w:val="19"/>
              </w:rPr>
              <w:t>release_year &lt; 2019; 554.547 dòng</w:t>
            </w:r>
          </w:p>
        </w:tc>
        <w:tc>
          <w:tcPr>
            <w:tcW w:type="dxa" w:w="4176"/>
            <w:vAlign w:val="top"/>
            <w:tcMar>
              <w:top w:w="80" w:type="dxa"/>
              <w:start w:w="120" w:type="dxa"/>
              <w:bottom w:w="80" w:type="dxa"/>
              <w:end w:w="120" w:type="dxa"/>
            </w:tcMar>
          </w:tcPr>
          <w:p>
            <w:pPr>
              <w:spacing w:after="40"/>
            </w:pPr>
            <w:r>
              <w:rPr>
                <w:rFonts w:ascii="Calibri" w:hAnsi="Calibri"/>
                <w:sz w:val="19"/>
              </w:rPr>
              <w:t>Fit winner đã khóa</w:t>
            </w:r>
          </w:p>
        </w:tc>
      </w:tr>
      <w:tr>
        <w:tc>
          <w:tcPr>
            <w:tcW w:type="dxa" w:w="1944"/>
            <w:vAlign w:val="top"/>
            <w:tcMar>
              <w:top w:w="80" w:type="dxa"/>
              <w:start w:w="120" w:type="dxa"/>
              <w:bottom w:w="80" w:type="dxa"/>
              <w:end w:w="120" w:type="dxa"/>
            </w:tcMar>
          </w:tcPr>
          <w:p>
            <w:pPr>
              <w:spacing w:after="40"/>
            </w:pPr>
            <w:r>
              <w:rPr>
                <w:rFonts w:ascii="Calibri" w:hAnsi="Calibri"/>
                <w:sz w:val="19"/>
              </w:rPr>
              <w:t>Final test</w:t>
            </w:r>
          </w:p>
        </w:tc>
        <w:tc>
          <w:tcPr>
            <w:tcW w:type="dxa" w:w="3240"/>
            <w:vAlign w:val="top"/>
            <w:tcMar>
              <w:top w:w="80" w:type="dxa"/>
              <w:start w:w="120" w:type="dxa"/>
              <w:bottom w:w="80" w:type="dxa"/>
              <w:end w:w="120" w:type="dxa"/>
            </w:tcMar>
          </w:tcPr>
          <w:p>
            <w:pPr>
              <w:spacing w:after="40"/>
            </w:pPr>
            <w:r>
              <w:rPr>
                <w:rFonts w:ascii="Calibri" w:hAnsi="Calibri"/>
                <w:sz w:val="19"/>
              </w:rPr>
              <w:t>release_year &gt;= 2019; 32.125 dòng</w:t>
            </w:r>
          </w:p>
        </w:tc>
        <w:tc>
          <w:tcPr>
            <w:tcW w:type="dxa" w:w="4176"/>
            <w:vAlign w:val="top"/>
            <w:tcMar>
              <w:top w:w="80" w:type="dxa"/>
              <w:start w:w="120" w:type="dxa"/>
              <w:bottom w:w="80" w:type="dxa"/>
              <w:end w:w="120" w:type="dxa"/>
            </w:tcMar>
          </w:tcPr>
          <w:p>
            <w:pPr>
              <w:spacing w:after="40"/>
            </w:pPr>
            <w:r>
              <w:rPr>
                <w:rFonts w:ascii="Calibri" w:hAnsi="Calibri"/>
                <w:sz w:val="19"/>
              </w:rPr>
              <w:t>Đánh giá cuối đúng một lần trong corrected protocol</w:t>
            </w:r>
          </w:p>
        </w:tc>
      </w:tr>
    </w:tbl>
    <w:p>
      <w:r>
        <w:t>Horizon 2019+ không được dùng để chọn winner trong corrected Round-2 protocol, nhưng đã từng được xem trong một iteration phát triển trước đó. Vì vậy không mô tả holdout này là historically never seen.</w:t>
      </w:r>
    </w:p>
    <w:tbl>
      <w:tblPr>
        <w:tblStyle w:val="TableGrid"/>
        <w:tblW w:type="auto" w:w="0"/>
        <w:jc w:val="center"/>
        <w:tblLayout w:type="fixed"/>
        <w:tblLook w:firstColumn="1" w:firstRow="1" w:lastColumn="0" w:lastRow="0" w:noHBand="0" w:noVBand="1" w:val="04A0"/>
      </w:tblPr>
      <w:tblGrid>
        <w:gridCol w:w="4759"/>
        <w:gridCol w:w="4759"/>
      </w:tblGrid>
      <w:tr>
        <w:trPr>
          <w:tblHeader w:val="true"/>
        </w:trPr>
        <w:tc>
          <w:tcPr>
            <w:tcW w:type="dxa" w:w="4320"/>
            <w:vAlign w:val="center"/>
            <w:shd w:fill="E8EEF5"/>
            <w:tcMar>
              <w:top w:w="80" w:type="dxa"/>
              <w:start w:w="120" w:type="dxa"/>
              <w:bottom w:w="80" w:type="dxa"/>
              <w:end w:w="120" w:type="dxa"/>
            </w:tcMar>
          </w:tcPr>
          <w:p>
            <w:r>
              <w:rPr>
                <w:rFonts w:ascii="Calibri" w:hAnsi="Calibri"/>
                <w:b/>
                <w:sz w:val="20"/>
              </w:rPr>
              <w:t>Metric (clipped)</w:t>
            </w:r>
          </w:p>
        </w:tc>
        <w:tc>
          <w:tcPr>
            <w:tcW w:type="dxa" w:w="5040"/>
            <w:vAlign w:val="center"/>
            <w:shd w:fill="E8EEF5"/>
            <w:tcMar>
              <w:top w:w="80" w:type="dxa"/>
              <w:start w:w="120" w:type="dxa"/>
              <w:bottom w:w="80" w:type="dxa"/>
              <w:end w:w="120" w:type="dxa"/>
            </w:tcMar>
          </w:tcPr>
          <w:p>
            <w:r>
              <w:rPr>
                <w:rFonts w:ascii="Calibri" w:hAnsi="Calibri"/>
                <w:b/>
                <w:sz w:val="20"/>
              </w:rPr>
              <w:t>Giá trị</w:t>
            </w:r>
          </w:p>
        </w:tc>
      </w:tr>
      <w:tr>
        <w:tc>
          <w:tcPr>
            <w:tcW w:type="dxa" w:w="4320"/>
            <w:vAlign w:val="top"/>
            <w:tcMar>
              <w:top w:w="80" w:type="dxa"/>
              <w:start w:w="120" w:type="dxa"/>
              <w:bottom w:w="80" w:type="dxa"/>
              <w:end w:w="120" w:type="dxa"/>
            </w:tcMar>
          </w:tcPr>
          <w:p>
            <w:pPr>
              <w:spacing w:after="40"/>
            </w:pPr>
            <w:r>
              <w:rPr>
                <w:rFonts w:ascii="Calibri" w:hAnsi="Calibri"/>
                <w:sz w:val="19"/>
              </w:rPr>
              <w:t>MAE</w:t>
            </w:r>
          </w:p>
        </w:tc>
        <w:tc>
          <w:tcPr>
            <w:tcW w:type="dxa" w:w="5040"/>
            <w:vAlign w:val="top"/>
            <w:tcMar>
              <w:top w:w="80" w:type="dxa"/>
              <w:start w:w="120" w:type="dxa"/>
              <w:bottom w:w="80" w:type="dxa"/>
              <w:end w:w="120" w:type="dxa"/>
            </w:tcMar>
          </w:tcPr>
          <w:p>
            <w:pPr>
              <w:spacing w:after="40"/>
            </w:pPr>
            <w:r>
              <w:rPr>
                <w:rFonts w:ascii="Calibri" w:hAnsi="Calibri"/>
                <w:sz w:val="19"/>
              </w:rPr>
              <w:t>16.20159882222829</w:t>
            </w:r>
          </w:p>
        </w:tc>
      </w:tr>
      <w:tr>
        <w:tc>
          <w:tcPr>
            <w:tcW w:type="dxa" w:w="4320"/>
            <w:vAlign w:val="top"/>
            <w:tcMar>
              <w:top w:w="80" w:type="dxa"/>
              <w:start w:w="120" w:type="dxa"/>
              <w:bottom w:w="80" w:type="dxa"/>
              <w:end w:w="120" w:type="dxa"/>
            </w:tcMar>
          </w:tcPr>
          <w:p>
            <w:pPr>
              <w:spacing w:after="40"/>
            </w:pPr>
            <w:r>
              <w:rPr>
                <w:rFonts w:ascii="Calibri" w:hAnsi="Calibri"/>
                <w:sz w:val="19"/>
              </w:rPr>
              <w:t>RMSE</w:t>
            </w:r>
          </w:p>
        </w:tc>
        <w:tc>
          <w:tcPr>
            <w:tcW w:type="dxa" w:w="5040"/>
            <w:vAlign w:val="top"/>
            <w:tcMar>
              <w:top w:w="80" w:type="dxa"/>
              <w:start w:w="120" w:type="dxa"/>
              <w:bottom w:w="80" w:type="dxa"/>
              <w:end w:w="120" w:type="dxa"/>
            </w:tcMar>
          </w:tcPr>
          <w:p>
            <w:pPr>
              <w:spacing w:after="40"/>
            </w:pPr>
            <w:r>
              <w:rPr>
                <w:rFonts w:ascii="Calibri" w:hAnsi="Calibri"/>
                <w:sz w:val="19"/>
              </w:rPr>
              <w:t>20.59495229457929</w:t>
            </w:r>
          </w:p>
        </w:tc>
      </w:tr>
      <w:tr>
        <w:tc>
          <w:tcPr>
            <w:tcW w:type="dxa" w:w="4320"/>
            <w:vAlign w:val="top"/>
            <w:tcMar>
              <w:top w:w="80" w:type="dxa"/>
              <w:start w:w="120" w:type="dxa"/>
              <w:bottom w:w="80" w:type="dxa"/>
              <w:end w:w="120" w:type="dxa"/>
            </w:tcMar>
          </w:tcPr>
          <w:p>
            <w:pPr>
              <w:spacing w:after="40"/>
            </w:pPr>
            <w:r>
              <w:rPr>
                <w:rFonts w:ascii="Calibri" w:hAnsi="Calibri"/>
                <w:sz w:val="19"/>
              </w:rPr>
              <w:t>R²</w:t>
            </w:r>
          </w:p>
        </w:tc>
        <w:tc>
          <w:tcPr>
            <w:tcW w:type="dxa" w:w="5040"/>
            <w:vAlign w:val="top"/>
            <w:tcMar>
              <w:top w:w="80" w:type="dxa"/>
              <w:start w:w="120" w:type="dxa"/>
              <w:bottom w:w="80" w:type="dxa"/>
              <w:end w:w="120" w:type="dxa"/>
            </w:tcMar>
          </w:tcPr>
          <w:p>
            <w:pPr>
              <w:spacing w:after="40"/>
            </w:pPr>
            <w:r>
              <w:rPr>
                <w:rFonts w:ascii="Calibri" w:hAnsi="Calibri"/>
                <w:sz w:val="19"/>
              </w:rPr>
              <w:t>0.2590257250611695</w:t>
            </w:r>
          </w:p>
        </w:tc>
      </w:tr>
    </w:tbl>
    <w:p>
      <w:pPr>
        <w:spacing w:before="80" w:after="80"/>
      </w:pPr>
      <w:r>
        <w:rPr>
          <w:i/>
          <w:color w:val="555555"/>
          <w:sz w:val="18"/>
        </w:rPr>
        <w:t>Repository source: 4.MODELS/hitradar_popularity/final_test_metrics.json; selection_winner_lock.json</w:t>
      </w:r>
    </w:p>
    <w:p>
      <w:r>
        <w:br w:type="page"/>
      </w:r>
    </w:p>
    <w:p>
      <w:pPr>
        <w:pStyle w:val="Heading1"/>
      </w:pPr>
      <w:r>
        <w:t>6. Nhiệm vụ phụ</w:t>
      </w:r>
    </w:p>
    <w:p>
      <w:pPr>
        <w:pStyle w:val="Heading2"/>
      </w:pPr>
      <w:r>
        <w:t>6.1 KMeans</w:t>
      </w:r>
    </w:p>
    <w:p>
      <w:r>
        <w:t>KMeans dùng 10 audio features, không dùng target và không dùng time. k=3 được chọn theo sampled silhouette. Separation còn khiêm tốn, silhouette tốt nhất khoảng 0,242, nên cluster chỉ nên được hiểu là phân đoạn mô tả.</w:t>
      </w:r>
    </w:p>
    <w:p>
      <w:pPr>
        <w:pStyle w:val="Heading2"/>
      </w:pPr>
      <w:r>
        <w:t>6.2 Content-based recommendation</w:t>
      </w:r>
    </w:p>
    <w:p>
      <w:r>
        <w:t>Recommender dùng audio similarity và kiểm tra self-exclusion. Metadata title/artist chưa đầy đủ, vì vậy bằng chứng gợi ý hiện thiên về track_id và feature similarity hơn trải nghiệm sản phẩm hoàn chỉnh.</w:t>
      </w:r>
    </w:p>
    <w:p>
      <w:pPr>
        <w:pStyle w:val="Heading1"/>
      </w:pPr>
      <w:r>
        <w:t>7. Triển khai và kiểm thử</w:t>
      </w:r>
    </w:p>
    <w:p>
      <w:pPr>
        <w:pStyle w:val="ListBullet"/>
      </w:pPr>
      <w:r>
        <w:t>FastAPI health và prediction path dùng model artifact đã khóa.</w:t>
      </w:r>
    </w:p>
    <w:p>
      <w:pPr>
        <w:pStyle w:val="ListBullet"/>
      </w:pPr>
      <w:r>
        <w:t>Direct prediction và API prediction được kiểm tra parity.</w:t>
      </w:r>
    </w:p>
    <w:p>
      <w:pPr>
        <w:pStyle w:val="ListBullet"/>
      </w:pPr>
      <w:r>
        <w:t>Streamlit AppTest kiểm tra bốn tab chính và policy cảnh báo năm ngoài support window.</w:t>
      </w:r>
    </w:p>
    <w:p>
      <w:pPr>
        <w:pStyle w:val="ListBullet"/>
      </w:pPr>
      <w:r>
        <w:t>FINAL_SUBMISSION là snapshot evidence đã sanitize, không phải runtime bundle standalone.</w:t>
      </w:r>
    </w:p>
    <w:p>
      <w:pPr>
        <w:pStyle w:val="Heading1"/>
      </w:pPr>
      <w:r>
        <w:t>8. Hạn chế và kết luận</w:t>
      </w:r>
    </w:p>
    <w:p>
      <w:pPr>
        <w:pStyle w:val="ListBullet"/>
      </w:pPr>
      <w:r>
        <w:t>R² cuối còn khiêm tốn và nhóm popularity cao có xu hướng bị underpredict.</w:t>
      </w:r>
    </w:p>
    <w:p>
      <w:pPr>
        <w:pStyle w:val="ListBullet"/>
      </w:pPr>
      <w:r>
        <w:t>Time features có ảnh hưởng đáng kể, làm tăng rủi ro distribution shift.</w:t>
      </w:r>
    </w:p>
    <w:p>
      <w:pPr>
        <w:pStyle w:val="ListBullet"/>
      </w:pPr>
      <w:r>
        <w:t>KMeans separation còn thấp; chưa có human relevance study cho cluster/recommendation.</w:t>
      </w:r>
    </w:p>
    <w:p>
      <w:pPr>
        <w:pStyle w:val="ListBullet"/>
      </w:pPr>
      <w:r>
        <w:t>Không diễn giải kết quả như causal inference.</w:t>
      </w:r>
    </w:p>
    <w:p>
      <w:pPr>
        <w:pStyle w:val="ListBullet"/>
      </w:pPr>
      <w:r>
        <w:t>NB02 chưa được xác minh lại trong final hotfix do thiếu PostgreSQL local.</w:t>
      </w:r>
    </w:p>
    <w:sectPr w:rsidR="00FC693F" w:rsidRPr="0006063C" w:rsidSect="00034616">
      <w:headerReference w:type="default" r:id="rId9"/>
      <w:footerReference w:type="default" r:id="rId10"/>
      <w:pgSz w:w="11909" w:h="16834"/>
      <w:pgMar w:top="1037" w:right="1195" w:bottom="979" w:left="1195"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HitRadar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HitRadar | Báo cáo tổng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