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4059555" cy="1068070"/>
            <wp:effectExtent l="0" t="0" r="4445" b="11430"/>
            <wp:docPr id="18" name="图片 18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校徽校名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分布式与云计算</w:t>
      </w:r>
    </w:p>
    <w:p>
      <w:pPr>
        <w:jc w:val="center"/>
        <w:rPr>
          <w:rFonts w:hint="eastAsia"/>
          <w:sz w:val="24"/>
        </w:rPr>
      </w:pPr>
      <w:r>
        <w:rPr>
          <w:rFonts w:hint="eastAsia" w:ascii="黑体" w:hAnsi="华文楷体" w:eastAsia="黑体"/>
          <w:kern w:val="0"/>
          <w:sz w:val="90"/>
          <w:szCs w:val="90"/>
        </w:rPr>
        <w:t>实验报告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tbl>
      <w:tblPr>
        <w:tblStyle w:val="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1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姓</w:t>
            </w:r>
            <w:r>
              <w:rPr>
                <w:rFonts w:hint="eastAsia" w:ascii="黑体" w:eastAsia="黑体"/>
                <w:sz w:val="36"/>
                <w:szCs w:val="36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名：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谭哲文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黑体" w:eastAsia="黑体"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lang w:val="en-US" w:eastAsia="zh-CN"/>
              </w:rPr>
              <w:t>学    号：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8202191123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计科2105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余腊生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本科生院制</w:t>
      </w:r>
    </w:p>
    <w:p>
      <w:pPr>
        <w:jc w:val="center"/>
        <w:rPr>
          <w:rFonts w:hint="eastAsia"/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2</w:t>
      </w:r>
      <w:r>
        <w:rPr>
          <w:rFonts w:hint="eastAsia" w:asci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实验一 数据包 </w:t>
      </w:r>
      <w:r>
        <w:rPr>
          <w:rFonts w:ascii="Calibri" w:hAnsi="Calibri" w:eastAsia="宋体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Socket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理解数据包 socket 的应用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实现数据包 socket 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了解 Java 并行编程的基本方法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实验要求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1. 预习实验指导书及教材的有关内容，了解数据包 socket 的通信原理；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2. 熟悉一种 Java IDE 和程序开发过程；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3. 了解下列 Java API:Thread、Runnable;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4. 尽可能独立思考并完成实验。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1. 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 Datagram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，用户数据报协议）是一种无连接的传输层协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议。它主要用于不要求分组顺序到达的传输中，分组传输顺序的检查与排序由应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用层完成 ，提供面向事务的简单不可靠信息传送服务。由于传输数据不建立连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接，因此也就不需要维护连接状态，包括收发状态等，因此一台服务机可同时向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多个客户机传输相同的消息。具有资源消耗小，处理速度快的优点，所以通常音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频、视频和普通数据在传送时使用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2. java.net.DatagramSocket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DatagramSocket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针对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协议实现的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，它的作用是接收和发送数据包。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是传输的数据报，其中封装了数据，其通信流程如下：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 UDP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 Datagram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，用户数据报协议）是一种无连接的传输层协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议。它主要用于不要求分组顺序到达的传输中，分组传输顺序的检查与排序由应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用层完成 ，提供面向事务的简单不可靠信息传送服务。由于传输数据不建立连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接，因此也就不需要维护连接状态，包括收发状态等，因此一台服务机可同时向多个客户机传输相同的消息。具有资源消耗小，处理速度快的优点，所以通常音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频、视频和普通数据在传送时使用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2. java.net.DatagramSocket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DatagramSocket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针对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协议实现的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，它的作用是接收和发送数据包。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是传输的数据报，其中封装了数据，其通信流程如下：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514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代码设计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本次实验主要是实现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协议下的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功能，服务端会返回客户端发送的数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服务端在初始化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DatagramSocket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需要指定端口号来监听，这样客户端才能根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据服务端的端口号确定目的地址，初始化字节数组封装入数据报对象，调用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接收数据报，解析数据报得到客户端的源地址和端口，根据客户发来的数据，再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将字节数组封装入数据报发送回客户端。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public Server() throws SocketException, IOException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指定端口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 datagramSocket = new DatagramSocket(8000);//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初始化字节数组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byte[] message = new byte[1024];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封装数据报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clientPacket = new DatagramPacket(message, 1024);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接收请求报文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datagramSocket.receive(clientPacket);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System.out.println("Client(" + clientPacket.getAddress().getHostAddress() + ":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+ clientPacket.getPort() + "):" + new String(message));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响应报文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serverPacket = new DatagramPacket(message, 0, message.l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ength, clientPacket.getAddress(),clientPacket.getPort());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System.out.println("Server:" + new String(message));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发送响应报文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datagramSocket.send(serverPacket);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关闭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Socket,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释放资源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datagramSocket.close()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4.2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客户端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客户端不同与服务端，创建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Socket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时可以不指定端口号，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jdk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会随机分配空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闲的端口。客户端获取客户的请求转为字节数组封装入数据报，进行发送。服务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端会根据原来的端口发送响应报文，接收响应报文后进行解析，释放资源。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public Client() throws IOException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初始化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Socket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 datagramSocket = new DatagramSocket();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System.out.print("Client:");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Scanner scanner = 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String message = scanner.nextLine();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将信息封装入数据报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ClientPacket = new DatagramPacket(message.getBytes(), 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ssage.length(),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InetAddress.getByName("127.0.0.1"), 8000);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发送数据报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datagramSocket.send(ClientPacket);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初始化服务端返回的数据报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DatagramPacket serverPacket = new DatagramPacket(new byte[1024], 1024);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接收数据报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datagramSocket.receive(serverPacket);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System.out.println("Server:" + new String(serverPacket.getData()));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关闭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socket,scanner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scanner.close();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datagramSocket.close();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33600" cy="32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1684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思考题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如何避免数据包丢失而造成的无限等待问题？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可以采用以下方法来避免：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设置超时时间： 发送方在发送数据包后启动一个定时器，等待接收方的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响应。如果在规定的超时时间内未收到响应，认为数据包丢失，触发重传机制。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重传次数限制： 为每个数据包设置一个重传次数的上限。如果数据包在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规定次数内仍未被确认，认为无法成功接收，发送端将触发重传。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序号标识：在数据包中引入序号字段，确保每个数据包都有唯一的标识。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接收方可以根据序号对接收到的数据包进行排序，避免处理重复接收的数据。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去重处理： 接收方在接收到数据包后，通过序号等信息判断是否是重复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接收的数据包，如果是则进行丢弃，避免对同一数据的重复处理。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如何实现全双工的数据包通信？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建立双向的套接字（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Socket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）连接来实现的。套接字会绑定主机的端口，能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够实现接收和发送数据报，主机可以通过解析数据报获得源地址和端口，来进行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响应，发送回发送请求的主机地址。在这种连接中，两个通信方都可以独立地同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时进行发送和接收操作，实现了双向的数据传输。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</w:docVars>
  <w:rsids>
    <w:rsidRoot w:val="00000000"/>
    <w:rsid w:val="48F023E8"/>
    <w:rsid w:val="4DB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2024-06-17T11:43:00Z</dcterms:created>
  <dc:creator>Dell</dc:creator>
  <cp:lastModifiedBy>且翱澄壹状</cp:lastModifiedBy>
  <dcterms:modified xsi:type="dcterms:W3CDTF">2024-06-17T12:07:22Z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E54A38BD569B4124AD0A297F8C6E90F8_12</vt:lpwstr>
  </property>
</Properties>
</file>