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51CDC" w14:textId="28D41012" w:rsidR="00880DAE" w:rsidRDefault="00880DAE" w:rsidP="00880DAE">
      <w:pPr>
        <w:spacing w:line="240" w:lineRule="auto"/>
      </w:pPr>
      <w:r>
        <w:t xml:space="preserve">Link: </w:t>
      </w:r>
      <w:hyperlink r:id="rId5" w:history="1">
        <w:r w:rsidRPr="00FB2232">
          <w:rPr>
            <w:rStyle w:val="Hyperlink"/>
          </w:rPr>
          <w:t>https://public.tableau.com/views/Sprint5Project_17598007752040/Dashboard1?:language=en-US&amp;:sid=&amp;:redirect=auth&amp;:display_count=n&amp;:origin=viz_share_link</w:t>
        </w:r>
      </w:hyperlink>
      <w:r>
        <w:t xml:space="preserve"> </w:t>
      </w:r>
    </w:p>
    <w:p w14:paraId="02FEF75C" w14:textId="0A643C2C" w:rsidR="00880DAE" w:rsidRDefault="00880DAE" w:rsidP="00880DAE">
      <w:pPr>
        <w:spacing w:line="240" w:lineRule="auto"/>
      </w:pPr>
      <w:r>
        <w:t>Embed Code:</w:t>
      </w:r>
    </w:p>
    <w:p w14:paraId="410E66C7" w14:textId="65048459" w:rsidR="00880DAE" w:rsidRDefault="00880DAE" w:rsidP="00880DAE">
      <w:pPr>
        <w:spacing w:line="240" w:lineRule="auto"/>
      </w:pPr>
      <w:r w:rsidRPr="00880DAE">
        <w:t>&lt;div class='</w:t>
      </w:r>
      <w:proofErr w:type="spellStart"/>
      <w:r w:rsidRPr="00880DAE">
        <w:t>tableauPlaceholder</w:t>
      </w:r>
      <w:proofErr w:type="spellEnd"/>
      <w:r w:rsidRPr="00880DAE">
        <w:t>' id='viz1760019349696' style='position: relative'&gt;&lt;</w:t>
      </w:r>
      <w:proofErr w:type="spellStart"/>
      <w:r w:rsidRPr="00880DAE">
        <w:t>noscript</w:t>
      </w:r>
      <w:proofErr w:type="spellEnd"/>
      <w:r w:rsidRPr="00880DAE">
        <w:t xml:space="preserve">&gt;&lt;a </w:t>
      </w:r>
      <w:proofErr w:type="spellStart"/>
      <w:r w:rsidRPr="00880DAE">
        <w:t>href</w:t>
      </w:r>
      <w:proofErr w:type="spellEnd"/>
      <w:r w:rsidRPr="00880DAE">
        <w:t>='#'&gt;&lt;</w:t>
      </w:r>
      <w:proofErr w:type="spellStart"/>
      <w:r w:rsidRPr="00880DAE">
        <w:t>img</w:t>
      </w:r>
      <w:proofErr w:type="spellEnd"/>
      <w:r w:rsidRPr="00880DAE">
        <w:t xml:space="preserve"> alt='Returns Root Cause Analysis ' src='https:&amp;#47;&amp;#47;public.tableau.com&amp;#47;static&amp;#47;images&amp;#47;Sp&amp;#47;Sprint5Project_17598007752040&amp;#47;Dashboard1&amp;#47;1_rss.png' style='border: none' /&gt;&lt;/a&gt;&lt;/</w:t>
      </w:r>
      <w:proofErr w:type="spellStart"/>
      <w:r w:rsidRPr="00880DAE">
        <w:t>noscript</w:t>
      </w:r>
      <w:proofErr w:type="spellEnd"/>
      <w:r w:rsidRPr="00880DAE">
        <w:t>&gt;&lt;object class='</w:t>
      </w:r>
      <w:proofErr w:type="spellStart"/>
      <w:r w:rsidRPr="00880DAE">
        <w:t>tableauViz</w:t>
      </w:r>
      <w:proofErr w:type="spellEnd"/>
      <w:r w:rsidRPr="00880DAE">
        <w:t>'  style='</w:t>
      </w:r>
      <w:proofErr w:type="spellStart"/>
      <w:r w:rsidRPr="00880DAE">
        <w:t>display:none</w:t>
      </w:r>
      <w:proofErr w:type="spellEnd"/>
      <w:r w:rsidRPr="00880DAE">
        <w:t>;'&gt;&lt;param name='</w:t>
      </w:r>
      <w:proofErr w:type="spellStart"/>
      <w:r w:rsidRPr="00880DAE">
        <w:t>host_url</w:t>
      </w:r>
      <w:proofErr w:type="spellEnd"/>
      <w:r w:rsidRPr="00880DAE">
        <w:t>' value='https%3A%2F%2Fpublic.tableau.com%2F' /&gt; &lt;param name='</w:t>
      </w:r>
      <w:proofErr w:type="spellStart"/>
      <w:r w:rsidRPr="00880DAE">
        <w:t>embed_code_version</w:t>
      </w:r>
      <w:proofErr w:type="spellEnd"/>
      <w:r w:rsidRPr="00880DAE">
        <w:t>' value='3' /&gt; &lt;param name='</w:t>
      </w:r>
      <w:proofErr w:type="spellStart"/>
      <w:r w:rsidRPr="00880DAE">
        <w:t>site_root</w:t>
      </w:r>
      <w:proofErr w:type="spellEnd"/>
      <w:r w:rsidRPr="00880DAE">
        <w:t>' value='' /&gt;&lt;param name='name' value='Sprint5Project_17598007752040&amp;#47;Dashboard1' /&gt;&lt;param name='tabs' value='no' /&gt;&lt;param name='toolbar' value='</w:t>
      </w:r>
      <w:proofErr w:type="spellStart"/>
      <w:r w:rsidRPr="00880DAE">
        <w:t>yes'</w:t>
      </w:r>
      <w:proofErr w:type="spellEnd"/>
      <w:r w:rsidRPr="00880DAE">
        <w:t xml:space="preserve"> /&gt;&lt;param name='</w:t>
      </w:r>
      <w:proofErr w:type="spellStart"/>
      <w:r w:rsidRPr="00880DAE">
        <w:t>static_image</w:t>
      </w:r>
      <w:proofErr w:type="spellEnd"/>
      <w:r w:rsidRPr="00880DAE">
        <w:t>' value='https:&amp;#47;&amp;#47;public.tableau.com&amp;#47;static&amp;#47;images&amp;#47;Sp&amp;#47;Sprint5Project_17598007752040&amp;#47;Dashboard1&amp;#47;1.png' /&gt; &lt;param name='</w:t>
      </w:r>
      <w:proofErr w:type="spellStart"/>
      <w:r w:rsidRPr="00880DAE">
        <w:t>animate_transition</w:t>
      </w:r>
      <w:proofErr w:type="spellEnd"/>
      <w:r w:rsidRPr="00880DAE">
        <w:t>' value='</w:t>
      </w:r>
      <w:proofErr w:type="spellStart"/>
      <w:r w:rsidRPr="00880DAE">
        <w:t>yes'</w:t>
      </w:r>
      <w:proofErr w:type="spellEnd"/>
      <w:r w:rsidRPr="00880DAE">
        <w:t xml:space="preserve"> /&gt;&lt;param name='</w:t>
      </w:r>
      <w:proofErr w:type="spellStart"/>
      <w:r w:rsidRPr="00880DAE">
        <w:t>display_static_image</w:t>
      </w:r>
      <w:proofErr w:type="spellEnd"/>
      <w:r w:rsidRPr="00880DAE">
        <w:t>' value='</w:t>
      </w:r>
      <w:proofErr w:type="spellStart"/>
      <w:r w:rsidRPr="00880DAE">
        <w:t>yes'</w:t>
      </w:r>
      <w:proofErr w:type="spellEnd"/>
      <w:r w:rsidRPr="00880DAE">
        <w:t xml:space="preserve"> /&gt;&lt;param name='</w:t>
      </w:r>
      <w:proofErr w:type="spellStart"/>
      <w:r w:rsidRPr="00880DAE">
        <w:t>display_spinner</w:t>
      </w:r>
      <w:proofErr w:type="spellEnd"/>
      <w:r w:rsidRPr="00880DAE">
        <w:t>' value='</w:t>
      </w:r>
      <w:proofErr w:type="spellStart"/>
      <w:r w:rsidRPr="00880DAE">
        <w:t>yes'</w:t>
      </w:r>
      <w:proofErr w:type="spellEnd"/>
      <w:r w:rsidRPr="00880DAE">
        <w:t xml:space="preserve"> /&gt;&lt;param name='</w:t>
      </w:r>
      <w:proofErr w:type="spellStart"/>
      <w:r w:rsidRPr="00880DAE">
        <w:t>display_overlay</w:t>
      </w:r>
      <w:proofErr w:type="spellEnd"/>
      <w:r w:rsidRPr="00880DAE">
        <w:t>' value='</w:t>
      </w:r>
      <w:proofErr w:type="spellStart"/>
      <w:r w:rsidRPr="00880DAE">
        <w:t>yes'</w:t>
      </w:r>
      <w:proofErr w:type="spellEnd"/>
      <w:r w:rsidRPr="00880DAE">
        <w:t xml:space="preserve"> /&gt;&lt;param name='</w:t>
      </w:r>
      <w:proofErr w:type="spellStart"/>
      <w:r w:rsidRPr="00880DAE">
        <w:t>display_count</w:t>
      </w:r>
      <w:proofErr w:type="spellEnd"/>
      <w:r w:rsidRPr="00880DAE">
        <w:t>' value='</w:t>
      </w:r>
      <w:proofErr w:type="spellStart"/>
      <w:r w:rsidRPr="00880DAE">
        <w:t>yes'</w:t>
      </w:r>
      <w:proofErr w:type="spellEnd"/>
      <w:r w:rsidRPr="00880DAE">
        <w:t xml:space="preserve"> /&gt;&lt;param name='language' value='</w:t>
      </w:r>
      <w:proofErr w:type="spellStart"/>
      <w:r w:rsidRPr="00880DAE">
        <w:t>en</w:t>
      </w:r>
      <w:proofErr w:type="spellEnd"/>
      <w:r w:rsidRPr="00880DAE">
        <w:t>-US' /&gt;&lt;/object&gt;&lt;/div&gt;                &lt;script type='text/</w:t>
      </w:r>
      <w:proofErr w:type="spellStart"/>
      <w:r w:rsidRPr="00880DAE">
        <w:t>javascript</w:t>
      </w:r>
      <w:proofErr w:type="spellEnd"/>
      <w:r w:rsidRPr="00880DAE">
        <w:t xml:space="preserve">'&gt;                    var </w:t>
      </w:r>
      <w:proofErr w:type="spellStart"/>
      <w:r w:rsidRPr="00880DAE">
        <w:t>divElement</w:t>
      </w:r>
      <w:proofErr w:type="spellEnd"/>
      <w:r w:rsidRPr="00880DAE">
        <w:t xml:space="preserve"> = </w:t>
      </w:r>
      <w:proofErr w:type="spellStart"/>
      <w:r w:rsidRPr="00880DAE">
        <w:t>document.getElementById</w:t>
      </w:r>
      <w:proofErr w:type="spellEnd"/>
      <w:r w:rsidRPr="00880DAE">
        <w:t xml:space="preserve">('viz1760019349696');                    var </w:t>
      </w:r>
      <w:proofErr w:type="spellStart"/>
      <w:r w:rsidRPr="00880DAE">
        <w:t>vizElement</w:t>
      </w:r>
      <w:proofErr w:type="spellEnd"/>
      <w:r w:rsidRPr="00880DAE">
        <w:t xml:space="preserve"> = </w:t>
      </w:r>
      <w:proofErr w:type="spellStart"/>
      <w:r w:rsidRPr="00880DAE">
        <w:t>divElement.getElementsByTagName</w:t>
      </w:r>
      <w:proofErr w:type="spellEnd"/>
      <w:r w:rsidRPr="00880DAE">
        <w:t xml:space="preserve">('object')[0];                    if ( </w:t>
      </w:r>
      <w:proofErr w:type="spellStart"/>
      <w:r w:rsidRPr="00880DAE">
        <w:t>divElement.offsetWidth</w:t>
      </w:r>
      <w:proofErr w:type="spellEnd"/>
      <w:r w:rsidRPr="00880DAE">
        <w:t xml:space="preserve"> &gt; 800 ) { vizElement.style.width='1024px';vizElement.style.height='795px';} else if ( </w:t>
      </w:r>
      <w:proofErr w:type="spellStart"/>
      <w:r w:rsidRPr="00880DAE">
        <w:t>divElement.offsetWidth</w:t>
      </w:r>
      <w:proofErr w:type="spellEnd"/>
      <w:r w:rsidRPr="00880DAE">
        <w:t xml:space="preserve"> &gt; 500 ) { vizElement.style.width='1024px';vizElement.style.height='795px';} else { </w:t>
      </w:r>
      <w:proofErr w:type="spellStart"/>
      <w:r w:rsidRPr="00880DAE">
        <w:t>vizElement.style.width</w:t>
      </w:r>
      <w:proofErr w:type="spellEnd"/>
      <w:r w:rsidRPr="00880DAE">
        <w:t>='100%';</w:t>
      </w:r>
      <w:proofErr w:type="spellStart"/>
      <w:r w:rsidRPr="00880DAE">
        <w:t>vizElement.style.height</w:t>
      </w:r>
      <w:proofErr w:type="spellEnd"/>
      <w:r w:rsidRPr="00880DAE">
        <w:t xml:space="preserve">='1877px';}                     var </w:t>
      </w:r>
      <w:proofErr w:type="spellStart"/>
      <w:r w:rsidRPr="00880DAE">
        <w:t>scriptElement</w:t>
      </w:r>
      <w:proofErr w:type="spellEnd"/>
      <w:r w:rsidRPr="00880DAE">
        <w:t xml:space="preserve"> = </w:t>
      </w:r>
      <w:proofErr w:type="spellStart"/>
      <w:r w:rsidRPr="00880DAE">
        <w:t>document.createElement</w:t>
      </w:r>
      <w:proofErr w:type="spellEnd"/>
      <w:r w:rsidRPr="00880DAE">
        <w:t xml:space="preserve">('script');                    </w:t>
      </w:r>
      <w:proofErr w:type="spellStart"/>
      <w:r w:rsidRPr="00880DAE">
        <w:t>scriptElement.src</w:t>
      </w:r>
      <w:proofErr w:type="spellEnd"/>
      <w:r w:rsidRPr="00880DAE">
        <w:t xml:space="preserve"> = 'https://public.tableau.com/</w:t>
      </w:r>
      <w:proofErr w:type="spellStart"/>
      <w:r w:rsidRPr="00880DAE">
        <w:t>javascripts</w:t>
      </w:r>
      <w:proofErr w:type="spellEnd"/>
      <w:r w:rsidRPr="00880DAE">
        <w:t>/</w:t>
      </w:r>
      <w:proofErr w:type="spellStart"/>
      <w:r w:rsidRPr="00880DAE">
        <w:t>api</w:t>
      </w:r>
      <w:proofErr w:type="spellEnd"/>
      <w:r w:rsidRPr="00880DAE">
        <w:t xml:space="preserve">/viz_v1.js';                    </w:t>
      </w:r>
      <w:proofErr w:type="spellStart"/>
      <w:r w:rsidRPr="00880DAE">
        <w:t>vizElement.parentNode.insertBefore</w:t>
      </w:r>
      <w:proofErr w:type="spellEnd"/>
      <w:r w:rsidRPr="00880DAE">
        <w:t>(</w:t>
      </w:r>
      <w:proofErr w:type="spellStart"/>
      <w:r w:rsidRPr="00880DAE">
        <w:t>scriptElement</w:t>
      </w:r>
      <w:proofErr w:type="spellEnd"/>
      <w:r w:rsidRPr="00880DAE">
        <w:t xml:space="preserve">, </w:t>
      </w:r>
      <w:proofErr w:type="spellStart"/>
      <w:r w:rsidRPr="00880DAE">
        <w:t>vizElement</w:t>
      </w:r>
      <w:proofErr w:type="spellEnd"/>
      <w:r w:rsidRPr="00880DAE">
        <w:t>);                &lt;/script&gt;</w:t>
      </w:r>
      <w:r>
        <w:t xml:space="preserve"> </w:t>
      </w:r>
    </w:p>
    <w:p w14:paraId="69C32E1C" w14:textId="77777777" w:rsidR="00880DAE" w:rsidRDefault="00880DAE" w:rsidP="00880DAE">
      <w:pPr>
        <w:spacing w:line="240" w:lineRule="auto"/>
      </w:pPr>
    </w:p>
    <w:p w14:paraId="7A76F4F1" w14:textId="77777777" w:rsidR="00880DAE" w:rsidRDefault="00880DAE" w:rsidP="00880DAE">
      <w:pPr>
        <w:spacing w:line="240" w:lineRule="auto"/>
      </w:pPr>
    </w:p>
    <w:p w14:paraId="62D755FA" w14:textId="3C182F32" w:rsidR="00251909" w:rsidRPr="0000458F" w:rsidRDefault="005818C4" w:rsidP="005818C4">
      <w:pPr>
        <w:pStyle w:val="ListParagraph"/>
        <w:numPr>
          <w:ilvl w:val="0"/>
          <w:numId w:val="3"/>
        </w:numPr>
        <w:spacing w:line="240" w:lineRule="auto"/>
        <w:rPr>
          <w:rFonts w:ascii="Calibri" w:hAnsi="Calibri" w:cs="Calibri"/>
          <w:sz w:val="32"/>
          <w:szCs w:val="32"/>
          <w:u w:val="single"/>
        </w:rPr>
      </w:pPr>
      <w:r w:rsidRPr="0000458F">
        <w:rPr>
          <w:rFonts w:ascii="Calibri" w:hAnsi="Calibri" w:cs="Calibri"/>
          <w:sz w:val="32"/>
          <w:szCs w:val="32"/>
          <w:u w:val="single"/>
        </w:rPr>
        <w:t>Analysis of Return rate: Category &amp; Sub-category</w:t>
      </w:r>
    </w:p>
    <w:p w14:paraId="6DF595C2" w14:textId="77777777" w:rsidR="005818C4" w:rsidRPr="0000458F" w:rsidRDefault="005818C4" w:rsidP="005818C4">
      <w:pPr>
        <w:pStyle w:val="NormalWeb"/>
        <w:spacing w:before="0" w:beforeAutospacing="0" w:after="0" w:afterAutospacing="0"/>
        <w:rPr>
          <w:rFonts w:ascii="Calibri" w:hAnsi="Calibri" w:cs="Calibri"/>
        </w:rPr>
      </w:pPr>
      <w:r w:rsidRPr="0000458F">
        <w:rPr>
          <w:rFonts w:ascii="Calibri" w:hAnsi="Calibri" w:cs="Calibri"/>
          <w:color w:val="000000"/>
        </w:rPr>
        <w:t xml:space="preserve">Return Rate for each Category. Color shows details of Sub-Category. The view is filtered on Category and Sub-Category. The multiple </w:t>
      </w:r>
      <w:proofErr w:type="gramStart"/>
      <w:r w:rsidRPr="0000458F">
        <w:rPr>
          <w:rFonts w:ascii="Calibri" w:hAnsi="Calibri" w:cs="Calibri"/>
          <w:color w:val="000000"/>
        </w:rPr>
        <w:t>filter</w:t>
      </w:r>
      <w:proofErr w:type="gramEnd"/>
      <w:r w:rsidRPr="0000458F">
        <w:rPr>
          <w:rFonts w:ascii="Calibri" w:hAnsi="Calibri" w:cs="Calibri"/>
          <w:color w:val="000000"/>
        </w:rPr>
        <w:t xml:space="preserve"> shows all categories Furniture, Office Supplies and Technology which shows details of sub-categories for each category in descending order. </w:t>
      </w:r>
    </w:p>
    <w:p w14:paraId="017F29A5" w14:textId="77777777" w:rsidR="005818C4" w:rsidRPr="0000458F" w:rsidRDefault="005818C4" w:rsidP="005818C4">
      <w:pPr>
        <w:pStyle w:val="NormalWeb"/>
        <w:spacing w:before="0" w:beforeAutospacing="0" w:after="0" w:afterAutospacing="0"/>
        <w:rPr>
          <w:rFonts w:ascii="Calibri" w:hAnsi="Calibri" w:cs="Calibri"/>
          <w:color w:val="555555"/>
        </w:rPr>
      </w:pPr>
    </w:p>
    <w:p w14:paraId="066D5438" w14:textId="77777777" w:rsidR="005818C4" w:rsidRPr="0000458F" w:rsidRDefault="005818C4" w:rsidP="005818C4">
      <w:pPr>
        <w:pStyle w:val="NormalWeb"/>
        <w:spacing w:before="0" w:beforeAutospacing="0" w:after="0" w:afterAutospacing="0"/>
        <w:rPr>
          <w:rFonts w:ascii="Calibri" w:hAnsi="Calibri" w:cs="Calibri"/>
        </w:rPr>
      </w:pPr>
      <w:r w:rsidRPr="0000458F">
        <w:rPr>
          <w:rFonts w:ascii="Calibri" w:hAnsi="Calibri" w:cs="Calibri"/>
          <w:color w:val="000000"/>
        </w:rPr>
        <w:t>Why Return rate is helpful?</w:t>
      </w:r>
    </w:p>
    <w:p w14:paraId="2B44A171" w14:textId="77777777" w:rsidR="005818C4" w:rsidRPr="0000458F" w:rsidRDefault="005818C4" w:rsidP="005818C4">
      <w:pPr>
        <w:pStyle w:val="NormalWeb"/>
        <w:spacing w:before="0" w:beforeAutospacing="0" w:after="0" w:afterAutospacing="0"/>
        <w:rPr>
          <w:rFonts w:ascii="Calibri" w:hAnsi="Calibri" w:cs="Calibri"/>
        </w:rPr>
      </w:pPr>
      <w:r w:rsidRPr="0000458F">
        <w:rPr>
          <w:rFonts w:ascii="Calibri" w:hAnsi="Calibri" w:cs="Calibri"/>
          <w:color w:val="000000"/>
        </w:rPr>
        <w:t xml:space="preserve">It shows the proportion of returned orders relative to total sales. It's ideal for benchmarking product quality, listing accuracy against competitors or to achieve internal goals. It is best for benchmarking </w:t>
      </w:r>
      <w:proofErr w:type="spellStart"/>
      <w:r w:rsidRPr="0000458F">
        <w:rPr>
          <w:rFonts w:ascii="Calibri" w:hAnsi="Calibri" w:cs="Calibri"/>
          <w:color w:val="000000"/>
        </w:rPr>
        <w:t>effieciency</w:t>
      </w:r>
      <w:proofErr w:type="spellEnd"/>
      <w:r w:rsidRPr="0000458F">
        <w:rPr>
          <w:rFonts w:ascii="Calibri" w:hAnsi="Calibri" w:cs="Calibri"/>
          <w:color w:val="000000"/>
        </w:rPr>
        <w:t xml:space="preserve"> comparing product quality or accuracy over </w:t>
      </w:r>
      <w:proofErr w:type="gramStart"/>
      <w:r w:rsidRPr="0000458F">
        <w:rPr>
          <w:rFonts w:ascii="Calibri" w:hAnsi="Calibri" w:cs="Calibri"/>
          <w:color w:val="000000"/>
        </w:rPr>
        <w:t>period of time</w:t>
      </w:r>
      <w:proofErr w:type="gramEnd"/>
      <w:r w:rsidRPr="0000458F">
        <w:rPr>
          <w:rFonts w:ascii="Calibri" w:hAnsi="Calibri" w:cs="Calibri"/>
          <w:color w:val="000000"/>
        </w:rPr>
        <w:t xml:space="preserve">. </w:t>
      </w:r>
    </w:p>
    <w:p w14:paraId="02F23AC3" w14:textId="77777777" w:rsidR="005818C4" w:rsidRPr="0000458F" w:rsidRDefault="005818C4" w:rsidP="005818C4">
      <w:pPr>
        <w:pStyle w:val="NormalWeb"/>
        <w:spacing w:before="0" w:beforeAutospacing="0" w:after="0" w:afterAutospacing="0"/>
        <w:rPr>
          <w:rFonts w:ascii="Calibri" w:hAnsi="Calibri" w:cs="Calibri"/>
          <w:color w:val="555555"/>
        </w:rPr>
      </w:pPr>
    </w:p>
    <w:p w14:paraId="21C502B3" w14:textId="77777777" w:rsidR="005818C4" w:rsidRPr="0000458F" w:rsidRDefault="005818C4" w:rsidP="005818C4">
      <w:pPr>
        <w:pStyle w:val="NormalWeb"/>
        <w:spacing w:before="0" w:beforeAutospacing="0" w:after="0" w:afterAutospacing="0"/>
        <w:rPr>
          <w:rFonts w:ascii="Calibri" w:hAnsi="Calibri" w:cs="Calibri"/>
        </w:rPr>
      </w:pPr>
      <w:r w:rsidRPr="0000458F">
        <w:rPr>
          <w:rFonts w:ascii="Calibri" w:hAnsi="Calibri" w:cs="Calibri"/>
          <w:color w:val="000000"/>
        </w:rPr>
        <w:t>- The Office Supplies category has the highest overall return rate (</w:t>
      </w:r>
      <w:proofErr w:type="spellStart"/>
      <w:r w:rsidRPr="0000458F">
        <w:rPr>
          <w:rFonts w:ascii="Calibri" w:hAnsi="Calibri" w:cs="Calibri"/>
          <w:color w:val="000000"/>
        </w:rPr>
        <w:t>approx</w:t>
      </w:r>
      <w:proofErr w:type="spellEnd"/>
      <w:r w:rsidRPr="0000458F">
        <w:rPr>
          <w:rFonts w:ascii="Calibri" w:hAnsi="Calibri" w:cs="Calibri"/>
          <w:color w:val="000000"/>
        </w:rPr>
        <w:t xml:space="preserve"> 3 times). This volume is fueled by key sub-categories like Binders, Fasteners, and Paper. This suggests widespread lower cost issues likely to product fragility, inconsistent packing or damage during shipping procedures. </w:t>
      </w:r>
    </w:p>
    <w:p w14:paraId="1E056389" w14:textId="77777777" w:rsidR="005818C4" w:rsidRPr="0000458F" w:rsidRDefault="005818C4" w:rsidP="005818C4">
      <w:pPr>
        <w:pStyle w:val="NormalWeb"/>
        <w:spacing w:before="0" w:beforeAutospacing="0" w:after="0" w:afterAutospacing="0"/>
        <w:rPr>
          <w:rFonts w:ascii="Calibri" w:hAnsi="Calibri" w:cs="Calibri"/>
        </w:rPr>
      </w:pPr>
      <w:r w:rsidRPr="0000458F">
        <w:rPr>
          <w:rFonts w:ascii="Calibri" w:hAnsi="Calibri" w:cs="Calibri"/>
          <w:color w:val="000000"/>
        </w:rPr>
        <w:t>- While Technology has a moderate overall return rate (</w:t>
      </w:r>
      <w:proofErr w:type="spellStart"/>
      <w:r w:rsidRPr="0000458F">
        <w:rPr>
          <w:rFonts w:ascii="Calibri" w:hAnsi="Calibri" w:cs="Calibri"/>
          <w:color w:val="000000"/>
        </w:rPr>
        <w:t>approx</w:t>
      </w:r>
      <w:proofErr w:type="spellEnd"/>
      <w:r w:rsidRPr="0000458F">
        <w:rPr>
          <w:rFonts w:ascii="Calibri" w:hAnsi="Calibri" w:cs="Calibri"/>
          <w:color w:val="000000"/>
        </w:rPr>
        <w:t xml:space="preserve"> 1.5 times), the Machines sub-category exhibits the highest return rate in the entire store at 49.1%. This suggests a critical quality control or technical functionality failure or product-specific problem which requires immediate investigation or quality assurance review. </w:t>
      </w:r>
    </w:p>
    <w:p w14:paraId="4FC85114" w14:textId="77777777" w:rsidR="005818C4" w:rsidRPr="0000458F" w:rsidRDefault="005818C4" w:rsidP="005818C4">
      <w:pPr>
        <w:pStyle w:val="NormalWeb"/>
        <w:spacing w:before="0" w:beforeAutospacing="0" w:after="0" w:afterAutospacing="0"/>
        <w:rPr>
          <w:rFonts w:ascii="Calibri" w:hAnsi="Calibri" w:cs="Calibri"/>
          <w:color w:val="000000"/>
        </w:rPr>
      </w:pPr>
      <w:r w:rsidRPr="0000458F">
        <w:rPr>
          <w:rFonts w:ascii="Calibri" w:hAnsi="Calibri" w:cs="Calibri"/>
          <w:color w:val="000000"/>
        </w:rPr>
        <w:t>- The furniture category maintains the lowest return rate (</w:t>
      </w:r>
      <w:proofErr w:type="spellStart"/>
      <w:r w:rsidRPr="0000458F">
        <w:rPr>
          <w:rFonts w:ascii="Calibri" w:hAnsi="Calibri" w:cs="Calibri"/>
          <w:color w:val="000000"/>
        </w:rPr>
        <w:t>approx</w:t>
      </w:r>
      <w:proofErr w:type="spellEnd"/>
      <w:r w:rsidRPr="0000458F">
        <w:rPr>
          <w:rFonts w:ascii="Calibri" w:hAnsi="Calibri" w:cs="Calibri"/>
          <w:color w:val="000000"/>
        </w:rPr>
        <w:t xml:space="preserve"> 1.3 times), suggesting better overall operational and product stability. </w:t>
      </w:r>
    </w:p>
    <w:p w14:paraId="3C42188C" w14:textId="77777777" w:rsidR="005818C4" w:rsidRPr="0000458F" w:rsidRDefault="005818C4" w:rsidP="005818C4">
      <w:pPr>
        <w:pStyle w:val="NormalWeb"/>
        <w:spacing w:before="0" w:beforeAutospacing="0" w:after="0" w:afterAutospacing="0"/>
        <w:rPr>
          <w:rFonts w:ascii="Calibri" w:hAnsi="Calibri" w:cs="Calibri"/>
          <w:color w:val="000000"/>
          <w:sz w:val="22"/>
          <w:szCs w:val="22"/>
        </w:rPr>
      </w:pPr>
    </w:p>
    <w:p w14:paraId="6B5B05C6" w14:textId="77777777" w:rsidR="005818C4" w:rsidRDefault="005818C4" w:rsidP="005818C4">
      <w:pPr>
        <w:pStyle w:val="NormalWeb"/>
        <w:spacing w:before="0" w:beforeAutospacing="0" w:after="0" w:afterAutospacing="0"/>
        <w:rPr>
          <w:rFonts w:ascii="Calibri" w:hAnsi="Calibri" w:cs="Calibri"/>
          <w:color w:val="000000"/>
          <w:sz w:val="32"/>
          <w:szCs w:val="32"/>
          <w:u w:val="single"/>
        </w:rPr>
      </w:pPr>
    </w:p>
    <w:p w14:paraId="2EE7E84C" w14:textId="77777777" w:rsidR="0099484D" w:rsidRPr="0000458F" w:rsidRDefault="0099484D" w:rsidP="005818C4">
      <w:pPr>
        <w:pStyle w:val="NormalWeb"/>
        <w:spacing w:before="0" w:beforeAutospacing="0" w:after="0" w:afterAutospacing="0"/>
        <w:rPr>
          <w:rFonts w:ascii="Calibri" w:hAnsi="Calibri" w:cs="Calibri"/>
          <w:color w:val="000000"/>
          <w:sz w:val="32"/>
          <w:szCs w:val="32"/>
          <w:u w:val="single"/>
        </w:rPr>
      </w:pPr>
    </w:p>
    <w:p w14:paraId="39B26693" w14:textId="0F26E036" w:rsidR="005818C4" w:rsidRPr="0000458F" w:rsidRDefault="005818C4" w:rsidP="005818C4">
      <w:pPr>
        <w:pStyle w:val="ListParagraph"/>
        <w:numPr>
          <w:ilvl w:val="0"/>
          <w:numId w:val="3"/>
        </w:numPr>
        <w:spacing w:line="240" w:lineRule="auto"/>
        <w:rPr>
          <w:rFonts w:ascii="Calibri" w:hAnsi="Calibri" w:cs="Calibri"/>
          <w:sz w:val="32"/>
          <w:szCs w:val="32"/>
          <w:u w:val="single"/>
        </w:rPr>
      </w:pPr>
      <w:r w:rsidRPr="0000458F">
        <w:rPr>
          <w:rFonts w:ascii="Calibri" w:hAnsi="Calibri" w:cs="Calibri"/>
          <w:sz w:val="32"/>
          <w:szCs w:val="32"/>
          <w:u w:val="single"/>
        </w:rPr>
        <w:t>The Total number of Returns: Sub-category</w:t>
      </w:r>
    </w:p>
    <w:p w14:paraId="47D9EDDD" w14:textId="3D6B1F7A" w:rsidR="005818C4" w:rsidRPr="0000458F" w:rsidRDefault="005818C4" w:rsidP="005818C4">
      <w:pPr>
        <w:spacing w:after="0" w:line="240" w:lineRule="auto"/>
        <w:jc w:val="both"/>
        <w:rPr>
          <w:rFonts w:ascii="Calibri" w:eastAsia="Times New Roman" w:hAnsi="Calibri" w:cs="Calibri"/>
          <w:kern w:val="0"/>
          <w14:ligatures w14:val="none"/>
        </w:rPr>
      </w:pPr>
      <w:r w:rsidRPr="0000458F">
        <w:rPr>
          <w:rFonts w:ascii="Calibri" w:eastAsia="Times New Roman" w:hAnsi="Calibri" w:cs="Calibri"/>
          <w:color w:val="000000"/>
          <w:kern w:val="0"/>
          <w14:ligatures w14:val="none"/>
        </w:rPr>
        <w:t xml:space="preserve">Sum of Sales vs. Total products returned. Color shows details about Sub-Category. Size shows sum of </w:t>
      </w:r>
      <w:proofErr w:type="spellStart"/>
      <w:r w:rsidRPr="0000458F">
        <w:rPr>
          <w:rFonts w:ascii="Calibri" w:eastAsia="Times New Roman" w:hAnsi="Calibri" w:cs="Calibri"/>
          <w:color w:val="000000"/>
          <w:kern w:val="0"/>
          <w14:ligatures w14:val="none"/>
        </w:rPr>
        <w:t>Is_</w:t>
      </w:r>
      <w:proofErr w:type="gramStart"/>
      <w:r w:rsidRPr="0000458F">
        <w:rPr>
          <w:rFonts w:ascii="Calibri" w:eastAsia="Times New Roman" w:hAnsi="Calibri" w:cs="Calibri"/>
          <w:color w:val="000000"/>
          <w:kern w:val="0"/>
          <w14:ligatures w14:val="none"/>
        </w:rPr>
        <w:t>Returned</w:t>
      </w:r>
      <w:proofErr w:type="spellEnd"/>
      <w:r w:rsidRPr="0000458F">
        <w:rPr>
          <w:rFonts w:ascii="Calibri" w:eastAsia="Times New Roman" w:hAnsi="Calibri" w:cs="Calibri"/>
          <w:color w:val="000000"/>
          <w:kern w:val="0"/>
          <w14:ligatures w14:val="none"/>
        </w:rPr>
        <w:t>(</w:t>
      </w:r>
      <w:proofErr w:type="gramEnd"/>
      <w:r w:rsidRPr="0000458F">
        <w:rPr>
          <w:rFonts w:ascii="Calibri" w:eastAsia="Times New Roman" w:hAnsi="Calibri" w:cs="Calibri"/>
          <w:color w:val="000000"/>
          <w:kern w:val="0"/>
          <w14:ligatures w14:val="none"/>
        </w:rPr>
        <w:t xml:space="preserve">Total number of products returned). The data </w:t>
      </w:r>
      <w:proofErr w:type="gramStart"/>
      <w:r w:rsidRPr="0000458F">
        <w:rPr>
          <w:rFonts w:ascii="Calibri" w:eastAsia="Times New Roman" w:hAnsi="Calibri" w:cs="Calibri"/>
          <w:color w:val="000000"/>
          <w:kern w:val="0"/>
          <w14:ligatures w14:val="none"/>
        </w:rPr>
        <w:t>is includes</w:t>
      </w:r>
      <w:proofErr w:type="gramEnd"/>
      <w:r w:rsidRPr="0000458F">
        <w:rPr>
          <w:rFonts w:ascii="Calibri" w:eastAsia="Times New Roman" w:hAnsi="Calibri" w:cs="Calibri"/>
          <w:color w:val="000000"/>
          <w:kern w:val="0"/>
          <w14:ligatures w14:val="none"/>
        </w:rPr>
        <w:t xml:space="preserve"> all categories (Furniture, Office Supplies and Technology). The view is filtered on Sub-Category. </w:t>
      </w:r>
    </w:p>
    <w:p w14:paraId="72931A8C" w14:textId="77777777" w:rsidR="005818C4" w:rsidRPr="0000458F" w:rsidRDefault="005818C4" w:rsidP="005818C4">
      <w:pPr>
        <w:spacing w:after="0" w:line="240" w:lineRule="auto"/>
        <w:jc w:val="both"/>
        <w:rPr>
          <w:rFonts w:ascii="Calibri" w:eastAsia="Times New Roman" w:hAnsi="Calibri" w:cs="Calibri"/>
          <w:kern w:val="0"/>
          <w14:ligatures w14:val="none"/>
        </w:rPr>
      </w:pPr>
    </w:p>
    <w:p w14:paraId="0E870D02" w14:textId="77777777" w:rsidR="005818C4" w:rsidRPr="0000458F" w:rsidRDefault="005818C4" w:rsidP="005818C4">
      <w:pPr>
        <w:spacing w:after="0" w:line="240" w:lineRule="auto"/>
        <w:jc w:val="both"/>
        <w:rPr>
          <w:rFonts w:ascii="Calibri" w:eastAsia="Times New Roman" w:hAnsi="Calibri" w:cs="Calibri"/>
          <w:kern w:val="0"/>
          <w14:ligatures w14:val="none"/>
        </w:rPr>
      </w:pPr>
      <w:r w:rsidRPr="0000458F">
        <w:rPr>
          <w:rFonts w:ascii="Calibri" w:eastAsia="Times New Roman" w:hAnsi="Calibri" w:cs="Calibri"/>
          <w:color w:val="000000"/>
          <w:kern w:val="0"/>
          <w14:ligatures w14:val="none"/>
        </w:rPr>
        <w:t>Why Total return is helpful?</w:t>
      </w:r>
    </w:p>
    <w:p w14:paraId="2B44DF04" w14:textId="1306C145" w:rsidR="005818C4" w:rsidRPr="0000458F" w:rsidRDefault="005818C4" w:rsidP="005818C4">
      <w:pPr>
        <w:spacing w:after="0" w:line="240" w:lineRule="auto"/>
        <w:jc w:val="both"/>
        <w:rPr>
          <w:rFonts w:ascii="Calibri" w:eastAsia="Times New Roman" w:hAnsi="Calibri" w:cs="Calibri"/>
          <w:kern w:val="0"/>
          <w14:ligatures w14:val="none"/>
        </w:rPr>
      </w:pPr>
      <w:r w:rsidRPr="0000458F">
        <w:rPr>
          <w:rFonts w:ascii="Calibri" w:eastAsia="Times New Roman" w:hAnsi="Calibri" w:cs="Calibri"/>
          <w:color w:val="000000"/>
          <w:kern w:val="0"/>
          <w14:ligatures w14:val="none"/>
        </w:rPr>
        <w:t xml:space="preserve">Total number of returns is best for Operational </w:t>
      </w:r>
      <w:proofErr w:type="gramStart"/>
      <w:r w:rsidRPr="0000458F">
        <w:rPr>
          <w:rFonts w:ascii="Calibri" w:eastAsia="Times New Roman" w:hAnsi="Calibri" w:cs="Calibri"/>
          <w:color w:val="000000"/>
          <w:kern w:val="0"/>
          <w14:ligatures w14:val="none"/>
        </w:rPr>
        <w:t>planning,</w:t>
      </w:r>
      <w:proofErr w:type="gramEnd"/>
      <w:r w:rsidRPr="0000458F">
        <w:rPr>
          <w:rFonts w:ascii="Calibri" w:eastAsia="Times New Roman" w:hAnsi="Calibri" w:cs="Calibri"/>
          <w:color w:val="000000"/>
          <w:kern w:val="0"/>
          <w14:ligatures w14:val="none"/>
        </w:rPr>
        <w:t xml:space="preserve"> it reflects the sheer volume or workload- useful to estimate handling time. It helps us rectify category or sub-category of products with highest returns in numbers. </w:t>
      </w:r>
    </w:p>
    <w:p w14:paraId="483A2304" w14:textId="77777777" w:rsidR="005818C4" w:rsidRPr="0000458F" w:rsidRDefault="005818C4" w:rsidP="005818C4">
      <w:pPr>
        <w:spacing w:after="0" w:line="240" w:lineRule="auto"/>
        <w:jc w:val="both"/>
        <w:rPr>
          <w:rFonts w:ascii="Calibri" w:eastAsia="Times New Roman" w:hAnsi="Calibri" w:cs="Calibri"/>
          <w:kern w:val="0"/>
          <w14:ligatures w14:val="none"/>
        </w:rPr>
      </w:pPr>
    </w:p>
    <w:p w14:paraId="0C2C563A" w14:textId="77777777" w:rsidR="005818C4" w:rsidRPr="0000458F" w:rsidRDefault="005818C4" w:rsidP="005818C4">
      <w:pPr>
        <w:spacing w:after="0" w:line="240" w:lineRule="auto"/>
        <w:jc w:val="both"/>
        <w:rPr>
          <w:rFonts w:ascii="Calibri" w:eastAsia="Times New Roman" w:hAnsi="Calibri" w:cs="Calibri"/>
          <w:kern w:val="0"/>
          <w14:ligatures w14:val="none"/>
        </w:rPr>
      </w:pPr>
      <w:r w:rsidRPr="0000458F">
        <w:rPr>
          <w:rFonts w:ascii="Calibri" w:eastAsia="Times New Roman" w:hAnsi="Calibri" w:cs="Calibri"/>
          <w:color w:val="000000"/>
          <w:kern w:val="0"/>
          <w14:ligatures w14:val="none"/>
        </w:rPr>
        <w:t>Above marked are the top 3 products with highest returns:</w:t>
      </w:r>
    </w:p>
    <w:p w14:paraId="1BF4A446" w14:textId="77777777" w:rsidR="005818C4" w:rsidRPr="0000458F" w:rsidRDefault="005818C4" w:rsidP="005818C4">
      <w:pPr>
        <w:spacing w:after="0" w:line="240" w:lineRule="auto"/>
        <w:jc w:val="both"/>
        <w:rPr>
          <w:rFonts w:ascii="Calibri" w:eastAsia="Times New Roman" w:hAnsi="Calibri" w:cs="Calibri"/>
          <w:kern w:val="0"/>
          <w14:ligatures w14:val="none"/>
        </w:rPr>
      </w:pPr>
      <w:r w:rsidRPr="0000458F">
        <w:rPr>
          <w:rFonts w:ascii="Calibri" w:eastAsia="Times New Roman" w:hAnsi="Calibri" w:cs="Calibri"/>
          <w:color w:val="000000"/>
          <w:kern w:val="0"/>
          <w14:ligatures w14:val="none"/>
        </w:rPr>
        <w:t>1st: Binders (552 Total Returns from 241,137 sales): This sub-category represents our single largest volume issue, accounting for over 25%more returns than the next item.</w:t>
      </w:r>
    </w:p>
    <w:p w14:paraId="134EC38F" w14:textId="77777777" w:rsidR="005818C4" w:rsidRPr="0000458F" w:rsidRDefault="005818C4" w:rsidP="005818C4">
      <w:pPr>
        <w:spacing w:after="0" w:line="240" w:lineRule="auto"/>
        <w:jc w:val="both"/>
        <w:rPr>
          <w:rFonts w:ascii="Calibri" w:eastAsia="Times New Roman" w:hAnsi="Calibri" w:cs="Calibri"/>
          <w:kern w:val="0"/>
          <w14:ligatures w14:val="none"/>
        </w:rPr>
      </w:pPr>
      <w:r w:rsidRPr="0000458F">
        <w:rPr>
          <w:rFonts w:ascii="Calibri" w:eastAsia="Times New Roman" w:hAnsi="Calibri" w:cs="Calibri"/>
          <w:color w:val="000000"/>
          <w:kern w:val="0"/>
          <w14:ligatures w14:val="none"/>
        </w:rPr>
        <w:t xml:space="preserve">2nd: Paper (487 Total Returns from 98,680 sales): The return rate here suggests a widespread, systemic issue that could yield major gains if </w:t>
      </w:r>
      <w:proofErr w:type="spellStart"/>
      <w:proofErr w:type="gramStart"/>
      <w:r w:rsidRPr="0000458F">
        <w:rPr>
          <w:rFonts w:ascii="Calibri" w:eastAsia="Times New Roman" w:hAnsi="Calibri" w:cs="Calibri"/>
          <w:color w:val="000000"/>
          <w:kern w:val="0"/>
          <w14:ligatures w14:val="none"/>
        </w:rPr>
        <w:t>fixed.This</w:t>
      </w:r>
      <w:proofErr w:type="spellEnd"/>
      <w:proofErr w:type="gramEnd"/>
      <w:r w:rsidRPr="0000458F">
        <w:rPr>
          <w:rFonts w:ascii="Calibri" w:eastAsia="Times New Roman" w:hAnsi="Calibri" w:cs="Calibri"/>
          <w:color w:val="000000"/>
          <w:kern w:val="0"/>
          <w14:ligatures w14:val="none"/>
        </w:rPr>
        <w:t xml:space="preserve"> high count suggests either damage during shipping or quality control issue across the Office supplies category. </w:t>
      </w:r>
    </w:p>
    <w:p w14:paraId="27EABDC8" w14:textId="5100493E" w:rsidR="005818C4" w:rsidRPr="0000458F" w:rsidRDefault="005818C4" w:rsidP="005818C4">
      <w:pPr>
        <w:spacing w:line="240" w:lineRule="auto"/>
        <w:jc w:val="both"/>
        <w:rPr>
          <w:rFonts w:ascii="Calibri" w:eastAsia="Times New Roman" w:hAnsi="Calibri" w:cs="Calibri"/>
          <w:color w:val="000000"/>
          <w:kern w:val="0"/>
          <w14:ligatures w14:val="none"/>
        </w:rPr>
      </w:pPr>
      <w:r w:rsidRPr="0000458F">
        <w:rPr>
          <w:rFonts w:ascii="Calibri" w:eastAsia="Times New Roman" w:hAnsi="Calibri" w:cs="Calibri"/>
          <w:color w:val="000000"/>
          <w:kern w:val="0"/>
          <w14:ligatures w14:val="none"/>
        </w:rPr>
        <w:t>3rd: Phones (309 Total Returns from 439,656 sales): Phones still generated around 309 returns, indicating an issue with functionality or technical description which we must diagnose and correct. It is likely that the product pictures, description or specifications on the website/app are misleading to customer.</w:t>
      </w:r>
    </w:p>
    <w:p w14:paraId="7F24C518" w14:textId="77777777" w:rsidR="005818C4" w:rsidRPr="0000458F" w:rsidRDefault="005818C4" w:rsidP="005818C4">
      <w:pPr>
        <w:spacing w:line="240" w:lineRule="auto"/>
        <w:jc w:val="both"/>
        <w:rPr>
          <w:rFonts w:ascii="Calibri" w:eastAsia="Times New Roman" w:hAnsi="Calibri" w:cs="Calibri"/>
          <w:color w:val="000000"/>
          <w:kern w:val="0"/>
          <w:sz w:val="21"/>
          <w:szCs w:val="21"/>
          <w14:ligatures w14:val="none"/>
        </w:rPr>
      </w:pPr>
    </w:p>
    <w:p w14:paraId="59062C47" w14:textId="77777777" w:rsidR="005818C4" w:rsidRDefault="005818C4" w:rsidP="005818C4">
      <w:pPr>
        <w:spacing w:line="240" w:lineRule="auto"/>
        <w:jc w:val="both"/>
        <w:rPr>
          <w:rFonts w:ascii="Calibri" w:eastAsia="Times New Roman" w:hAnsi="Calibri" w:cs="Calibri"/>
          <w:color w:val="000000"/>
          <w:kern w:val="0"/>
          <w:sz w:val="21"/>
          <w:szCs w:val="21"/>
          <w14:ligatures w14:val="none"/>
        </w:rPr>
      </w:pPr>
    </w:p>
    <w:p w14:paraId="0E27A2B1" w14:textId="00C7E7DB" w:rsidR="0099484D" w:rsidRPr="0099484D" w:rsidRDefault="0099484D" w:rsidP="0099484D">
      <w:pPr>
        <w:pStyle w:val="ListParagraph"/>
        <w:numPr>
          <w:ilvl w:val="0"/>
          <w:numId w:val="3"/>
        </w:numPr>
        <w:spacing w:line="240" w:lineRule="auto"/>
        <w:jc w:val="both"/>
        <w:rPr>
          <w:rFonts w:ascii="Calibri" w:eastAsia="Times New Roman" w:hAnsi="Calibri" w:cs="Calibri"/>
          <w:color w:val="000000"/>
          <w:kern w:val="0"/>
          <w:sz w:val="32"/>
          <w:szCs w:val="32"/>
          <w:u w:val="single"/>
          <w14:ligatures w14:val="none"/>
        </w:rPr>
      </w:pPr>
      <w:r w:rsidRPr="0099484D">
        <w:rPr>
          <w:rFonts w:ascii="Calibri" w:eastAsia="Times New Roman" w:hAnsi="Calibri" w:cs="Calibri"/>
          <w:color w:val="000000"/>
          <w:kern w:val="0"/>
          <w:sz w:val="32"/>
          <w:szCs w:val="32"/>
          <w:u w:val="single"/>
          <w14:ligatures w14:val="none"/>
        </w:rPr>
        <w:t>Customers with Highest Returns:</w:t>
      </w:r>
    </w:p>
    <w:p w14:paraId="3E37DE4B" w14:textId="2D229944" w:rsidR="0099484D" w:rsidRDefault="0099484D" w:rsidP="0099484D">
      <w:pPr>
        <w:spacing w:after="0" w:line="240" w:lineRule="auto"/>
        <w:rPr>
          <w:rFonts w:ascii="Calibri" w:eastAsia="Times New Roman" w:hAnsi="Calibri" w:cs="Calibri"/>
          <w:kern w:val="0"/>
          <w:sz w:val="32"/>
          <w:szCs w:val="32"/>
          <w14:ligatures w14:val="none"/>
        </w:rPr>
      </w:pPr>
      <w:r w:rsidRPr="0099484D">
        <w:rPr>
          <w:rFonts w:ascii="Calibri" w:eastAsia="Times New Roman" w:hAnsi="Calibri" w:cs="Calibri"/>
          <w:color w:val="000000"/>
          <w:kern w:val="0"/>
          <w14:ligatures w14:val="none"/>
        </w:rPr>
        <w:t xml:space="preserve">Sum of </w:t>
      </w:r>
      <w:proofErr w:type="spellStart"/>
      <w:r w:rsidRPr="0099484D">
        <w:rPr>
          <w:rFonts w:ascii="Calibri" w:eastAsia="Times New Roman" w:hAnsi="Calibri" w:cs="Calibri"/>
          <w:color w:val="000000"/>
          <w:kern w:val="0"/>
          <w14:ligatures w14:val="none"/>
        </w:rPr>
        <w:t>Is_Returned</w:t>
      </w:r>
      <w:proofErr w:type="spellEnd"/>
      <w:r w:rsidRPr="0099484D">
        <w:rPr>
          <w:rFonts w:ascii="Calibri" w:eastAsia="Times New Roman" w:hAnsi="Calibri" w:cs="Calibri"/>
          <w:color w:val="000000"/>
          <w:kern w:val="0"/>
          <w14:ligatures w14:val="none"/>
        </w:rPr>
        <w:t xml:space="preserve"> broken down by Index, Customer Name and Total number of Products returned by them. The view is filtered by Customer Name who have placed more than 1 order and displays Top 15 of 781 members with Returned products, focusing only on our repeat </w:t>
      </w:r>
      <w:r w:rsidRPr="0099484D">
        <w:rPr>
          <w:rFonts w:ascii="Calibri" w:eastAsia="Times New Roman" w:hAnsi="Calibri" w:cs="Calibri"/>
          <w:color w:val="000000"/>
          <w:kern w:val="0"/>
          <w14:ligatures w14:val="none"/>
        </w:rPr>
        <w:lastRenderedPageBreak/>
        <w:t xml:space="preserve">buyers to identify a small, core group of customers who are driving up costs. The table is displayed in descending order according to SUM of their Returned products. </w:t>
      </w:r>
    </w:p>
    <w:p w14:paraId="4F3C9D3D" w14:textId="77777777" w:rsidR="0099484D" w:rsidRPr="0099484D" w:rsidRDefault="0099484D" w:rsidP="0099484D">
      <w:pPr>
        <w:spacing w:after="0" w:line="240" w:lineRule="auto"/>
        <w:rPr>
          <w:rFonts w:ascii="Calibri" w:eastAsia="Times New Roman" w:hAnsi="Calibri" w:cs="Calibri"/>
          <w:kern w:val="0"/>
          <w:sz w:val="32"/>
          <w:szCs w:val="32"/>
          <w14:ligatures w14:val="none"/>
        </w:rPr>
      </w:pPr>
    </w:p>
    <w:p w14:paraId="0057B73F" w14:textId="77777777" w:rsidR="0099484D" w:rsidRPr="0099484D" w:rsidRDefault="0099484D" w:rsidP="0099484D">
      <w:pPr>
        <w:spacing w:after="0" w:line="240" w:lineRule="auto"/>
        <w:rPr>
          <w:rFonts w:ascii="Calibri" w:eastAsia="Times New Roman" w:hAnsi="Calibri" w:cs="Calibri"/>
          <w:kern w:val="0"/>
          <w:sz w:val="32"/>
          <w:szCs w:val="32"/>
          <w14:ligatures w14:val="none"/>
        </w:rPr>
      </w:pPr>
      <w:r w:rsidRPr="0099484D">
        <w:rPr>
          <w:rFonts w:ascii="Calibri" w:eastAsia="Times New Roman" w:hAnsi="Calibri" w:cs="Calibri"/>
          <w:color w:val="000000"/>
          <w:kern w:val="0"/>
          <w:u w:val="single"/>
          <w14:ligatures w14:val="none"/>
        </w:rPr>
        <w:t>Findings</w:t>
      </w:r>
      <w:r w:rsidRPr="0099484D">
        <w:rPr>
          <w:rFonts w:ascii="Calibri" w:eastAsia="Times New Roman" w:hAnsi="Calibri" w:cs="Calibri"/>
          <w:color w:val="000000"/>
          <w:kern w:val="0"/>
          <w14:ligatures w14:val="none"/>
        </w:rPr>
        <w:t>:</w:t>
      </w:r>
    </w:p>
    <w:p w14:paraId="401D90C0" w14:textId="77777777" w:rsidR="0099484D" w:rsidRPr="0099484D" w:rsidRDefault="0099484D" w:rsidP="0099484D">
      <w:pPr>
        <w:spacing w:after="0" w:line="240" w:lineRule="auto"/>
        <w:rPr>
          <w:rFonts w:ascii="Calibri" w:eastAsia="Times New Roman" w:hAnsi="Calibri" w:cs="Calibri"/>
          <w:kern w:val="0"/>
          <w:sz w:val="32"/>
          <w:szCs w:val="32"/>
          <w14:ligatures w14:val="none"/>
        </w:rPr>
      </w:pPr>
      <w:r w:rsidRPr="0099484D">
        <w:rPr>
          <w:rFonts w:ascii="Calibri" w:eastAsia="Times New Roman" w:hAnsi="Calibri" w:cs="Calibri"/>
          <w:color w:val="000000"/>
          <w:kern w:val="0"/>
          <w14:ligatures w14:val="none"/>
        </w:rPr>
        <w:t>- The top five names alone account for 515 total returned products. This proves that the return problem is not solely due to poor packaging or product quality; it is significantly driven by a policy or behavioral failure.</w:t>
      </w:r>
    </w:p>
    <w:p w14:paraId="4946FDAD" w14:textId="77777777" w:rsidR="0099484D" w:rsidRPr="0099484D" w:rsidRDefault="0099484D" w:rsidP="0099484D">
      <w:pPr>
        <w:spacing w:after="0" w:line="240" w:lineRule="auto"/>
        <w:rPr>
          <w:rFonts w:ascii="Calibri" w:eastAsia="Times New Roman" w:hAnsi="Calibri" w:cs="Calibri"/>
          <w:kern w:val="0"/>
          <w:sz w:val="32"/>
          <w:szCs w:val="32"/>
          <w14:ligatures w14:val="none"/>
        </w:rPr>
      </w:pPr>
      <w:r w:rsidRPr="0099484D">
        <w:rPr>
          <w:rFonts w:ascii="Calibri" w:eastAsia="Times New Roman" w:hAnsi="Calibri" w:cs="Calibri"/>
          <w:color w:val="000000"/>
          <w:kern w:val="0"/>
          <w14:ligatures w14:val="none"/>
        </w:rPr>
        <w:t>- The top two returners represent an unsustainable burden on our operations:</w:t>
      </w:r>
    </w:p>
    <w:p w14:paraId="437EBB9A" w14:textId="77777777" w:rsidR="0099484D" w:rsidRPr="0099484D" w:rsidRDefault="0099484D" w:rsidP="0099484D">
      <w:pPr>
        <w:spacing w:after="0" w:line="240" w:lineRule="auto"/>
        <w:rPr>
          <w:rFonts w:ascii="Calibri" w:eastAsia="Times New Roman" w:hAnsi="Calibri" w:cs="Calibri"/>
          <w:kern w:val="0"/>
          <w:sz w:val="32"/>
          <w:szCs w:val="32"/>
          <w14:ligatures w14:val="none"/>
        </w:rPr>
      </w:pPr>
      <w:r w:rsidRPr="0099484D">
        <w:rPr>
          <w:rFonts w:ascii="Calibri" w:eastAsia="Times New Roman" w:hAnsi="Calibri" w:cs="Calibri"/>
          <w:color w:val="000000"/>
          <w:kern w:val="0"/>
          <w14:ligatures w14:val="none"/>
        </w:rPr>
        <w:t>Seth Vernon: With 196 total returned products, Mr. Vernon's return volume is 60% higher than the next customer. This level of return activity warrants immediate review by customer service or policy management.</w:t>
      </w:r>
    </w:p>
    <w:p w14:paraId="6FEFD00B" w14:textId="77777777" w:rsidR="0099484D" w:rsidRPr="0099484D" w:rsidRDefault="0099484D" w:rsidP="0099484D">
      <w:pPr>
        <w:spacing w:after="0" w:line="240" w:lineRule="auto"/>
        <w:rPr>
          <w:rFonts w:ascii="Calibri" w:eastAsia="Times New Roman" w:hAnsi="Calibri" w:cs="Calibri"/>
          <w:kern w:val="0"/>
          <w:sz w:val="32"/>
          <w:szCs w:val="32"/>
          <w14:ligatures w14:val="none"/>
        </w:rPr>
      </w:pPr>
      <w:r w:rsidRPr="0099484D">
        <w:rPr>
          <w:rFonts w:ascii="Calibri" w:eastAsia="Times New Roman" w:hAnsi="Calibri" w:cs="Calibri"/>
          <w:color w:val="000000"/>
          <w:kern w:val="0"/>
          <w14:ligatures w14:val="none"/>
        </w:rPr>
        <w:t>William Brown: Contributes 121 returns, making him the second-highest risk.</w:t>
      </w:r>
    </w:p>
    <w:p w14:paraId="5E0D32AD" w14:textId="77777777" w:rsidR="0099484D" w:rsidRDefault="0099484D" w:rsidP="0099484D">
      <w:pPr>
        <w:spacing w:after="0" w:line="240" w:lineRule="auto"/>
        <w:rPr>
          <w:rFonts w:ascii="Calibri" w:eastAsia="Times New Roman" w:hAnsi="Calibri" w:cs="Calibri"/>
          <w:color w:val="000000"/>
          <w:kern w:val="0"/>
          <w14:ligatures w14:val="none"/>
        </w:rPr>
      </w:pPr>
      <w:r w:rsidRPr="0099484D">
        <w:rPr>
          <w:rFonts w:ascii="Calibri" w:eastAsia="Times New Roman" w:hAnsi="Calibri" w:cs="Calibri"/>
          <w:color w:val="000000"/>
          <w:kern w:val="0"/>
          <w14:ligatures w14:val="none"/>
        </w:rPr>
        <w:t>- The presence of these few names confirms we have a small segment of "bad fit" customers—or those engaging in costly behaviors like "wardrobing" (buying, using, and returning).</w:t>
      </w:r>
    </w:p>
    <w:p w14:paraId="4E022AE6" w14:textId="77777777" w:rsidR="0099484D" w:rsidRPr="0099484D" w:rsidRDefault="0099484D" w:rsidP="0099484D">
      <w:pPr>
        <w:spacing w:after="0" w:line="240" w:lineRule="auto"/>
        <w:rPr>
          <w:rFonts w:ascii="Calibri" w:eastAsia="Times New Roman" w:hAnsi="Calibri" w:cs="Calibri"/>
          <w:kern w:val="0"/>
          <w:sz w:val="32"/>
          <w:szCs w:val="32"/>
          <w14:ligatures w14:val="none"/>
        </w:rPr>
      </w:pPr>
    </w:p>
    <w:p w14:paraId="3B5DFA47" w14:textId="77777777" w:rsidR="0099484D" w:rsidRPr="0099484D" w:rsidRDefault="0099484D" w:rsidP="0099484D">
      <w:pPr>
        <w:spacing w:after="0" w:line="240" w:lineRule="auto"/>
        <w:rPr>
          <w:rFonts w:ascii="Calibri" w:eastAsia="Times New Roman" w:hAnsi="Calibri" w:cs="Calibri"/>
          <w:kern w:val="0"/>
          <w:sz w:val="32"/>
          <w:szCs w:val="32"/>
          <w14:ligatures w14:val="none"/>
        </w:rPr>
      </w:pPr>
      <w:r w:rsidRPr="0099484D">
        <w:rPr>
          <w:rFonts w:ascii="Calibri" w:eastAsia="Times New Roman" w:hAnsi="Calibri" w:cs="Calibri"/>
          <w:color w:val="000000"/>
          <w:kern w:val="0"/>
          <w14:ligatures w14:val="none"/>
        </w:rPr>
        <w:t>-</w:t>
      </w:r>
      <w:r w:rsidRPr="0099484D">
        <w:rPr>
          <w:rFonts w:ascii="Calibri" w:eastAsia="Times New Roman" w:hAnsi="Calibri" w:cs="Calibri"/>
          <w:color w:val="000000"/>
          <w:kern w:val="0"/>
          <w:u w:val="single"/>
          <w14:ligatures w14:val="none"/>
        </w:rPr>
        <w:t xml:space="preserve"> Actionable Takeaway</w:t>
      </w:r>
      <w:r w:rsidRPr="0099484D">
        <w:rPr>
          <w:rFonts w:ascii="Calibri" w:eastAsia="Times New Roman" w:hAnsi="Calibri" w:cs="Calibri"/>
          <w:color w:val="000000"/>
          <w:kern w:val="0"/>
          <w14:ligatures w14:val="none"/>
        </w:rPr>
        <w:t>:</w:t>
      </w:r>
    </w:p>
    <w:p w14:paraId="1F57510F" w14:textId="77777777" w:rsidR="0099484D" w:rsidRPr="0099484D" w:rsidRDefault="0099484D" w:rsidP="0099484D">
      <w:pPr>
        <w:spacing w:after="0" w:line="240" w:lineRule="auto"/>
        <w:rPr>
          <w:rFonts w:ascii="Calibri" w:eastAsia="Times New Roman" w:hAnsi="Calibri" w:cs="Calibri"/>
          <w:kern w:val="0"/>
          <w:sz w:val="32"/>
          <w:szCs w:val="32"/>
          <w14:ligatures w14:val="none"/>
        </w:rPr>
      </w:pPr>
      <w:r w:rsidRPr="0099484D">
        <w:rPr>
          <w:rFonts w:ascii="Calibri" w:eastAsia="Times New Roman" w:hAnsi="Calibri" w:cs="Calibri"/>
          <w:color w:val="000000"/>
          <w:kern w:val="0"/>
          <w14:ligatures w14:val="none"/>
        </w:rPr>
        <w:t>We must use this list to inform a specific policy change:</w:t>
      </w:r>
    </w:p>
    <w:p w14:paraId="73CD6910" w14:textId="77777777" w:rsidR="0099484D" w:rsidRPr="0099484D" w:rsidRDefault="0099484D" w:rsidP="0099484D">
      <w:pPr>
        <w:spacing w:after="0" w:line="240" w:lineRule="auto"/>
        <w:rPr>
          <w:rFonts w:ascii="Calibri" w:eastAsia="Times New Roman" w:hAnsi="Calibri" w:cs="Calibri"/>
          <w:kern w:val="0"/>
          <w:sz w:val="32"/>
          <w:szCs w:val="32"/>
          <w14:ligatures w14:val="none"/>
        </w:rPr>
      </w:pPr>
      <w:r w:rsidRPr="0099484D">
        <w:rPr>
          <w:rFonts w:ascii="Calibri" w:eastAsia="Times New Roman" w:hAnsi="Calibri" w:cs="Calibri"/>
          <w:color w:val="000000"/>
          <w:kern w:val="0"/>
          <w14:ligatures w14:val="none"/>
        </w:rPr>
        <w:t>1) Flagging: The accounts of the top 15 returners should be flagged in the system.</w:t>
      </w:r>
    </w:p>
    <w:p w14:paraId="2A4488FE" w14:textId="77777777" w:rsidR="0099484D" w:rsidRPr="0099484D" w:rsidRDefault="0099484D" w:rsidP="0099484D">
      <w:pPr>
        <w:spacing w:after="0" w:line="240" w:lineRule="auto"/>
        <w:rPr>
          <w:rFonts w:ascii="Calibri" w:eastAsia="Times New Roman" w:hAnsi="Calibri" w:cs="Calibri"/>
          <w:kern w:val="0"/>
          <w:sz w:val="32"/>
          <w:szCs w:val="32"/>
          <w14:ligatures w14:val="none"/>
        </w:rPr>
      </w:pPr>
      <w:r w:rsidRPr="0099484D">
        <w:rPr>
          <w:rFonts w:ascii="Calibri" w:eastAsia="Times New Roman" w:hAnsi="Calibri" w:cs="Calibri"/>
          <w:color w:val="000000"/>
          <w:kern w:val="0"/>
          <w14:ligatures w14:val="none"/>
        </w:rPr>
        <w:t>2) Tiered Policy: Implement a tiered return policy where customers exceeding a certain historical return rate (e.g., above the top 1%) may face restrictions, such as reduced return windows or having to pay return shipping fees.</w:t>
      </w:r>
    </w:p>
    <w:p w14:paraId="4739A1ED" w14:textId="22484D9E" w:rsidR="0099484D" w:rsidRPr="0099484D" w:rsidRDefault="0099484D" w:rsidP="0099484D">
      <w:pPr>
        <w:spacing w:line="240" w:lineRule="auto"/>
        <w:jc w:val="both"/>
        <w:rPr>
          <w:rFonts w:ascii="Calibri" w:eastAsia="Times New Roman" w:hAnsi="Calibri" w:cs="Calibri"/>
          <w:color w:val="000000"/>
          <w:kern w:val="0"/>
          <w14:ligatures w14:val="none"/>
        </w:rPr>
      </w:pPr>
      <w:r w:rsidRPr="0099484D">
        <w:rPr>
          <w:rFonts w:ascii="Calibri" w:eastAsia="Times New Roman" w:hAnsi="Calibri" w:cs="Calibri"/>
          <w:color w:val="000000"/>
          <w:kern w:val="0"/>
          <w14:ligatures w14:val="none"/>
        </w:rPr>
        <w:t>3) Investigate: Customer service should proactively review the orders of the top 5 to determine the exact products being returned to feed intelligence back to the product teams.</w:t>
      </w:r>
    </w:p>
    <w:p w14:paraId="41A17F30" w14:textId="77777777" w:rsidR="0099484D" w:rsidRDefault="0099484D" w:rsidP="0099484D">
      <w:pPr>
        <w:spacing w:line="240" w:lineRule="auto"/>
        <w:jc w:val="both"/>
        <w:rPr>
          <w:rFonts w:ascii="Tableau Book" w:eastAsia="Times New Roman" w:hAnsi="Tableau Book" w:cs="Times New Roman"/>
          <w:color w:val="000000"/>
          <w:kern w:val="0"/>
          <w:sz w:val="21"/>
          <w:szCs w:val="21"/>
          <w14:ligatures w14:val="none"/>
        </w:rPr>
      </w:pPr>
    </w:p>
    <w:p w14:paraId="6D327B3D" w14:textId="77777777" w:rsidR="0099484D" w:rsidRPr="0099484D" w:rsidRDefault="0099484D" w:rsidP="0099484D">
      <w:pPr>
        <w:spacing w:line="240" w:lineRule="auto"/>
        <w:jc w:val="both"/>
        <w:rPr>
          <w:rFonts w:ascii="Calibri" w:eastAsia="Times New Roman" w:hAnsi="Calibri" w:cs="Calibri"/>
          <w:color w:val="000000"/>
          <w:kern w:val="0"/>
          <w:sz w:val="21"/>
          <w:szCs w:val="21"/>
          <w14:ligatures w14:val="none"/>
        </w:rPr>
      </w:pPr>
    </w:p>
    <w:p w14:paraId="64D6B89B" w14:textId="5FBD4285" w:rsidR="005818C4" w:rsidRPr="0000458F" w:rsidRDefault="005818C4" w:rsidP="005818C4">
      <w:pPr>
        <w:pStyle w:val="ListParagraph"/>
        <w:numPr>
          <w:ilvl w:val="0"/>
          <w:numId w:val="3"/>
        </w:numPr>
        <w:spacing w:line="240" w:lineRule="auto"/>
        <w:jc w:val="both"/>
        <w:rPr>
          <w:rFonts w:ascii="Calibri" w:hAnsi="Calibri" w:cs="Calibri"/>
          <w:sz w:val="32"/>
          <w:szCs w:val="32"/>
          <w:u w:val="single"/>
        </w:rPr>
      </w:pPr>
      <w:r w:rsidRPr="0000458F">
        <w:rPr>
          <w:rFonts w:ascii="Calibri" w:hAnsi="Calibri" w:cs="Calibri"/>
          <w:sz w:val="32"/>
          <w:szCs w:val="32"/>
          <w:u w:val="single"/>
        </w:rPr>
        <w:t>State wise Return rate across US</w:t>
      </w:r>
    </w:p>
    <w:p w14:paraId="2C175E3F" w14:textId="19E299AB" w:rsidR="005818C4" w:rsidRPr="0000458F" w:rsidRDefault="005818C4" w:rsidP="005818C4">
      <w:pPr>
        <w:spacing w:after="0" w:line="240" w:lineRule="auto"/>
        <w:rPr>
          <w:rFonts w:ascii="Calibri" w:eastAsia="Times New Roman" w:hAnsi="Calibri" w:cs="Calibri"/>
          <w:kern w:val="0"/>
          <w14:ligatures w14:val="none"/>
        </w:rPr>
      </w:pPr>
      <w:r w:rsidRPr="005818C4">
        <w:rPr>
          <w:rFonts w:ascii="Calibri" w:eastAsia="Times New Roman" w:hAnsi="Calibri" w:cs="Calibri"/>
          <w:color w:val="000000"/>
          <w:kern w:val="0"/>
          <w14:ligatures w14:val="none"/>
        </w:rPr>
        <w:t xml:space="preserve">Below map is based on Longitude and Latitude. Color shows Return Rate. Details are shown for each State. This map visualization is crucial for identifying where operational and fulfillment problems are concentrated geographically, as color density represents the Return Rate at the State level. Below marked are the states with highest return rates. </w:t>
      </w:r>
    </w:p>
    <w:p w14:paraId="7054A3D1" w14:textId="77777777" w:rsidR="005818C4" w:rsidRPr="005818C4" w:rsidRDefault="005818C4" w:rsidP="005818C4">
      <w:pPr>
        <w:spacing w:after="0" w:line="240" w:lineRule="auto"/>
        <w:rPr>
          <w:rFonts w:ascii="Calibri" w:eastAsia="Times New Roman" w:hAnsi="Calibri" w:cs="Calibri"/>
          <w:kern w:val="0"/>
          <w14:ligatures w14:val="none"/>
        </w:rPr>
      </w:pPr>
    </w:p>
    <w:p w14:paraId="178760C5" w14:textId="77777777" w:rsidR="005818C4" w:rsidRPr="005818C4" w:rsidRDefault="005818C4" w:rsidP="005818C4">
      <w:pPr>
        <w:spacing w:after="0" w:line="240" w:lineRule="auto"/>
        <w:rPr>
          <w:rFonts w:ascii="Calibri" w:eastAsia="Times New Roman" w:hAnsi="Calibri" w:cs="Calibri"/>
          <w:kern w:val="0"/>
          <w14:ligatures w14:val="none"/>
        </w:rPr>
      </w:pPr>
      <w:r w:rsidRPr="005818C4">
        <w:rPr>
          <w:rFonts w:ascii="Calibri" w:eastAsia="Times New Roman" w:hAnsi="Calibri" w:cs="Calibri"/>
          <w:color w:val="000000"/>
          <w:kern w:val="0"/>
          <w14:ligatures w14:val="none"/>
        </w:rPr>
        <w:t>Key Geographic insights:</w:t>
      </w:r>
    </w:p>
    <w:p w14:paraId="3F981CCA" w14:textId="77777777" w:rsidR="005818C4" w:rsidRPr="005818C4" w:rsidRDefault="005818C4" w:rsidP="005818C4">
      <w:pPr>
        <w:spacing w:after="0" w:line="240" w:lineRule="auto"/>
        <w:rPr>
          <w:rFonts w:ascii="Calibri" w:eastAsia="Times New Roman" w:hAnsi="Calibri" w:cs="Calibri"/>
          <w:kern w:val="0"/>
          <w14:ligatures w14:val="none"/>
        </w:rPr>
      </w:pPr>
      <w:r w:rsidRPr="005818C4">
        <w:rPr>
          <w:rFonts w:ascii="Calibri" w:eastAsia="Times New Roman" w:hAnsi="Calibri" w:cs="Calibri"/>
          <w:color w:val="000000"/>
          <w:kern w:val="0"/>
          <w14:ligatures w14:val="none"/>
        </w:rPr>
        <w:t xml:space="preserve">- </w:t>
      </w:r>
      <w:r w:rsidRPr="005818C4">
        <w:rPr>
          <w:rFonts w:ascii="Calibri" w:eastAsia="Times New Roman" w:hAnsi="Calibri" w:cs="Calibri"/>
          <w:color w:val="000000"/>
          <w:kern w:val="0"/>
          <w:u w:val="single"/>
          <w14:ligatures w14:val="none"/>
        </w:rPr>
        <w:t>The Western Cluster</w:t>
      </w:r>
      <w:r w:rsidRPr="005818C4">
        <w:rPr>
          <w:rFonts w:ascii="Calibri" w:eastAsia="Times New Roman" w:hAnsi="Calibri" w:cs="Calibri"/>
          <w:color w:val="000000"/>
          <w:kern w:val="0"/>
          <w14:ligatures w14:val="none"/>
        </w:rPr>
        <w:t>: The top states for high return rates- Utah (2.077), Oregon (1.500), California (1.342), and </w:t>
      </w:r>
      <w:proofErr w:type="gramStart"/>
      <w:r w:rsidRPr="005818C4">
        <w:rPr>
          <w:rFonts w:ascii="Calibri" w:eastAsia="Times New Roman" w:hAnsi="Calibri" w:cs="Calibri"/>
          <w:color w:val="000000"/>
          <w:kern w:val="0"/>
          <w14:ligatures w14:val="none"/>
        </w:rPr>
        <w:t>Colorado(</w:t>
      </w:r>
      <w:proofErr w:type="gramEnd"/>
      <w:r w:rsidRPr="005818C4">
        <w:rPr>
          <w:rFonts w:ascii="Calibri" w:eastAsia="Times New Roman" w:hAnsi="Calibri" w:cs="Calibri"/>
          <w:color w:val="000000"/>
          <w:kern w:val="0"/>
          <w14:ligatures w14:val="none"/>
        </w:rPr>
        <w:t>1.127) are concentrated in the West. This strong regional grouping points toward a systemic fulfillment issue tied to the main Western data center or the logistics partners serving this entire territory.</w:t>
      </w:r>
    </w:p>
    <w:p w14:paraId="49954634" w14:textId="77777777" w:rsidR="005818C4" w:rsidRPr="005818C4" w:rsidRDefault="005818C4" w:rsidP="005818C4">
      <w:pPr>
        <w:spacing w:after="0" w:line="240" w:lineRule="auto"/>
        <w:rPr>
          <w:rFonts w:ascii="Calibri" w:eastAsia="Times New Roman" w:hAnsi="Calibri" w:cs="Calibri"/>
          <w:kern w:val="0"/>
          <w14:ligatures w14:val="none"/>
        </w:rPr>
      </w:pPr>
      <w:r w:rsidRPr="005818C4">
        <w:rPr>
          <w:rFonts w:ascii="Calibri" w:eastAsia="Times New Roman" w:hAnsi="Calibri" w:cs="Calibri"/>
          <w:color w:val="000000"/>
          <w:kern w:val="0"/>
          <w14:ligatures w14:val="none"/>
        </w:rPr>
        <w:t xml:space="preserve">- </w:t>
      </w:r>
      <w:r w:rsidRPr="005818C4">
        <w:rPr>
          <w:rFonts w:ascii="Calibri" w:eastAsia="Times New Roman" w:hAnsi="Calibri" w:cs="Calibri"/>
          <w:color w:val="000000"/>
          <w:kern w:val="0"/>
          <w:u w:val="single"/>
          <w14:ligatures w14:val="none"/>
        </w:rPr>
        <w:t>Extreme Outlier (Utah)</w:t>
      </w:r>
      <w:r w:rsidRPr="005818C4">
        <w:rPr>
          <w:rFonts w:ascii="Calibri" w:eastAsia="Times New Roman" w:hAnsi="Calibri" w:cs="Calibri"/>
          <w:color w:val="000000"/>
          <w:kern w:val="0"/>
          <w14:ligatures w14:val="none"/>
        </w:rPr>
        <w:t>: Utah exhibits a critical return rate of 2.077 (or more than 200% compared to a baseline, indicating a rate more than twice the average). This result is highly anomalous and suggests a severe, localized failure. This could be due to a specific carrier route, a regional inventory error, or a processing issue at the local distribution center that services the state.</w:t>
      </w:r>
    </w:p>
    <w:p w14:paraId="7EB3040A" w14:textId="77777777" w:rsidR="005818C4" w:rsidRPr="0000458F" w:rsidRDefault="005818C4" w:rsidP="005818C4">
      <w:pPr>
        <w:spacing w:after="0" w:line="240" w:lineRule="auto"/>
        <w:rPr>
          <w:rFonts w:ascii="Calibri" w:eastAsia="Times New Roman" w:hAnsi="Calibri" w:cs="Calibri"/>
          <w:color w:val="000000"/>
          <w:kern w:val="0"/>
          <w14:ligatures w14:val="none"/>
        </w:rPr>
      </w:pPr>
      <w:r w:rsidRPr="005818C4">
        <w:rPr>
          <w:rFonts w:ascii="Calibri" w:eastAsia="Times New Roman" w:hAnsi="Calibri" w:cs="Calibri"/>
          <w:color w:val="000000"/>
          <w:kern w:val="0"/>
          <w14:ligatures w14:val="none"/>
        </w:rPr>
        <w:lastRenderedPageBreak/>
        <w:t xml:space="preserve">- Disproportionate Impact: These four states in the west, despite not necessarily being our largest sales regions, carry a disproportionate share of return risk. </w:t>
      </w:r>
    </w:p>
    <w:p w14:paraId="065C3179" w14:textId="77777777" w:rsidR="005818C4" w:rsidRPr="005818C4" w:rsidRDefault="005818C4" w:rsidP="005818C4">
      <w:pPr>
        <w:spacing w:after="0" w:line="240" w:lineRule="auto"/>
        <w:rPr>
          <w:rFonts w:ascii="Calibri" w:eastAsia="Times New Roman" w:hAnsi="Calibri" w:cs="Calibri"/>
          <w:kern w:val="0"/>
          <w14:ligatures w14:val="none"/>
        </w:rPr>
      </w:pPr>
    </w:p>
    <w:p w14:paraId="34AEFAF4" w14:textId="77777777" w:rsidR="005818C4" w:rsidRPr="005818C4" w:rsidRDefault="005818C4" w:rsidP="005818C4">
      <w:pPr>
        <w:spacing w:after="0" w:line="240" w:lineRule="auto"/>
        <w:rPr>
          <w:rFonts w:ascii="Calibri" w:eastAsia="Times New Roman" w:hAnsi="Calibri" w:cs="Calibri"/>
          <w:kern w:val="0"/>
          <w14:ligatures w14:val="none"/>
        </w:rPr>
      </w:pPr>
      <w:r w:rsidRPr="005818C4">
        <w:rPr>
          <w:rFonts w:ascii="Calibri" w:eastAsia="Times New Roman" w:hAnsi="Calibri" w:cs="Calibri"/>
          <w:color w:val="000000"/>
          <w:kern w:val="0"/>
          <w14:ligatures w14:val="none"/>
        </w:rPr>
        <w:t>Actionable Takeaway:</w:t>
      </w:r>
    </w:p>
    <w:p w14:paraId="31A2414B" w14:textId="37DE3E47" w:rsidR="005818C4" w:rsidRPr="0000458F" w:rsidRDefault="005818C4" w:rsidP="005818C4">
      <w:pPr>
        <w:spacing w:line="240" w:lineRule="auto"/>
        <w:jc w:val="both"/>
        <w:rPr>
          <w:rFonts w:ascii="Calibri" w:eastAsia="Times New Roman" w:hAnsi="Calibri" w:cs="Calibri"/>
          <w:color w:val="000000"/>
          <w:kern w:val="0"/>
          <w14:ligatures w14:val="none"/>
        </w:rPr>
      </w:pPr>
      <w:r w:rsidRPr="0000458F">
        <w:rPr>
          <w:rFonts w:ascii="Calibri" w:eastAsia="Times New Roman" w:hAnsi="Calibri" w:cs="Calibri"/>
          <w:color w:val="000000"/>
          <w:kern w:val="0"/>
          <w14:ligatures w14:val="none"/>
        </w:rPr>
        <w:t>We must immediately investigate the fulfillment and carrier performance metrics tied to the specific regional distribution center servicing Utah and the greater Western region. The cause here is likely operational, logistical - not product-related.</w:t>
      </w:r>
    </w:p>
    <w:p w14:paraId="7FE8ED03" w14:textId="77777777" w:rsidR="005818C4" w:rsidRPr="0000458F" w:rsidRDefault="005818C4" w:rsidP="005818C4">
      <w:pPr>
        <w:spacing w:line="240" w:lineRule="auto"/>
        <w:jc w:val="both"/>
        <w:rPr>
          <w:rFonts w:ascii="Calibri" w:eastAsia="Times New Roman" w:hAnsi="Calibri" w:cs="Calibri"/>
          <w:color w:val="000000"/>
          <w:kern w:val="0"/>
          <w:sz w:val="21"/>
          <w:szCs w:val="21"/>
          <w14:ligatures w14:val="none"/>
        </w:rPr>
      </w:pPr>
    </w:p>
    <w:p w14:paraId="373131CB" w14:textId="77777777" w:rsidR="005818C4" w:rsidRPr="0000458F" w:rsidRDefault="005818C4" w:rsidP="005818C4">
      <w:pPr>
        <w:spacing w:line="240" w:lineRule="auto"/>
        <w:jc w:val="both"/>
        <w:rPr>
          <w:rFonts w:ascii="Calibri" w:eastAsia="Times New Roman" w:hAnsi="Calibri" w:cs="Calibri"/>
          <w:color w:val="000000"/>
          <w:kern w:val="0"/>
          <w:sz w:val="21"/>
          <w:szCs w:val="21"/>
          <w14:ligatures w14:val="none"/>
        </w:rPr>
      </w:pPr>
    </w:p>
    <w:p w14:paraId="14039458" w14:textId="4AD1F40A" w:rsidR="005818C4" w:rsidRPr="0000458F" w:rsidRDefault="005818C4" w:rsidP="005818C4">
      <w:pPr>
        <w:pStyle w:val="ListParagraph"/>
        <w:numPr>
          <w:ilvl w:val="0"/>
          <w:numId w:val="3"/>
        </w:numPr>
        <w:spacing w:line="240" w:lineRule="auto"/>
        <w:jc w:val="both"/>
        <w:rPr>
          <w:rFonts w:ascii="Calibri" w:hAnsi="Calibri" w:cs="Calibri"/>
          <w:sz w:val="32"/>
          <w:szCs w:val="32"/>
          <w:u w:val="single"/>
        </w:rPr>
      </w:pPr>
      <w:r w:rsidRPr="0000458F">
        <w:rPr>
          <w:rFonts w:ascii="Calibri" w:hAnsi="Calibri" w:cs="Calibri"/>
          <w:sz w:val="32"/>
          <w:szCs w:val="32"/>
          <w:u w:val="single"/>
        </w:rPr>
        <w:t>Overall Return rate by Month</w:t>
      </w:r>
    </w:p>
    <w:p w14:paraId="454D18A6" w14:textId="2093A322" w:rsidR="005818C4" w:rsidRPr="0000458F" w:rsidRDefault="005818C4" w:rsidP="005818C4">
      <w:pPr>
        <w:spacing w:after="0" w:line="240" w:lineRule="auto"/>
        <w:rPr>
          <w:rFonts w:ascii="Calibri" w:eastAsia="Times New Roman" w:hAnsi="Calibri" w:cs="Calibri"/>
          <w:color w:val="000000"/>
          <w:kern w:val="0"/>
          <w14:ligatures w14:val="none"/>
        </w:rPr>
      </w:pPr>
      <w:r w:rsidRPr="005818C4">
        <w:rPr>
          <w:rFonts w:ascii="Calibri" w:eastAsia="Times New Roman" w:hAnsi="Calibri" w:cs="Calibri"/>
          <w:color w:val="000000"/>
          <w:kern w:val="0"/>
          <w14:ligatures w14:val="none"/>
        </w:rPr>
        <w:t>Return Rate for each Order Date (Month). This time-series view is crucial for understanding the predictable peaks and trends in our return risk, allowing us to plan inventory, staffing, and quality control efforts proactively.</w:t>
      </w:r>
    </w:p>
    <w:p w14:paraId="7522E9DC" w14:textId="77777777" w:rsidR="005818C4" w:rsidRPr="005818C4" w:rsidRDefault="005818C4" w:rsidP="005818C4">
      <w:pPr>
        <w:spacing w:after="0" w:line="240" w:lineRule="auto"/>
        <w:rPr>
          <w:rFonts w:ascii="Calibri" w:eastAsia="Times New Roman" w:hAnsi="Calibri" w:cs="Calibri"/>
          <w:kern w:val="0"/>
          <w14:ligatures w14:val="none"/>
        </w:rPr>
      </w:pPr>
    </w:p>
    <w:p w14:paraId="39B77C69" w14:textId="77777777" w:rsidR="005818C4" w:rsidRPr="005818C4" w:rsidRDefault="005818C4" w:rsidP="005818C4">
      <w:pPr>
        <w:spacing w:after="0" w:line="240" w:lineRule="auto"/>
        <w:rPr>
          <w:rFonts w:ascii="Calibri" w:eastAsia="Times New Roman" w:hAnsi="Calibri" w:cs="Calibri"/>
          <w:kern w:val="0"/>
          <w14:ligatures w14:val="none"/>
        </w:rPr>
      </w:pPr>
      <w:r w:rsidRPr="005818C4">
        <w:rPr>
          <w:rFonts w:ascii="Calibri" w:eastAsia="Times New Roman" w:hAnsi="Calibri" w:cs="Calibri"/>
          <w:color w:val="000000"/>
          <w:kern w:val="0"/>
          <w14:ligatures w14:val="none"/>
        </w:rPr>
        <w:t xml:space="preserve">Key Insights: </w:t>
      </w:r>
    </w:p>
    <w:p w14:paraId="4F2CA0DC" w14:textId="77777777" w:rsidR="005818C4" w:rsidRPr="005818C4" w:rsidRDefault="005818C4" w:rsidP="005818C4">
      <w:pPr>
        <w:spacing w:after="0" w:line="240" w:lineRule="auto"/>
        <w:rPr>
          <w:rFonts w:ascii="Calibri" w:eastAsia="Times New Roman" w:hAnsi="Calibri" w:cs="Calibri"/>
          <w:kern w:val="0"/>
          <w14:ligatures w14:val="none"/>
        </w:rPr>
      </w:pPr>
      <w:r w:rsidRPr="005818C4">
        <w:rPr>
          <w:rFonts w:ascii="Calibri" w:eastAsia="Times New Roman" w:hAnsi="Calibri" w:cs="Calibri"/>
          <w:color w:val="000000"/>
          <w:kern w:val="0"/>
          <w14:ligatures w14:val="none"/>
        </w:rPr>
        <w:t xml:space="preserve">- </w:t>
      </w:r>
      <w:r w:rsidRPr="005818C4">
        <w:rPr>
          <w:rFonts w:ascii="Calibri" w:eastAsia="Times New Roman" w:hAnsi="Calibri" w:cs="Calibri"/>
          <w:color w:val="000000"/>
          <w:kern w:val="0"/>
          <w:u w:val="single"/>
          <w14:ligatures w14:val="none"/>
        </w:rPr>
        <w:t>Mid-Year Risk</w:t>
      </w:r>
      <w:r w:rsidRPr="005818C4">
        <w:rPr>
          <w:rFonts w:ascii="Calibri" w:eastAsia="Times New Roman" w:hAnsi="Calibri" w:cs="Calibri"/>
          <w:color w:val="000000"/>
          <w:kern w:val="0"/>
          <w14:ligatures w14:val="none"/>
        </w:rPr>
        <w:t xml:space="preserve">: Our highest return rate occurs in August at 1.146. This significant mid-year spike is followed closely by September (0.933). This clustering suggests a potential link to back-to-school purchasing, end-of-summer stock turnover, or perhaps a localized heat/humidity impact on product quality during shipping. </w:t>
      </w:r>
      <w:proofErr w:type="gramStart"/>
      <w:r w:rsidRPr="005818C4">
        <w:rPr>
          <w:rFonts w:ascii="Calibri" w:eastAsia="Times New Roman" w:hAnsi="Calibri" w:cs="Calibri"/>
          <w:color w:val="000000"/>
          <w:kern w:val="0"/>
          <w14:ligatures w14:val="none"/>
        </w:rPr>
        <w:t>This peak needs</w:t>
      </w:r>
      <w:proofErr w:type="gramEnd"/>
      <w:r w:rsidRPr="005818C4">
        <w:rPr>
          <w:rFonts w:ascii="Calibri" w:eastAsia="Times New Roman" w:hAnsi="Calibri" w:cs="Calibri"/>
          <w:color w:val="000000"/>
          <w:kern w:val="0"/>
          <w14:ligatures w14:val="none"/>
        </w:rPr>
        <w:t xml:space="preserve"> immediate investigation into its root causes (product types, carriers).</w:t>
      </w:r>
    </w:p>
    <w:p w14:paraId="7E23F428" w14:textId="77777777" w:rsidR="005818C4" w:rsidRPr="005818C4" w:rsidRDefault="005818C4" w:rsidP="005818C4">
      <w:pPr>
        <w:spacing w:after="0" w:line="240" w:lineRule="auto"/>
        <w:rPr>
          <w:rFonts w:ascii="Calibri" w:eastAsia="Times New Roman" w:hAnsi="Calibri" w:cs="Calibri"/>
          <w:kern w:val="0"/>
          <w14:ligatures w14:val="none"/>
        </w:rPr>
      </w:pPr>
      <w:r w:rsidRPr="005818C4">
        <w:rPr>
          <w:rFonts w:ascii="Calibri" w:eastAsia="Times New Roman" w:hAnsi="Calibri" w:cs="Calibri"/>
          <w:color w:val="000000"/>
          <w:kern w:val="0"/>
          <w14:ligatures w14:val="none"/>
        </w:rPr>
        <w:t xml:space="preserve">- </w:t>
      </w:r>
      <w:r w:rsidRPr="005818C4">
        <w:rPr>
          <w:rFonts w:ascii="Calibri" w:eastAsia="Times New Roman" w:hAnsi="Calibri" w:cs="Calibri"/>
          <w:color w:val="000000"/>
          <w:kern w:val="0"/>
          <w:u w:val="single"/>
          <w14:ligatures w14:val="none"/>
        </w:rPr>
        <w:t>The December Anomaly:</w:t>
      </w:r>
      <w:r w:rsidRPr="005818C4">
        <w:rPr>
          <w:rFonts w:ascii="Calibri" w:eastAsia="Times New Roman" w:hAnsi="Calibri" w:cs="Calibri"/>
          <w:color w:val="000000"/>
          <w:kern w:val="0"/>
          <w14:ligatures w14:val="none"/>
        </w:rPr>
        <w:t> December shows a high return rate of 0.870. While high return volume is expected post-holiday, this high rate during the sales month itself suggests orders placed in December may have fulfillment or quality issues, rather than just post-holiday remorse.</w:t>
      </w:r>
    </w:p>
    <w:p w14:paraId="445A9360" w14:textId="77777777" w:rsidR="005818C4" w:rsidRPr="005818C4" w:rsidRDefault="005818C4" w:rsidP="005818C4">
      <w:pPr>
        <w:spacing w:after="0" w:line="240" w:lineRule="auto"/>
        <w:rPr>
          <w:rFonts w:ascii="Calibri" w:eastAsia="Times New Roman" w:hAnsi="Calibri" w:cs="Calibri"/>
          <w:kern w:val="0"/>
          <w14:ligatures w14:val="none"/>
        </w:rPr>
      </w:pPr>
      <w:r w:rsidRPr="005818C4">
        <w:rPr>
          <w:rFonts w:ascii="Calibri" w:eastAsia="Times New Roman" w:hAnsi="Calibri" w:cs="Calibri"/>
          <w:color w:val="000000"/>
          <w:kern w:val="0"/>
          <w14:ligatures w14:val="none"/>
        </w:rPr>
        <w:t xml:space="preserve">- </w:t>
      </w:r>
      <w:r w:rsidRPr="005818C4">
        <w:rPr>
          <w:rFonts w:ascii="Calibri" w:eastAsia="Times New Roman" w:hAnsi="Calibri" w:cs="Calibri"/>
          <w:color w:val="000000"/>
          <w:kern w:val="0"/>
          <w:u w:val="single"/>
          <w14:ligatures w14:val="none"/>
        </w:rPr>
        <w:t>Lowest Risk</w:t>
      </w:r>
      <w:r w:rsidRPr="005818C4">
        <w:rPr>
          <w:rFonts w:ascii="Calibri" w:eastAsia="Times New Roman" w:hAnsi="Calibri" w:cs="Calibri"/>
          <w:color w:val="000000"/>
          <w:kern w:val="0"/>
          <w14:ligatures w14:val="none"/>
        </w:rPr>
        <w:t>: November represents our most efficient month, with the lowest return rate at only 0.366. This excellent performance, achieved right before the holiday rush, sets a benchmark for what is operationally possible.</w:t>
      </w:r>
    </w:p>
    <w:p w14:paraId="330A12A4" w14:textId="5AE61ACE" w:rsidR="005818C4" w:rsidRPr="0000458F" w:rsidRDefault="005818C4" w:rsidP="005818C4">
      <w:pPr>
        <w:spacing w:after="0" w:line="240" w:lineRule="auto"/>
        <w:rPr>
          <w:rFonts w:ascii="Calibri" w:eastAsia="Times New Roman" w:hAnsi="Calibri" w:cs="Calibri"/>
          <w:kern w:val="0"/>
          <w14:ligatures w14:val="none"/>
        </w:rPr>
      </w:pPr>
      <w:r w:rsidRPr="005818C4">
        <w:rPr>
          <w:rFonts w:ascii="Calibri" w:eastAsia="Times New Roman" w:hAnsi="Calibri" w:cs="Calibri"/>
          <w:color w:val="000000"/>
          <w:kern w:val="0"/>
          <w14:ligatures w14:val="none"/>
        </w:rPr>
        <w:t xml:space="preserve">- </w:t>
      </w:r>
      <w:r w:rsidRPr="005818C4">
        <w:rPr>
          <w:rFonts w:ascii="Calibri" w:eastAsia="Times New Roman" w:hAnsi="Calibri" w:cs="Calibri"/>
          <w:color w:val="000000"/>
          <w:kern w:val="0"/>
          <w:u w:val="single"/>
          <w14:ligatures w14:val="none"/>
        </w:rPr>
        <w:t>Summer Efficiency</w:t>
      </w:r>
      <w:r w:rsidRPr="005818C4">
        <w:rPr>
          <w:rFonts w:ascii="Calibri" w:eastAsia="Times New Roman" w:hAnsi="Calibri" w:cs="Calibri"/>
          <w:color w:val="000000"/>
          <w:kern w:val="0"/>
          <w14:ligatures w14:val="none"/>
        </w:rPr>
        <w:t xml:space="preserve">: We are </w:t>
      </w:r>
      <w:proofErr w:type="spellStart"/>
      <w:r w:rsidRPr="005818C4">
        <w:rPr>
          <w:rFonts w:ascii="Calibri" w:eastAsia="Times New Roman" w:hAnsi="Calibri" w:cs="Calibri"/>
          <w:color w:val="000000"/>
          <w:kern w:val="0"/>
          <w14:ligatures w14:val="none"/>
        </w:rPr>
        <w:t>highely</w:t>
      </w:r>
      <w:proofErr w:type="spellEnd"/>
      <w:r w:rsidRPr="005818C4">
        <w:rPr>
          <w:rFonts w:ascii="Calibri" w:eastAsia="Times New Roman" w:hAnsi="Calibri" w:cs="Calibri"/>
          <w:color w:val="000000"/>
          <w:kern w:val="0"/>
          <w14:ligatures w14:val="none"/>
        </w:rPr>
        <w:t xml:space="preserve"> efficient during the months from March to July where Return rate is under 0.468.</w:t>
      </w:r>
    </w:p>
    <w:p w14:paraId="1CB3A657" w14:textId="77777777" w:rsidR="005818C4" w:rsidRPr="005818C4" w:rsidRDefault="005818C4" w:rsidP="005818C4">
      <w:pPr>
        <w:spacing w:after="0" w:line="240" w:lineRule="auto"/>
        <w:rPr>
          <w:rFonts w:ascii="Calibri" w:eastAsia="Times New Roman" w:hAnsi="Calibri" w:cs="Calibri"/>
          <w:kern w:val="0"/>
          <w14:ligatures w14:val="none"/>
        </w:rPr>
      </w:pPr>
    </w:p>
    <w:p w14:paraId="2479E37D" w14:textId="77777777" w:rsidR="005818C4" w:rsidRPr="005818C4" w:rsidRDefault="005818C4" w:rsidP="005818C4">
      <w:pPr>
        <w:spacing w:after="0" w:line="240" w:lineRule="auto"/>
        <w:rPr>
          <w:rFonts w:ascii="Calibri" w:eastAsia="Times New Roman" w:hAnsi="Calibri" w:cs="Calibri"/>
          <w:kern w:val="0"/>
          <w14:ligatures w14:val="none"/>
        </w:rPr>
      </w:pPr>
      <w:r w:rsidRPr="005818C4">
        <w:rPr>
          <w:rFonts w:ascii="Calibri" w:eastAsia="Times New Roman" w:hAnsi="Calibri" w:cs="Calibri"/>
          <w:color w:val="000000"/>
          <w:kern w:val="0"/>
          <w14:ligatures w14:val="none"/>
        </w:rPr>
        <w:t>Actionable Takeaway:</w:t>
      </w:r>
    </w:p>
    <w:p w14:paraId="5C84FCC2" w14:textId="7318F7F1" w:rsidR="005818C4" w:rsidRDefault="005818C4" w:rsidP="005818C4">
      <w:pPr>
        <w:spacing w:line="240" w:lineRule="auto"/>
        <w:jc w:val="both"/>
        <w:rPr>
          <w:rFonts w:ascii="Calibri" w:eastAsia="Times New Roman" w:hAnsi="Calibri" w:cs="Calibri"/>
          <w:color w:val="000000"/>
          <w:kern w:val="0"/>
          <w14:ligatures w14:val="none"/>
        </w:rPr>
      </w:pPr>
      <w:r w:rsidRPr="0000458F">
        <w:rPr>
          <w:rFonts w:ascii="Calibri" w:eastAsia="Times New Roman" w:hAnsi="Calibri" w:cs="Calibri"/>
          <w:color w:val="000000"/>
          <w:kern w:val="0"/>
          <w14:ligatures w14:val="none"/>
        </w:rPr>
        <w:t>We must analyze what we do differently in November and apply those best practices to the high-risk periods of August and September to dampen the mid-year spike, it is the most volatile and should be the immediate target for seasonal intervention.</w:t>
      </w:r>
    </w:p>
    <w:p w14:paraId="7905FAD1" w14:textId="77777777" w:rsidR="00A826A7" w:rsidRDefault="00A826A7" w:rsidP="005818C4">
      <w:pPr>
        <w:spacing w:line="240" w:lineRule="auto"/>
        <w:jc w:val="both"/>
        <w:rPr>
          <w:rFonts w:ascii="Calibri" w:eastAsia="Times New Roman" w:hAnsi="Calibri" w:cs="Calibri"/>
          <w:color w:val="000000"/>
          <w:kern w:val="0"/>
          <w14:ligatures w14:val="none"/>
        </w:rPr>
      </w:pPr>
    </w:p>
    <w:p w14:paraId="017E700D" w14:textId="77777777" w:rsidR="00A826A7" w:rsidRDefault="00A826A7" w:rsidP="005818C4">
      <w:pPr>
        <w:spacing w:line="240" w:lineRule="auto"/>
        <w:jc w:val="both"/>
        <w:rPr>
          <w:rFonts w:ascii="Calibri" w:eastAsia="Times New Roman" w:hAnsi="Calibri" w:cs="Calibri"/>
          <w:color w:val="000000"/>
          <w:kern w:val="0"/>
          <w14:ligatures w14:val="none"/>
        </w:rPr>
      </w:pPr>
    </w:p>
    <w:p w14:paraId="331D1BE3" w14:textId="376E0EDD" w:rsidR="00A826A7" w:rsidRPr="00A826A7" w:rsidRDefault="00A826A7" w:rsidP="00A826A7">
      <w:pPr>
        <w:pStyle w:val="ListParagraph"/>
        <w:numPr>
          <w:ilvl w:val="0"/>
          <w:numId w:val="3"/>
        </w:numPr>
        <w:spacing w:line="240" w:lineRule="auto"/>
        <w:jc w:val="both"/>
        <w:rPr>
          <w:rFonts w:ascii="Calibri" w:eastAsia="Times New Roman" w:hAnsi="Calibri" w:cs="Calibri"/>
          <w:color w:val="000000"/>
          <w:kern w:val="0"/>
          <w:sz w:val="32"/>
          <w:szCs w:val="32"/>
          <w:u w:val="single"/>
          <w14:ligatures w14:val="none"/>
        </w:rPr>
      </w:pPr>
      <w:r w:rsidRPr="00A826A7">
        <w:rPr>
          <w:sz w:val="32"/>
          <w:szCs w:val="32"/>
          <w:u w:val="single"/>
        </w:rPr>
        <w:t xml:space="preserve">Sales and Rate by Sub-category Return </w:t>
      </w:r>
    </w:p>
    <w:p w14:paraId="3A0B7EA7" w14:textId="0C7699B2" w:rsidR="00A826A7" w:rsidRDefault="00A826A7" w:rsidP="00A826A7">
      <w:pPr>
        <w:spacing w:after="0" w:line="240" w:lineRule="auto"/>
        <w:rPr>
          <w:rFonts w:ascii="Calibri" w:eastAsia="Times New Roman" w:hAnsi="Calibri" w:cs="Calibri"/>
          <w:kern w:val="0"/>
          <w:sz w:val="32"/>
          <w:szCs w:val="32"/>
          <w14:ligatures w14:val="none"/>
        </w:rPr>
      </w:pPr>
      <w:r w:rsidRPr="00A826A7">
        <w:rPr>
          <w:rFonts w:ascii="Calibri" w:eastAsia="Times New Roman" w:hAnsi="Calibri" w:cs="Calibri"/>
          <w:color w:val="000000"/>
          <w:kern w:val="0"/>
          <w14:ligatures w14:val="none"/>
        </w:rPr>
        <w:lastRenderedPageBreak/>
        <w:t xml:space="preserve">The trends of sum of Sales and Return Rate for Sub-Category. For panel Sum of Sales: Color shows details about Sub-Category. The data is filtered by descending order of Return rates for each sub-category. </w:t>
      </w:r>
    </w:p>
    <w:p w14:paraId="4DE74C71" w14:textId="77777777" w:rsidR="00A826A7" w:rsidRPr="00A826A7" w:rsidRDefault="00A826A7" w:rsidP="00A826A7">
      <w:pPr>
        <w:spacing w:after="0" w:line="240" w:lineRule="auto"/>
        <w:rPr>
          <w:rFonts w:ascii="Calibri" w:eastAsia="Times New Roman" w:hAnsi="Calibri" w:cs="Calibri"/>
          <w:kern w:val="0"/>
          <w:sz w:val="32"/>
          <w:szCs w:val="32"/>
          <w14:ligatures w14:val="none"/>
        </w:rPr>
      </w:pPr>
    </w:p>
    <w:p w14:paraId="660691FA" w14:textId="77777777" w:rsidR="00A826A7" w:rsidRPr="00A826A7" w:rsidRDefault="00A826A7" w:rsidP="00A826A7">
      <w:pPr>
        <w:spacing w:after="0" w:line="240" w:lineRule="auto"/>
        <w:rPr>
          <w:rFonts w:ascii="Calibri" w:eastAsia="Times New Roman" w:hAnsi="Calibri" w:cs="Calibri"/>
          <w:kern w:val="0"/>
          <w:sz w:val="32"/>
          <w:szCs w:val="32"/>
          <w14:ligatures w14:val="none"/>
        </w:rPr>
      </w:pPr>
      <w:r w:rsidRPr="00A826A7">
        <w:rPr>
          <w:rFonts w:ascii="Calibri" w:eastAsia="Times New Roman" w:hAnsi="Calibri" w:cs="Calibri"/>
          <w:color w:val="000000"/>
          <w:kern w:val="0"/>
          <w14:ligatures w14:val="none"/>
        </w:rPr>
        <w:t>This combined view is the most powerful diagnostic tool we have, revealing two fundamentally different problems requiring two distinct strategies:</w:t>
      </w:r>
    </w:p>
    <w:p w14:paraId="251AFE56" w14:textId="77777777" w:rsidR="00A826A7" w:rsidRPr="00A826A7" w:rsidRDefault="00A826A7" w:rsidP="00A826A7">
      <w:pPr>
        <w:spacing w:after="0" w:line="240" w:lineRule="auto"/>
        <w:rPr>
          <w:rFonts w:ascii="Calibri" w:eastAsia="Times New Roman" w:hAnsi="Calibri" w:cs="Calibri"/>
          <w:kern w:val="0"/>
          <w:sz w:val="32"/>
          <w:szCs w:val="32"/>
          <w14:ligatures w14:val="none"/>
        </w:rPr>
      </w:pPr>
      <w:r w:rsidRPr="00A826A7">
        <w:rPr>
          <w:rFonts w:ascii="Calibri" w:eastAsia="Times New Roman" w:hAnsi="Calibri" w:cs="Calibri"/>
          <w:color w:val="000000"/>
          <w:kern w:val="0"/>
          <w14:ligatures w14:val="none"/>
        </w:rPr>
        <w:t>1) Catastrophic Rate Risk: This group has failure rates so high that they demand an immediate product or quality intervention, regardless of the sales volume.</w:t>
      </w:r>
    </w:p>
    <w:p w14:paraId="179BECE8" w14:textId="77777777" w:rsidR="00A826A7" w:rsidRPr="00A826A7" w:rsidRDefault="00A826A7" w:rsidP="00A826A7">
      <w:pPr>
        <w:spacing w:after="0" w:line="240" w:lineRule="auto"/>
        <w:rPr>
          <w:rFonts w:ascii="Calibri" w:eastAsia="Times New Roman" w:hAnsi="Calibri" w:cs="Calibri"/>
          <w:kern w:val="0"/>
          <w:sz w:val="32"/>
          <w:szCs w:val="32"/>
          <w14:ligatures w14:val="none"/>
        </w:rPr>
      </w:pPr>
      <w:r w:rsidRPr="00A826A7">
        <w:rPr>
          <w:rFonts w:ascii="Calibri" w:eastAsia="Times New Roman" w:hAnsi="Calibri" w:cs="Calibri"/>
          <w:color w:val="000000"/>
          <w:kern w:val="0"/>
          <w14:ligatures w14:val="none"/>
        </w:rPr>
        <w:t>- Machines (Return Rate 49.1%): This is the highest individual failure rate in the company. Nearly half of all machines are returned. With $237k in sales, the true cost of returns here is immense. This is a five-alarm fire requiring an urgent Quality Control audit on manufacturing or technical documentation.</w:t>
      </w:r>
    </w:p>
    <w:p w14:paraId="53DC3495" w14:textId="77777777" w:rsidR="00A826A7" w:rsidRPr="00A826A7" w:rsidRDefault="00A826A7" w:rsidP="00A826A7">
      <w:pPr>
        <w:spacing w:after="0" w:line="240" w:lineRule="auto"/>
        <w:rPr>
          <w:rFonts w:ascii="Calibri" w:eastAsia="Times New Roman" w:hAnsi="Calibri" w:cs="Calibri"/>
          <w:kern w:val="0"/>
          <w:sz w:val="32"/>
          <w:szCs w:val="32"/>
          <w14:ligatures w14:val="none"/>
        </w:rPr>
      </w:pPr>
      <w:r w:rsidRPr="00A826A7">
        <w:rPr>
          <w:rFonts w:ascii="Calibri" w:eastAsia="Times New Roman" w:hAnsi="Calibri" w:cs="Calibri"/>
          <w:color w:val="000000"/>
          <w:kern w:val="0"/>
          <w14:ligatures w14:val="none"/>
        </w:rPr>
        <w:t>- Binders (Return Rate 41.9%): Paired with high volume ($241k in sales), Binders represent a significant financial drain. The high failure rate here suggests a widespread issue with product integrity or packaging.</w:t>
      </w:r>
    </w:p>
    <w:p w14:paraId="64B3F6FD" w14:textId="78F87DC1" w:rsidR="00A826A7" w:rsidRDefault="00A826A7" w:rsidP="00A826A7">
      <w:pPr>
        <w:spacing w:after="0" w:line="240" w:lineRule="auto"/>
        <w:rPr>
          <w:rFonts w:ascii="Calibri" w:eastAsia="Times New Roman" w:hAnsi="Calibri" w:cs="Calibri"/>
          <w:kern w:val="0"/>
          <w:sz w:val="32"/>
          <w:szCs w:val="32"/>
          <w14:ligatures w14:val="none"/>
        </w:rPr>
      </w:pPr>
      <w:r w:rsidRPr="00A826A7">
        <w:rPr>
          <w:rFonts w:ascii="Calibri" w:eastAsia="Times New Roman" w:hAnsi="Calibri" w:cs="Calibri"/>
          <w:color w:val="000000"/>
          <w:kern w:val="0"/>
          <w14:ligatures w14:val="none"/>
        </w:rPr>
        <w:t>- Fasteners (Return Rate 43.7%): While sales are minimal, this rate suggests a total failure of packaging or inventory, leading to almost certain returns when ordered.</w:t>
      </w:r>
    </w:p>
    <w:p w14:paraId="6573EE19" w14:textId="77777777" w:rsidR="00A826A7" w:rsidRPr="00A826A7" w:rsidRDefault="00A826A7" w:rsidP="00A826A7">
      <w:pPr>
        <w:spacing w:after="0" w:line="240" w:lineRule="auto"/>
        <w:rPr>
          <w:rFonts w:ascii="Calibri" w:eastAsia="Times New Roman" w:hAnsi="Calibri" w:cs="Calibri"/>
          <w:kern w:val="0"/>
          <w:sz w:val="32"/>
          <w:szCs w:val="32"/>
          <w14:ligatures w14:val="none"/>
        </w:rPr>
      </w:pPr>
    </w:p>
    <w:p w14:paraId="6717409E" w14:textId="77777777" w:rsidR="00A826A7" w:rsidRPr="00A826A7" w:rsidRDefault="00A826A7" w:rsidP="00A826A7">
      <w:pPr>
        <w:spacing w:after="0" w:line="240" w:lineRule="auto"/>
        <w:rPr>
          <w:rFonts w:ascii="Calibri" w:eastAsia="Times New Roman" w:hAnsi="Calibri" w:cs="Calibri"/>
          <w:kern w:val="0"/>
          <w:sz w:val="32"/>
          <w:szCs w:val="32"/>
          <w14:ligatures w14:val="none"/>
        </w:rPr>
      </w:pPr>
      <w:r w:rsidRPr="00A826A7">
        <w:rPr>
          <w:rFonts w:ascii="Calibri" w:eastAsia="Times New Roman" w:hAnsi="Calibri" w:cs="Calibri"/>
          <w:color w:val="000000"/>
          <w:kern w:val="0"/>
          <w14:ligatures w14:val="none"/>
        </w:rPr>
        <w:t xml:space="preserve">2) High volume Financial </w:t>
      </w:r>
      <w:proofErr w:type="spellStart"/>
      <w:proofErr w:type="gramStart"/>
      <w:r w:rsidRPr="00A826A7">
        <w:rPr>
          <w:rFonts w:ascii="Calibri" w:eastAsia="Times New Roman" w:hAnsi="Calibri" w:cs="Calibri"/>
          <w:color w:val="000000"/>
          <w:kern w:val="0"/>
          <w14:ligatures w14:val="none"/>
        </w:rPr>
        <w:t>Risk:These</w:t>
      </w:r>
      <w:proofErr w:type="spellEnd"/>
      <w:proofErr w:type="gramEnd"/>
      <w:r w:rsidRPr="00A826A7">
        <w:rPr>
          <w:rFonts w:ascii="Calibri" w:eastAsia="Times New Roman" w:hAnsi="Calibri" w:cs="Calibri"/>
          <w:color w:val="000000"/>
          <w:kern w:val="0"/>
          <w14:ligatures w14:val="none"/>
        </w:rPr>
        <w:t xml:space="preserve"> items are our sales leaders, meaning even a moderate return rate generates a huge number of high-cost returns, threatening our core profit.</w:t>
      </w:r>
    </w:p>
    <w:p w14:paraId="0216DF25" w14:textId="77777777" w:rsidR="00A826A7" w:rsidRPr="00A826A7" w:rsidRDefault="00A826A7" w:rsidP="00A826A7">
      <w:pPr>
        <w:spacing w:after="0" w:line="240" w:lineRule="auto"/>
        <w:rPr>
          <w:rFonts w:ascii="Calibri" w:eastAsia="Times New Roman" w:hAnsi="Calibri" w:cs="Calibri"/>
          <w:kern w:val="0"/>
          <w:sz w:val="32"/>
          <w:szCs w:val="32"/>
          <w14:ligatures w14:val="none"/>
        </w:rPr>
      </w:pPr>
      <w:r w:rsidRPr="00A826A7">
        <w:rPr>
          <w:rFonts w:ascii="Calibri" w:eastAsia="Times New Roman" w:hAnsi="Calibri" w:cs="Calibri"/>
          <w:color w:val="000000"/>
          <w:kern w:val="0"/>
          <w14:ligatures w14:val="none"/>
        </w:rPr>
        <w:t>- Chairs (Return Rate 41.3% / Sales $451k): As our highest-revenue sub-category, the cost of returns means this high rate translates to our largest financial cost leakage in the Furniture category.</w:t>
      </w:r>
    </w:p>
    <w:p w14:paraId="427B3794" w14:textId="77777777" w:rsidR="00A826A7" w:rsidRPr="00A826A7" w:rsidRDefault="00A826A7" w:rsidP="00A826A7">
      <w:pPr>
        <w:spacing w:after="0" w:line="240" w:lineRule="auto"/>
        <w:rPr>
          <w:rFonts w:ascii="Calibri" w:eastAsia="Times New Roman" w:hAnsi="Calibri" w:cs="Calibri"/>
          <w:kern w:val="0"/>
          <w:sz w:val="32"/>
          <w:szCs w:val="32"/>
          <w14:ligatures w14:val="none"/>
        </w:rPr>
      </w:pPr>
      <w:r w:rsidRPr="00A826A7">
        <w:rPr>
          <w:rFonts w:ascii="Calibri" w:eastAsia="Times New Roman" w:hAnsi="Calibri" w:cs="Calibri"/>
          <w:color w:val="000000"/>
          <w:kern w:val="0"/>
          <w14:ligatures w14:val="none"/>
        </w:rPr>
        <w:t>- Phones (Return Rate 37.9% / Sales $440k): Our second-highest sales category contributes massive volume to returns. The rate suggests a pervasive issue.</w:t>
      </w:r>
    </w:p>
    <w:p w14:paraId="2CCAB04C" w14:textId="76DA2641" w:rsidR="0099484D" w:rsidRDefault="00A826A7" w:rsidP="005818C4">
      <w:pPr>
        <w:spacing w:line="240" w:lineRule="auto"/>
        <w:jc w:val="both"/>
        <w:rPr>
          <w:rFonts w:ascii="Calibri" w:eastAsia="Times New Roman" w:hAnsi="Calibri" w:cs="Calibri"/>
          <w:color w:val="000000"/>
          <w:kern w:val="0"/>
          <w:sz w:val="32"/>
          <w:szCs w:val="32"/>
          <w14:ligatures w14:val="none"/>
        </w:rPr>
      </w:pPr>
      <w:r w:rsidRPr="00A826A7">
        <w:rPr>
          <w:rFonts w:ascii="Calibri" w:eastAsia="Times New Roman" w:hAnsi="Calibri" w:cs="Calibri"/>
          <w:color w:val="000000"/>
          <w:kern w:val="0"/>
          <w14:ligatures w14:val="none"/>
        </w:rPr>
        <w:t>- Storage (Return Rate 29.9% / Sales $267k): While the rate is lower, the high volume ensures this sub-category is still a major factor in processing overhead.</w:t>
      </w:r>
    </w:p>
    <w:p w14:paraId="2E1ABD5D" w14:textId="77777777" w:rsidR="0099484D" w:rsidRDefault="0099484D" w:rsidP="005818C4">
      <w:pPr>
        <w:spacing w:line="240" w:lineRule="auto"/>
        <w:jc w:val="both"/>
        <w:rPr>
          <w:rFonts w:ascii="Calibri" w:eastAsia="Times New Roman" w:hAnsi="Calibri" w:cs="Calibri"/>
          <w:color w:val="000000"/>
          <w:kern w:val="0"/>
          <w:sz w:val="32"/>
          <w:szCs w:val="32"/>
          <w14:ligatures w14:val="none"/>
        </w:rPr>
      </w:pPr>
    </w:p>
    <w:p w14:paraId="5FFB4448" w14:textId="77777777" w:rsidR="0099484D" w:rsidRDefault="0099484D" w:rsidP="005818C4">
      <w:pPr>
        <w:spacing w:line="240" w:lineRule="auto"/>
        <w:jc w:val="both"/>
        <w:rPr>
          <w:rFonts w:ascii="Calibri" w:eastAsia="Times New Roman" w:hAnsi="Calibri" w:cs="Calibri"/>
          <w:color w:val="000000"/>
          <w:kern w:val="0"/>
          <w:sz w:val="32"/>
          <w:szCs w:val="32"/>
          <w14:ligatures w14:val="none"/>
        </w:rPr>
      </w:pPr>
    </w:p>
    <w:p w14:paraId="2E488BA9" w14:textId="77777777" w:rsidR="0099484D" w:rsidRDefault="0099484D" w:rsidP="005818C4">
      <w:pPr>
        <w:spacing w:line="240" w:lineRule="auto"/>
        <w:jc w:val="both"/>
        <w:rPr>
          <w:rFonts w:ascii="Calibri" w:eastAsia="Times New Roman" w:hAnsi="Calibri" w:cs="Calibri"/>
          <w:color w:val="000000"/>
          <w:kern w:val="0"/>
          <w:sz w:val="32"/>
          <w:szCs w:val="32"/>
          <w14:ligatures w14:val="none"/>
        </w:rPr>
      </w:pPr>
    </w:p>
    <w:p w14:paraId="3AF48577" w14:textId="77777777" w:rsidR="0099484D" w:rsidRPr="00A826A7" w:rsidRDefault="0099484D" w:rsidP="005818C4">
      <w:pPr>
        <w:spacing w:line="240" w:lineRule="auto"/>
        <w:jc w:val="both"/>
        <w:rPr>
          <w:rFonts w:ascii="Calibri" w:eastAsia="Times New Roman" w:hAnsi="Calibri" w:cs="Calibri"/>
          <w:color w:val="000000"/>
          <w:kern w:val="0"/>
          <w:sz w:val="32"/>
          <w:szCs w:val="32"/>
          <w14:ligatures w14:val="none"/>
        </w:rPr>
      </w:pPr>
    </w:p>
    <w:p w14:paraId="778CFAB3" w14:textId="72659F76" w:rsidR="005818C4" w:rsidRPr="0000458F" w:rsidRDefault="005818C4" w:rsidP="005818C4">
      <w:pPr>
        <w:pStyle w:val="ListParagraph"/>
        <w:numPr>
          <w:ilvl w:val="0"/>
          <w:numId w:val="3"/>
        </w:numPr>
        <w:spacing w:line="240" w:lineRule="auto"/>
        <w:jc w:val="both"/>
        <w:rPr>
          <w:rFonts w:ascii="Calibri" w:hAnsi="Calibri" w:cs="Calibri"/>
          <w:sz w:val="32"/>
          <w:szCs w:val="32"/>
          <w:u w:val="single"/>
        </w:rPr>
      </w:pPr>
      <w:r w:rsidRPr="0000458F">
        <w:rPr>
          <w:rFonts w:ascii="Calibri" w:hAnsi="Calibri" w:cs="Calibri"/>
          <w:sz w:val="32"/>
          <w:szCs w:val="32"/>
          <w:u w:val="single"/>
        </w:rPr>
        <w:t>Return rates monthly trend by Category</w:t>
      </w:r>
    </w:p>
    <w:p w14:paraId="7D0FEBA8" w14:textId="77777777" w:rsidR="005818C4" w:rsidRPr="005818C4" w:rsidRDefault="005818C4" w:rsidP="005818C4">
      <w:pPr>
        <w:spacing w:after="0" w:line="240" w:lineRule="auto"/>
        <w:rPr>
          <w:rFonts w:ascii="Calibri" w:eastAsia="Times New Roman" w:hAnsi="Calibri" w:cs="Calibri"/>
          <w:kern w:val="0"/>
          <w14:ligatures w14:val="none"/>
        </w:rPr>
      </w:pPr>
      <w:r w:rsidRPr="005818C4">
        <w:rPr>
          <w:rFonts w:ascii="Calibri" w:eastAsia="Times New Roman" w:hAnsi="Calibri" w:cs="Calibri"/>
          <w:color w:val="000000"/>
          <w:kern w:val="0"/>
          <w14:ligatures w14:val="none"/>
        </w:rPr>
        <w:t>The trend of Return Rate for Order Date Month. Color shows details about Category. The view is filtered on Category which keeps Furniture, Office Supplies and Technology. This trendline chart moves beyond the overall monthly average to identify which categories are failing when, allowing us to assign accountability and plan targeted interventions.</w:t>
      </w:r>
    </w:p>
    <w:p w14:paraId="66D08BC8" w14:textId="77777777" w:rsidR="005818C4" w:rsidRPr="005818C4" w:rsidRDefault="005818C4" w:rsidP="005818C4">
      <w:pPr>
        <w:spacing w:after="0" w:line="240" w:lineRule="auto"/>
        <w:rPr>
          <w:rFonts w:ascii="Calibri" w:eastAsia="Times New Roman" w:hAnsi="Calibri" w:cs="Calibri"/>
          <w:color w:val="555555"/>
          <w:kern w:val="0"/>
          <w14:ligatures w14:val="none"/>
        </w:rPr>
      </w:pPr>
    </w:p>
    <w:p w14:paraId="3E3B5883" w14:textId="77777777" w:rsidR="005818C4" w:rsidRPr="005818C4" w:rsidRDefault="005818C4" w:rsidP="005818C4">
      <w:pPr>
        <w:spacing w:after="0" w:line="240" w:lineRule="auto"/>
        <w:rPr>
          <w:rFonts w:ascii="Calibri" w:eastAsia="Times New Roman" w:hAnsi="Calibri" w:cs="Calibri"/>
          <w:kern w:val="0"/>
          <w14:ligatures w14:val="none"/>
        </w:rPr>
      </w:pPr>
      <w:r w:rsidRPr="005818C4">
        <w:rPr>
          <w:rFonts w:ascii="Calibri" w:eastAsia="Times New Roman" w:hAnsi="Calibri" w:cs="Calibri"/>
          <w:color w:val="000000"/>
          <w:kern w:val="0"/>
          <w14:ligatures w14:val="none"/>
        </w:rPr>
        <w:lastRenderedPageBreak/>
        <w:t>1) Both Furniture and Technology hit their highest return rates in September. Technology peaks at an alarming 0.911. Furniture peaks at 0.629.</w:t>
      </w:r>
    </w:p>
    <w:p w14:paraId="05BF6173" w14:textId="77777777" w:rsidR="005818C4" w:rsidRPr="0000458F" w:rsidRDefault="005818C4" w:rsidP="005818C4">
      <w:pPr>
        <w:spacing w:after="0" w:line="240" w:lineRule="auto"/>
        <w:rPr>
          <w:rFonts w:ascii="Calibri" w:eastAsia="Times New Roman" w:hAnsi="Calibri" w:cs="Calibri"/>
          <w:color w:val="000000"/>
          <w:kern w:val="0"/>
          <w14:ligatures w14:val="none"/>
        </w:rPr>
      </w:pPr>
      <w:r w:rsidRPr="005818C4">
        <w:rPr>
          <w:rFonts w:ascii="Calibri" w:eastAsia="Times New Roman" w:hAnsi="Calibri" w:cs="Calibri"/>
          <w:color w:val="000000"/>
          <w:kern w:val="0"/>
          <w14:ligatures w14:val="none"/>
        </w:rPr>
        <w:t>Implication: The September peak is primarily an issue with our high-value, high-cost items. This suggests a systemic problem tied to our late-summer inventory turnover or handling processes immediately preceding the busy season, impacting fragile or complex goods.</w:t>
      </w:r>
    </w:p>
    <w:p w14:paraId="77A3C1EB" w14:textId="77777777" w:rsidR="005818C4" w:rsidRPr="005818C4" w:rsidRDefault="005818C4" w:rsidP="005818C4">
      <w:pPr>
        <w:spacing w:after="0" w:line="240" w:lineRule="auto"/>
        <w:rPr>
          <w:rFonts w:ascii="Calibri" w:eastAsia="Times New Roman" w:hAnsi="Calibri" w:cs="Calibri"/>
          <w:kern w:val="0"/>
          <w14:ligatures w14:val="none"/>
        </w:rPr>
      </w:pPr>
    </w:p>
    <w:p w14:paraId="1A0A33AC" w14:textId="77777777" w:rsidR="005818C4" w:rsidRPr="005818C4" w:rsidRDefault="005818C4" w:rsidP="005818C4">
      <w:pPr>
        <w:spacing w:after="0" w:line="240" w:lineRule="auto"/>
        <w:rPr>
          <w:rFonts w:ascii="Calibri" w:eastAsia="Times New Roman" w:hAnsi="Calibri" w:cs="Calibri"/>
          <w:kern w:val="0"/>
          <w14:ligatures w14:val="none"/>
        </w:rPr>
      </w:pPr>
      <w:r w:rsidRPr="005818C4">
        <w:rPr>
          <w:rFonts w:ascii="Calibri" w:eastAsia="Times New Roman" w:hAnsi="Calibri" w:cs="Calibri"/>
          <w:color w:val="000000"/>
          <w:kern w:val="0"/>
          <w14:ligatures w14:val="none"/>
        </w:rPr>
        <w:t>2) Office Supplies is the outlier, hitting its highest return rate in August at 1.029. This is the only time a category surpasses a 1.0 return rate, confirming its status as our highest-volume risk segment.</w:t>
      </w:r>
    </w:p>
    <w:p w14:paraId="146D1E7C" w14:textId="77777777" w:rsidR="005818C4" w:rsidRPr="0000458F" w:rsidRDefault="005818C4" w:rsidP="005818C4">
      <w:pPr>
        <w:spacing w:after="0" w:line="240" w:lineRule="auto"/>
        <w:rPr>
          <w:rFonts w:ascii="Calibri" w:eastAsia="Times New Roman" w:hAnsi="Calibri" w:cs="Calibri"/>
          <w:color w:val="000000"/>
          <w:kern w:val="0"/>
          <w14:ligatures w14:val="none"/>
        </w:rPr>
      </w:pPr>
      <w:r w:rsidRPr="005818C4">
        <w:rPr>
          <w:rFonts w:ascii="Calibri" w:eastAsia="Times New Roman" w:hAnsi="Calibri" w:cs="Calibri"/>
          <w:color w:val="000000"/>
          <w:kern w:val="0"/>
          <w14:ligatures w14:val="none"/>
        </w:rPr>
        <w:t>Implication: The Office Supplies spike is likely tied to the back-to-school season. Our fulfillment process for these smaller, high-volume items is clearly overwhelmed in August, leading to high rates of errors, damage, or inaccurate shipping.</w:t>
      </w:r>
    </w:p>
    <w:p w14:paraId="56AB27B7" w14:textId="77777777" w:rsidR="005818C4" w:rsidRPr="005818C4" w:rsidRDefault="005818C4" w:rsidP="005818C4">
      <w:pPr>
        <w:spacing w:after="0" w:line="240" w:lineRule="auto"/>
        <w:rPr>
          <w:rFonts w:ascii="Calibri" w:eastAsia="Times New Roman" w:hAnsi="Calibri" w:cs="Calibri"/>
          <w:kern w:val="0"/>
          <w14:ligatures w14:val="none"/>
        </w:rPr>
      </w:pPr>
    </w:p>
    <w:p w14:paraId="7C506ECD" w14:textId="39373C16" w:rsidR="005818C4" w:rsidRPr="0000458F" w:rsidRDefault="005818C4" w:rsidP="005818C4">
      <w:pPr>
        <w:spacing w:line="240" w:lineRule="auto"/>
        <w:jc w:val="both"/>
        <w:rPr>
          <w:rFonts w:ascii="Calibri" w:eastAsia="Times New Roman" w:hAnsi="Calibri" w:cs="Calibri"/>
          <w:color w:val="000000"/>
          <w:kern w:val="0"/>
          <w14:ligatures w14:val="none"/>
        </w:rPr>
      </w:pPr>
      <w:r w:rsidRPr="0000458F">
        <w:rPr>
          <w:rFonts w:ascii="Calibri" w:eastAsia="Times New Roman" w:hAnsi="Calibri" w:cs="Calibri"/>
          <w:color w:val="000000"/>
          <w:kern w:val="0"/>
          <w14:ligatures w14:val="none"/>
        </w:rPr>
        <w:t>3) Each category has its most efficient month: Technology in July (0.140), Furniture in March (0.186), and Office Supplies in April (0.356).</w:t>
      </w:r>
    </w:p>
    <w:p w14:paraId="77BDDEB3" w14:textId="77777777" w:rsidR="005818C4" w:rsidRPr="0000458F" w:rsidRDefault="005818C4" w:rsidP="005818C4">
      <w:pPr>
        <w:spacing w:line="240" w:lineRule="auto"/>
        <w:jc w:val="both"/>
        <w:rPr>
          <w:rFonts w:ascii="Calibri" w:eastAsia="Times New Roman" w:hAnsi="Calibri" w:cs="Calibri"/>
          <w:color w:val="000000"/>
          <w:kern w:val="0"/>
          <w:sz w:val="21"/>
          <w:szCs w:val="21"/>
          <w14:ligatures w14:val="none"/>
        </w:rPr>
      </w:pPr>
    </w:p>
    <w:p w14:paraId="70D170CC" w14:textId="77777777" w:rsidR="004A205F" w:rsidRPr="0000458F" w:rsidRDefault="004A205F" w:rsidP="005818C4">
      <w:pPr>
        <w:spacing w:line="240" w:lineRule="auto"/>
        <w:jc w:val="both"/>
        <w:rPr>
          <w:rFonts w:ascii="Calibri" w:eastAsia="Times New Roman" w:hAnsi="Calibri" w:cs="Calibri"/>
          <w:color w:val="000000"/>
          <w:kern w:val="0"/>
          <w:sz w:val="21"/>
          <w:szCs w:val="21"/>
          <w14:ligatures w14:val="none"/>
        </w:rPr>
      </w:pPr>
    </w:p>
    <w:p w14:paraId="31BC6214" w14:textId="17F43243" w:rsidR="005818C4" w:rsidRPr="0000458F" w:rsidRDefault="0000458F" w:rsidP="0000458F">
      <w:pPr>
        <w:pStyle w:val="ListParagraph"/>
        <w:numPr>
          <w:ilvl w:val="0"/>
          <w:numId w:val="3"/>
        </w:numPr>
        <w:spacing w:line="240" w:lineRule="auto"/>
        <w:jc w:val="both"/>
        <w:rPr>
          <w:rFonts w:ascii="Calibri" w:hAnsi="Calibri" w:cs="Calibri"/>
          <w:sz w:val="32"/>
          <w:szCs w:val="32"/>
          <w:u w:val="single"/>
        </w:rPr>
      </w:pPr>
      <w:r w:rsidRPr="0000458F">
        <w:rPr>
          <w:rFonts w:ascii="Calibri" w:hAnsi="Calibri" w:cs="Calibri"/>
          <w:sz w:val="32"/>
          <w:szCs w:val="32"/>
          <w:u w:val="single"/>
        </w:rPr>
        <w:t>Return Rate by Ship mode</w:t>
      </w:r>
    </w:p>
    <w:p w14:paraId="0137B16C" w14:textId="4B18A7CC"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rPr>
        <w:t>Return Rate for each Ship Mode. The bar chart is displayed in descending order based on Return rates. This chart isolates the performance of our fulfillment processes by shipping method.</w:t>
      </w:r>
    </w:p>
    <w:p w14:paraId="2E17BE9B" w14:textId="77777777" w:rsidR="0000458F" w:rsidRPr="0000458F" w:rsidRDefault="0000458F" w:rsidP="0000458F">
      <w:pPr>
        <w:pStyle w:val="NormalWeb"/>
        <w:spacing w:before="0" w:beforeAutospacing="0" w:after="0" w:afterAutospacing="0"/>
        <w:rPr>
          <w:rFonts w:ascii="Calibri" w:hAnsi="Calibri" w:cs="Calibri"/>
        </w:rPr>
      </w:pPr>
    </w:p>
    <w:p w14:paraId="5DD8BEF7" w14:textId="5FF8149A"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rPr>
        <w:t>The highest return rate was from Same Day mode at 1.462, followed by First Class at 0.754, followed by Standard Class at 0.599, the least Return rate was from Second class at 0.468</w:t>
      </w:r>
    </w:p>
    <w:p w14:paraId="3AEE86CD" w14:textId="77777777" w:rsidR="0000458F" w:rsidRPr="0000458F" w:rsidRDefault="0000458F" w:rsidP="0000458F">
      <w:pPr>
        <w:pStyle w:val="NormalWeb"/>
        <w:spacing w:before="0" w:beforeAutospacing="0" w:after="0" w:afterAutospacing="0"/>
        <w:rPr>
          <w:rFonts w:ascii="Calibri" w:hAnsi="Calibri" w:cs="Calibri"/>
        </w:rPr>
      </w:pPr>
    </w:p>
    <w:p w14:paraId="5F22E54B" w14:textId="77777777"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rPr>
        <w:t>1) Highest Risk: The Same Day shipping option exhibits the highest return rate by far, reaching 1.462. This rate is nearly double the risk of First Class and three times the reliability of Second Class.</w:t>
      </w:r>
    </w:p>
    <w:p w14:paraId="58C346BC" w14:textId="77777777" w:rsidR="0000458F" w:rsidRPr="0000458F" w:rsidRDefault="0000458F" w:rsidP="0000458F">
      <w:pPr>
        <w:pStyle w:val="NormalWeb"/>
        <w:spacing w:before="0" w:beforeAutospacing="0" w:after="0" w:afterAutospacing="0"/>
        <w:rPr>
          <w:rFonts w:ascii="Calibri" w:hAnsi="Calibri" w:cs="Calibri"/>
          <w:color w:val="000000"/>
        </w:rPr>
      </w:pPr>
      <w:r w:rsidRPr="0000458F">
        <w:rPr>
          <w:rFonts w:ascii="Calibri" w:hAnsi="Calibri" w:cs="Calibri"/>
          <w:color w:val="000000"/>
          <w:u w:val="single"/>
        </w:rPr>
        <w:t>Implication</w:t>
      </w:r>
      <w:r w:rsidRPr="0000458F">
        <w:rPr>
          <w:rFonts w:ascii="Calibri" w:hAnsi="Calibri" w:cs="Calibri"/>
          <w:color w:val="000000"/>
        </w:rPr>
        <w:t>: The pressure to meet the "Same Day" promise is causing severe operational shortcuts—resulting in damage or poor packing. The customer experience here is severely compromised, negating the premium paid for the speed and causing massive financial drain through returns. This mode is currently too risky to offer broadly.</w:t>
      </w:r>
    </w:p>
    <w:p w14:paraId="0194076A" w14:textId="77777777" w:rsidR="0000458F" w:rsidRPr="0000458F" w:rsidRDefault="0000458F" w:rsidP="0000458F">
      <w:pPr>
        <w:pStyle w:val="NormalWeb"/>
        <w:spacing w:before="0" w:beforeAutospacing="0" w:after="0" w:afterAutospacing="0"/>
        <w:rPr>
          <w:rFonts w:ascii="Calibri" w:hAnsi="Calibri" w:cs="Calibri"/>
        </w:rPr>
      </w:pPr>
    </w:p>
    <w:p w14:paraId="567D87FE" w14:textId="77777777"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rPr>
        <w:t>2) Most Efficient: Second Class shipping has the lowest return rate at a highly manageable 0.468.</w:t>
      </w:r>
    </w:p>
    <w:p w14:paraId="28D6F21E" w14:textId="77777777" w:rsidR="0000458F" w:rsidRPr="0000458F" w:rsidRDefault="0000458F" w:rsidP="0000458F">
      <w:pPr>
        <w:pStyle w:val="NormalWeb"/>
        <w:spacing w:before="0" w:beforeAutospacing="0" w:after="0" w:afterAutospacing="0"/>
        <w:rPr>
          <w:rFonts w:ascii="Calibri" w:hAnsi="Calibri" w:cs="Calibri"/>
          <w:color w:val="000000"/>
        </w:rPr>
      </w:pPr>
      <w:r w:rsidRPr="0000458F">
        <w:rPr>
          <w:rFonts w:ascii="Calibri" w:hAnsi="Calibri" w:cs="Calibri"/>
          <w:color w:val="000000"/>
          <w:u w:val="single"/>
        </w:rPr>
        <w:t>Implication</w:t>
      </w:r>
      <w:r w:rsidRPr="0000458F">
        <w:rPr>
          <w:rFonts w:ascii="Calibri" w:hAnsi="Calibri" w:cs="Calibri"/>
          <w:color w:val="000000"/>
        </w:rPr>
        <w:t>: This mode represents our most stable and reliable process.</w:t>
      </w:r>
    </w:p>
    <w:p w14:paraId="2663509F" w14:textId="77777777" w:rsidR="0000458F" w:rsidRPr="0000458F" w:rsidRDefault="0000458F" w:rsidP="0000458F">
      <w:pPr>
        <w:pStyle w:val="NormalWeb"/>
        <w:spacing w:before="0" w:beforeAutospacing="0" w:after="0" w:afterAutospacing="0"/>
        <w:rPr>
          <w:rFonts w:ascii="Calibri" w:hAnsi="Calibri" w:cs="Calibri"/>
        </w:rPr>
      </w:pPr>
    </w:p>
    <w:p w14:paraId="59133061" w14:textId="77777777"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rPr>
        <w:t xml:space="preserve">3) First Class (0.754) and Standard Class (0.599) perform moderately. While better than Same Day, there is still significant room for improvement by adopting the measured, lower-risk practices of the </w:t>
      </w:r>
      <w:proofErr w:type="gramStart"/>
      <w:r w:rsidRPr="0000458F">
        <w:rPr>
          <w:rFonts w:ascii="Calibri" w:hAnsi="Calibri" w:cs="Calibri"/>
          <w:color w:val="000000"/>
        </w:rPr>
        <w:t>Second Class</w:t>
      </w:r>
      <w:proofErr w:type="gramEnd"/>
      <w:r w:rsidRPr="0000458F">
        <w:rPr>
          <w:rFonts w:ascii="Calibri" w:hAnsi="Calibri" w:cs="Calibri"/>
          <w:color w:val="000000"/>
        </w:rPr>
        <w:t xml:space="preserve"> operation.</w:t>
      </w:r>
    </w:p>
    <w:p w14:paraId="5165FFF1" w14:textId="2DE12DEF" w:rsidR="0000458F" w:rsidRDefault="0000458F" w:rsidP="0000458F">
      <w:pPr>
        <w:pStyle w:val="NormalWeb"/>
        <w:spacing w:before="0" w:beforeAutospacing="0" w:after="0" w:afterAutospacing="0"/>
        <w:rPr>
          <w:rFonts w:ascii="Calibri" w:hAnsi="Calibri" w:cs="Calibri"/>
          <w:color w:val="000000"/>
        </w:rPr>
      </w:pPr>
      <w:r w:rsidRPr="0000458F">
        <w:rPr>
          <w:rFonts w:ascii="Calibri" w:hAnsi="Calibri" w:cs="Calibri"/>
          <w:color w:val="000000"/>
          <w:u w:val="single"/>
        </w:rPr>
        <w:lastRenderedPageBreak/>
        <w:t>Actionable Takeaway</w:t>
      </w:r>
      <w:r w:rsidRPr="0000458F">
        <w:rPr>
          <w:rFonts w:ascii="Calibri" w:hAnsi="Calibri" w:cs="Calibri"/>
          <w:color w:val="000000"/>
        </w:rPr>
        <w:t xml:space="preserve">: We must immediately launch a focused process audit of the Same Day fulfillment path. Until the root cause for the high failure rate is identified and corrected, we recommend restricting or suspending the Same Day shipping </w:t>
      </w:r>
      <w:proofErr w:type="spellStart"/>
      <w:r w:rsidRPr="0000458F">
        <w:rPr>
          <w:rFonts w:ascii="Calibri" w:hAnsi="Calibri" w:cs="Calibri"/>
          <w:color w:val="000000"/>
        </w:rPr>
        <w:t>optionto</w:t>
      </w:r>
      <w:proofErr w:type="spellEnd"/>
      <w:r w:rsidRPr="0000458F">
        <w:rPr>
          <w:rFonts w:ascii="Calibri" w:hAnsi="Calibri" w:cs="Calibri"/>
          <w:color w:val="000000"/>
        </w:rPr>
        <w:t xml:space="preserve"> protect our brand reputation and eliminate this major source of financial leakage.</w:t>
      </w:r>
    </w:p>
    <w:p w14:paraId="08890B4D" w14:textId="77777777" w:rsidR="004A205F" w:rsidRDefault="004A205F" w:rsidP="0000458F">
      <w:pPr>
        <w:pStyle w:val="NormalWeb"/>
        <w:spacing w:before="0" w:beforeAutospacing="0" w:after="0" w:afterAutospacing="0"/>
        <w:rPr>
          <w:rFonts w:ascii="Calibri" w:hAnsi="Calibri" w:cs="Calibri"/>
          <w:color w:val="000000"/>
        </w:rPr>
      </w:pPr>
    </w:p>
    <w:p w14:paraId="21511DD9" w14:textId="77777777" w:rsidR="004A205F" w:rsidRPr="004A205F" w:rsidRDefault="004A205F" w:rsidP="0000458F">
      <w:pPr>
        <w:pStyle w:val="NormalWeb"/>
        <w:spacing w:before="0" w:beforeAutospacing="0" w:after="0" w:afterAutospacing="0"/>
        <w:rPr>
          <w:rFonts w:ascii="Calibri" w:hAnsi="Calibri" w:cs="Calibri"/>
          <w:color w:val="000000"/>
        </w:rPr>
      </w:pPr>
    </w:p>
    <w:p w14:paraId="6A0DCA65" w14:textId="37F5C4A8" w:rsidR="0000458F" w:rsidRPr="0000458F" w:rsidRDefault="0000458F" w:rsidP="0000458F">
      <w:pPr>
        <w:pStyle w:val="NormalWeb"/>
        <w:numPr>
          <w:ilvl w:val="0"/>
          <w:numId w:val="3"/>
        </w:numPr>
        <w:spacing w:before="0" w:beforeAutospacing="0" w:after="0" w:afterAutospacing="0"/>
        <w:rPr>
          <w:rFonts w:ascii="Calibri" w:hAnsi="Calibri" w:cs="Calibri"/>
          <w:sz w:val="32"/>
          <w:szCs w:val="32"/>
          <w:u w:val="single"/>
        </w:rPr>
      </w:pPr>
      <w:r w:rsidRPr="0000458F">
        <w:rPr>
          <w:rFonts w:ascii="Calibri" w:hAnsi="Calibri" w:cs="Calibri"/>
          <w:sz w:val="32"/>
          <w:szCs w:val="32"/>
          <w:u w:val="single"/>
        </w:rPr>
        <w:t xml:space="preserve">Sales and Return Rates based on </w:t>
      </w:r>
      <w:proofErr w:type="gramStart"/>
      <w:r w:rsidRPr="0000458F">
        <w:rPr>
          <w:rFonts w:ascii="Calibri" w:hAnsi="Calibri" w:cs="Calibri"/>
          <w:sz w:val="32"/>
          <w:szCs w:val="32"/>
          <w:u w:val="single"/>
        </w:rPr>
        <w:t>Region</w:t>
      </w:r>
      <w:proofErr w:type="gramEnd"/>
    </w:p>
    <w:p w14:paraId="45AD9AEA" w14:textId="0536D82A"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rPr>
        <w:t>The trends of Sales and Return Rate for Region across US. Color shows details about Sales and Return Rate. For panel Sum of Sales: The marks are labeled by Sales and displayed in descending order according to Sum of Sales. This combined visualization uses Sales Volume (Bars) and Return Rate (Line) to highlight the regional friction points where high revenue is being significantly offset by poor operational performance.</w:t>
      </w:r>
    </w:p>
    <w:p w14:paraId="7E8D5003" w14:textId="77777777" w:rsidR="0000458F" w:rsidRPr="0000458F" w:rsidRDefault="0000458F" w:rsidP="0000458F">
      <w:pPr>
        <w:pStyle w:val="NormalWeb"/>
        <w:spacing w:before="0" w:beforeAutospacing="0" w:after="0" w:afterAutospacing="0"/>
        <w:rPr>
          <w:rFonts w:ascii="Calibri" w:hAnsi="Calibri" w:cs="Calibri"/>
        </w:rPr>
      </w:pPr>
    </w:p>
    <w:p w14:paraId="301CE850" w14:textId="77777777"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rPr>
        <w:t>1) The West Region- High Reward, Extreme Risk</w:t>
      </w:r>
    </w:p>
    <w:p w14:paraId="60090EB7" w14:textId="77777777"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rPr>
        <w:t xml:space="preserve">Revenue Leader- The West is our powerhouse, generating over $1 Million in sales—our highest volume by a considerable </w:t>
      </w:r>
      <w:proofErr w:type="spellStart"/>
      <w:proofErr w:type="gramStart"/>
      <w:r w:rsidRPr="0000458F">
        <w:rPr>
          <w:rFonts w:ascii="Calibri" w:hAnsi="Calibri" w:cs="Calibri"/>
          <w:color w:val="000000"/>
        </w:rPr>
        <w:t>margin.Critically</w:t>
      </w:r>
      <w:proofErr w:type="spellEnd"/>
      <w:proofErr w:type="gramEnd"/>
      <w:r w:rsidRPr="0000458F">
        <w:rPr>
          <w:rFonts w:ascii="Calibri" w:hAnsi="Calibri" w:cs="Calibri"/>
          <w:color w:val="000000"/>
        </w:rPr>
        <w:t>, the West simultaneously carries the highest operational burden with a return rate of 1.181. This rate is nearly five times the rate of our most efficient region (Central).</w:t>
      </w:r>
    </w:p>
    <w:p w14:paraId="7EBE02DC" w14:textId="0E43756F"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u w:val="single"/>
        </w:rPr>
        <w:t>Implication</w:t>
      </w:r>
      <w:r w:rsidRPr="0000458F">
        <w:rPr>
          <w:rFonts w:ascii="Calibri" w:hAnsi="Calibri" w:cs="Calibri"/>
          <w:color w:val="000000"/>
        </w:rPr>
        <w:t>: Our largest source of income is also our largest source of profit leakage. This high rate suggests a severe, regional breakdown in fulfillment, carrier performance, or local inventory accuracy that must be addressed immediately to protect our top-line revenue.</w:t>
      </w:r>
    </w:p>
    <w:p w14:paraId="1BDD3BBB" w14:textId="77777777" w:rsidR="0000458F" w:rsidRPr="0000458F" w:rsidRDefault="0000458F" w:rsidP="0000458F">
      <w:pPr>
        <w:pStyle w:val="NormalWeb"/>
        <w:spacing w:before="0" w:beforeAutospacing="0" w:after="0" w:afterAutospacing="0"/>
        <w:rPr>
          <w:rFonts w:ascii="Calibri" w:hAnsi="Calibri" w:cs="Calibri"/>
        </w:rPr>
      </w:pPr>
    </w:p>
    <w:p w14:paraId="5A80A250" w14:textId="77777777"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rPr>
        <w:t>2) Efficiency Champion- The Central Region</w:t>
      </w:r>
    </w:p>
    <w:p w14:paraId="13DFC296" w14:textId="77777777"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rPr>
        <w:t>Lowest Cost- The Central region, despite its lower sales volume, is our most efficient, showing a minimal return rate of just 0.243.</w:t>
      </w:r>
    </w:p>
    <w:p w14:paraId="3E539B71" w14:textId="4282A912"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u w:val="single"/>
        </w:rPr>
        <w:t>Implication</w:t>
      </w:r>
      <w:r w:rsidRPr="0000458F">
        <w:rPr>
          <w:rFonts w:ascii="Calibri" w:hAnsi="Calibri" w:cs="Calibri"/>
          <w:color w:val="000000"/>
        </w:rPr>
        <w:t>: The processes and logistics chain in the Central region are proving highly effective. This region must become the benchmark for the entire company. We need to document and replicate their best practices- whether in picking, packing, or local carrier agreements.</w:t>
      </w:r>
      <w:r w:rsidRPr="0000458F">
        <w:rPr>
          <w:rFonts w:ascii="Calibri" w:hAnsi="Calibri" w:cs="Calibri"/>
        </w:rPr>
        <w:br/>
      </w:r>
    </w:p>
    <w:p w14:paraId="287F17F7" w14:textId="77777777"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rPr>
        <w:t>3) Stable Mid-Tier Performance</w:t>
      </w:r>
    </w:p>
    <w:p w14:paraId="2BA40CC8" w14:textId="299CEA7D"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rPr>
        <w:t>The East (0.540 Return Rate) and South (0.339 Return Rate) show manageable, mid-tier risk. While they are performing better than the West, adopting the Central region's practices could still drive their rates lower.</w:t>
      </w:r>
    </w:p>
    <w:p w14:paraId="3B53A118" w14:textId="77777777" w:rsidR="0000458F" w:rsidRPr="0000458F" w:rsidRDefault="0000458F" w:rsidP="0000458F">
      <w:pPr>
        <w:pStyle w:val="NormalWeb"/>
        <w:spacing w:before="0" w:beforeAutospacing="0" w:after="0" w:afterAutospacing="0"/>
        <w:rPr>
          <w:rFonts w:ascii="Calibri" w:hAnsi="Calibri" w:cs="Calibri"/>
        </w:rPr>
      </w:pPr>
    </w:p>
    <w:p w14:paraId="4F8B2341" w14:textId="77777777" w:rsidR="0000458F" w:rsidRPr="0000458F" w:rsidRDefault="0000458F" w:rsidP="0000458F">
      <w:pPr>
        <w:pStyle w:val="NormalWeb"/>
        <w:spacing w:before="0" w:beforeAutospacing="0" w:after="0" w:afterAutospacing="0"/>
        <w:rPr>
          <w:rFonts w:ascii="Calibri" w:hAnsi="Calibri" w:cs="Calibri"/>
        </w:rPr>
      </w:pPr>
      <w:r w:rsidRPr="0000458F">
        <w:rPr>
          <w:rFonts w:ascii="Calibri" w:hAnsi="Calibri" w:cs="Calibri"/>
          <w:color w:val="000000"/>
          <w:u w:val="single"/>
        </w:rPr>
        <w:t>Actionable Takeaway:</w:t>
      </w:r>
    </w:p>
    <w:p w14:paraId="1AD384DC" w14:textId="40064A07" w:rsidR="0000458F" w:rsidRDefault="0000458F" w:rsidP="00BB422C">
      <w:pPr>
        <w:pStyle w:val="NormalWeb"/>
        <w:spacing w:before="0" w:beforeAutospacing="0" w:after="0" w:afterAutospacing="0"/>
        <w:rPr>
          <w:rFonts w:ascii="Calibri" w:hAnsi="Calibri" w:cs="Calibri"/>
          <w:color w:val="000000"/>
        </w:rPr>
      </w:pPr>
      <w:r w:rsidRPr="0000458F">
        <w:rPr>
          <w:rFonts w:ascii="Calibri" w:hAnsi="Calibri" w:cs="Calibri"/>
          <w:color w:val="000000"/>
        </w:rPr>
        <w:t>The priority is a high-level operational audit of the West Region's distribution center and logistics partners. Our goal is not to punish high sales, but to stabilize the fulfillment process, aiming to bring the West's return rate down toward the East's 0.5% level to realize hundreds of thousands in immediate cost savings.</w:t>
      </w:r>
    </w:p>
    <w:p w14:paraId="2C305B46" w14:textId="77777777" w:rsidR="00BB422C" w:rsidRDefault="00BB422C" w:rsidP="00BB422C">
      <w:pPr>
        <w:pStyle w:val="NormalWeb"/>
        <w:spacing w:before="0" w:beforeAutospacing="0" w:after="0" w:afterAutospacing="0"/>
        <w:rPr>
          <w:rFonts w:ascii="Calibri" w:hAnsi="Calibri" w:cs="Calibri"/>
          <w:color w:val="000000"/>
        </w:rPr>
      </w:pPr>
    </w:p>
    <w:p w14:paraId="32158896" w14:textId="77777777" w:rsidR="00BB422C" w:rsidRDefault="00BB422C" w:rsidP="00BB422C">
      <w:pPr>
        <w:pStyle w:val="NormalWeb"/>
        <w:spacing w:before="0" w:beforeAutospacing="0" w:after="0" w:afterAutospacing="0"/>
        <w:rPr>
          <w:rFonts w:ascii="Calibri" w:hAnsi="Calibri" w:cs="Calibri"/>
          <w:color w:val="000000"/>
        </w:rPr>
      </w:pPr>
    </w:p>
    <w:p w14:paraId="64A2E6F7" w14:textId="07F0EB51" w:rsidR="00BB422C" w:rsidRPr="00BB422C" w:rsidRDefault="00BB422C" w:rsidP="00BB422C">
      <w:pPr>
        <w:pStyle w:val="NormalWeb"/>
        <w:numPr>
          <w:ilvl w:val="0"/>
          <w:numId w:val="3"/>
        </w:numPr>
        <w:spacing w:before="0" w:beforeAutospacing="0" w:after="0" w:afterAutospacing="0"/>
        <w:rPr>
          <w:rFonts w:ascii="Calibri" w:hAnsi="Calibri" w:cs="Calibri"/>
          <w:sz w:val="32"/>
          <w:szCs w:val="32"/>
          <w:u w:val="single"/>
        </w:rPr>
      </w:pPr>
      <w:r w:rsidRPr="00BB422C">
        <w:rPr>
          <w:rFonts w:ascii="Calibri" w:hAnsi="Calibri" w:cs="Calibri"/>
          <w:color w:val="000000"/>
          <w:sz w:val="32"/>
          <w:szCs w:val="32"/>
          <w:u w:val="single"/>
        </w:rPr>
        <w:t>Conclusion and Actionable Steps:</w:t>
      </w:r>
    </w:p>
    <w:p w14:paraId="07DCFA84"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lastRenderedPageBreak/>
        <w:t xml:space="preserve">We have confirmed that our excessive return costs are due to concentrated failures in specific regions, product categories, and fulfillment methods. By focusing on Return Rate (for severity) and Total Returns (for volume), we can transition from simply managing returns to proactively protecting our profit margins. </w:t>
      </w:r>
    </w:p>
    <w:p w14:paraId="43835C7D"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 xml:space="preserve">Our Strategic Shift: </w:t>
      </w:r>
    </w:p>
    <w:p w14:paraId="21800CA4"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 xml:space="preserve">Targeted Intervention: Stop treating returns as a single problem; apply unique solutions for the West Region's operational issues, the Machines category's quality issues, and the high-risk customer behavior. </w:t>
      </w:r>
    </w:p>
    <w:p w14:paraId="4871B244"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 xml:space="preserve">Benchmarking: Standardize all fulfillment processes using the highly efficient performance of the Central </w:t>
      </w:r>
      <w:proofErr w:type="spellStart"/>
      <w:r w:rsidRPr="00BB422C">
        <w:rPr>
          <w:rFonts w:ascii="Calibri" w:hAnsi="Calibri" w:cs="Calibri"/>
          <w:color w:val="000000"/>
        </w:rPr>
        <w:t>Regionand</w:t>
      </w:r>
      <w:proofErr w:type="spellEnd"/>
      <w:r w:rsidRPr="00BB422C">
        <w:rPr>
          <w:rFonts w:ascii="Calibri" w:hAnsi="Calibri" w:cs="Calibri"/>
          <w:color w:val="000000"/>
        </w:rPr>
        <w:t xml:space="preserve"> the </w:t>
      </w:r>
      <w:proofErr w:type="gramStart"/>
      <w:r w:rsidRPr="00BB422C">
        <w:rPr>
          <w:rFonts w:ascii="Calibri" w:hAnsi="Calibri" w:cs="Calibri"/>
          <w:color w:val="000000"/>
        </w:rPr>
        <w:t>Second Class</w:t>
      </w:r>
      <w:proofErr w:type="gramEnd"/>
      <w:r w:rsidRPr="00BB422C">
        <w:rPr>
          <w:rFonts w:ascii="Calibri" w:hAnsi="Calibri" w:cs="Calibri"/>
          <w:color w:val="000000"/>
        </w:rPr>
        <w:t xml:space="preserve"> shipping mode (our lowest rate at 0.468). </w:t>
      </w:r>
    </w:p>
    <w:p w14:paraId="4CD0A781"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 xml:space="preserve">Measurable Impact: The recommended actions below target the largest leaks, promising immediate stabilization and a clear path toward achieving a company-wide return rate below 0.5%. </w:t>
      </w:r>
    </w:p>
    <w:p w14:paraId="7BB6E0AB" w14:textId="77777777" w:rsidR="00BB422C" w:rsidRPr="00BB422C" w:rsidRDefault="00BB422C" w:rsidP="00BB422C">
      <w:pPr>
        <w:pStyle w:val="NormalWeb"/>
        <w:spacing w:before="0" w:beforeAutospacing="0" w:after="0" w:afterAutospacing="0"/>
        <w:rPr>
          <w:rFonts w:ascii="Calibri" w:hAnsi="Calibri" w:cs="Calibri"/>
          <w:color w:val="555555"/>
        </w:rPr>
      </w:pPr>
    </w:p>
    <w:p w14:paraId="31D5F409" w14:textId="77777777" w:rsidR="00BB422C" w:rsidRPr="00BB422C" w:rsidRDefault="00BB422C" w:rsidP="00BB422C">
      <w:pPr>
        <w:pStyle w:val="NormalWeb"/>
        <w:spacing w:before="0" w:beforeAutospacing="0" w:after="0" w:afterAutospacing="0"/>
        <w:rPr>
          <w:rFonts w:ascii="Calibri" w:hAnsi="Calibri" w:cs="Calibri"/>
          <w:sz w:val="28"/>
          <w:szCs w:val="28"/>
        </w:rPr>
      </w:pPr>
      <w:r w:rsidRPr="00BB422C">
        <w:rPr>
          <w:rFonts w:ascii="Calibri" w:hAnsi="Calibri" w:cs="Calibri"/>
          <w:color w:val="000000"/>
          <w:sz w:val="28"/>
          <w:szCs w:val="28"/>
        </w:rPr>
        <w:t xml:space="preserve">- Actionable Takeaways: </w:t>
      </w:r>
    </w:p>
    <w:p w14:paraId="77FFD71B"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 xml:space="preserve">1) </w:t>
      </w:r>
      <w:r w:rsidRPr="00BB422C">
        <w:rPr>
          <w:rFonts w:ascii="Calibri" w:hAnsi="Calibri" w:cs="Calibri"/>
          <w:color w:val="000000"/>
          <w:u w:val="single"/>
        </w:rPr>
        <w:t>Operations and Logistics (Regional and Shipping failure):</w:t>
      </w:r>
    </w:p>
    <w:p w14:paraId="2CEC1ED8"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A. Audit West DC: Immediately launch an audit of the Western distribution center to fix the 1.181 return rate and address the Utah (2.077) failure outlier. </w:t>
      </w:r>
    </w:p>
    <w:p w14:paraId="79681E01"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B. Suspend Same Day: Immediately suspend the Same Day shipping option for fragile goods (Technology and Office supplies category) in the West Region. </w:t>
      </w:r>
    </w:p>
    <w:p w14:paraId="2A540EE4"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C. Benchmark Fulfillment: Document and scale the Central Region's logistics process (rate 0.243) to all other regions.</w:t>
      </w:r>
    </w:p>
    <w:p w14:paraId="75CC047C" w14:textId="77777777" w:rsidR="00BB422C" w:rsidRPr="00BB422C" w:rsidRDefault="00BB422C" w:rsidP="00BB422C">
      <w:pPr>
        <w:pStyle w:val="NormalWeb"/>
        <w:spacing w:before="0" w:beforeAutospacing="0" w:after="0" w:afterAutospacing="0"/>
        <w:rPr>
          <w:rFonts w:ascii="Calibri" w:hAnsi="Calibri" w:cs="Calibri"/>
          <w:color w:val="555555"/>
        </w:rPr>
      </w:pPr>
    </w:p>
    <w:p w14:paraId="2ED50A13"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 xml:space="preserve">2) </w:t>
      </w:r>
      <w:r w:rsidRPr="00BB422C">
        <w:rPr>
          <w:rFonts w:ascii="Calibri" w:hAnsi="Calibri" w:cs="Calibri"/>
          <w:color w:val="000000"/>
          <w:u w:val="single"/>
        </w:rPr>
        <w:t xml:space="preserve">Product and Quality Assurance (Product Quality &amp; </w:t>
      </w:r>
      <w:proofErr w:type="gramStart"/>
      <w:r w:rsidRPr="00BB422C">
        <w:rPr>
          <w:rFonts w:ascii="Calibri" w:hAnsi="Calibri" w:cs="Calibri"/>
          <w:color w:val="000000"/>
          <w:u w:val="single"/>
        </w:rPr>
        <w:t>High Volume</w:t>
      </w:r>
      <w:proofErr w:type="gramEnd"/>
      <w:r w:rsidRPr="00BB422C">
        <w:rPr>
          <w:rFonts w:ascii="Calibri" w:hAnsi="Calibri" w:cs="Calibri"/>
          <w:color w:val="000000"/>
          <w:u w:val="single"/>
        </w:rPr>
        <w:t xml:space="preserve"> Leakage)</w:t>
      </w:r>
      <w:r w:rsidRPr="00BB422C">
        <w:rPr>
          <w:rFonts w:ascii="Calibri" w:hAnsi="Calibri" w:cs="Calibri"/>
          <w:color w:val="000000"/>
        </w:rPr>
        <w:t>:</w:t>
      </w:r>
    </w:p>
    <w:p w14:paraId="3DF04CA6"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A. Audit Machines: Launch an urgent cross-functional audit on the Machines sub-category (rate 49.1%) to fix quality or technical documentation.</w:t>
      </w:r>
    </w:p>
    <w:p w14:paraId="46B95CAA"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B. Reduce Volume: Improve packaging and online descriptions for high-sales, high-return volume items like Chairs and Phones to reduce customer expectation mismatch.</w:t>
      </w:r>
    </w:p>
    <w:p w14:paraId="5024AFDC" w14:textId="77777777" w:rsidR="00BB422C" w:rsidRPr="00BB422C" w:rsidRDefault="00BB422C" w:rsidP="00BB422C">
      <w:pPr>
        <w:pStyle w:val="NormalWeb"/>
        <w:spacing w:before="0" w:beforeAutospacing="0" w:after="0" w:afterAutospacing="0"/>
        <w:rPr>
          <w:rFonts w:ascii="Calibri" w:hAnsi="Calibri" w:cs="Calibri"/>
          <w:color w:val="555555"/>
        </w:rPr>
      </w:pPr>
    </w:p>
    <w:p w14:paraId="2A7B7D6A"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3) Policy and Customer Service (Behavioral &amp; Policy Gaps):</w:t>
      </w:r>
    </w:p>
    <w:p w14:paraId="5E8713F6"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A. Implement Tiered Policy: Formalize a tiered return policy for repeat offenders to manage behavioral risk. </w:t>
      </w:r>
    </w:p>
    <w:p w14:paraId="7F15B701"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B. Flag High-Risk Customers: Immediately flag the top 15 highest returners (like Seth Vernon) for review and targeted service intervention.</w:t>
      </w:r>
    </w:p>
    <w:p w14:paraId="7F1A9E1E" w14:textId="77777777" w:rsidR="00BB422C" w:rsidRPr="00BB422C" w:rsidRDefault="00BB422C" w:rsidP="00BB422C">
      <w:pPr>
        <w:pStyle w:val="NormalWeb"/>
        <w:spacing w:before="0" w:beforeAutospacing="0" w:after="0" w:afterAutospacing="0"/>
        <w:rPr>
          <w:rFonts w:ascii="Calibri" w:hAnsi="Calibri" w:cs="Calibri"/>
          <w:color w:val="555555"/>
        </w:rPr>
      </w:pPr>
    </w:p>
    <w:p w14:paraId="3B30CF5F" w14:textId="77777777" w:rsidR="00BB422C" w:rsidRPr="00BB422C" w:rsidRDefault="00BB422C" w:rsidP="00BB422C">
      <w:pPr>
        <w:pStyle w:val="NormalWeb"/>
        <w:spacing w:before="0" w:beforeAutospacing="0" w:after="0" w:afterAutospacing="0"/>
        <w:rPr>
          <w:rFonts w:ascii="Calibri" w:hAnsi="Calibri" w:cs="Calibri"/>
          <w:sz w:val="28"/>
          <w:szCs w:val="28"/>
        </w:rPr>
      </w:pPr>
      <w:r w:rsidRPr="00BB422C">
        <w:rPr>
          <w:rFonts w:ascii="Calibri" w:hAnsi="Calibri" w:cs="Calibri"/>
          <w:color w:val="000000"/>
          <w:sz w:val="28"/>
          <w:szCs w:val="28"/>
        </w:rPr>
        <w:t xml:space="preserve">- Next Steps: Integrating Diagnostics into Daily Operations </w:t>
      </w:r>
    </w:p>
    <w:p w14:paraId="5A904DB2"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 xml:space="preserve">1) Dashboard Deployment: Launch the Returns Diagnostic Dashboard on the shared server immediately and schedule monthly data refreshes. </w:t>
      </w:r>
    </w:p>
    <w:p w14:paraId="6D018BDD" w14:textId="77777777"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 xml:space="preserve">2) Training &amp; Accountability: Train all regional managers and category directors on using the dashboard to track their specific return rate metrics (e.g., West Region must target return rate under 1.181 rate). </w:t>
      </w:r>
    </w:p>
    <w:p w14:paraId="7042DBB2" w14:textId="6F5F9432" w:rsidR="00BB422C" w:rsidRPr="00BB422C" w:rsidRDefault="00BB422C" w:rsidP="00BB422C">
      <w:pPr>
        <w:pStyle w:val="NormalWeb"/>
        <w:spacing w:before="0" w:beforeAutospacing="0" w:after="0" w:afterAutospacing="0"/>
        <w:rPr>
          <w:rFonts w:ascii="Calibri" w:hAnsi="Calibri" w:cs="Calibri"/>
        </w:rPr>
      </w:pPr>
      <w:r w:rsidRPr="00BB422C">
        <w:rPr>
          <w:rFonts w:ascii="Calibri" w:hAnsi="Calibri" w:cs="Calibri"/>
          <w:color w:val="000000"/>
        </w:rPr>
        <w:t>3) Quarterly Review: Implement a mandatory Quarterly Returns Review meeting where performance is measured against the 0.450 benchmark set by the Central Region.</w:t>
      </w:r>
    </w:p>
    <w:p w14:paraId="49F4F6B0" w14:textId="77777777" w:rsidR="00BB422C" w:rsidRPr="00BB422C" w:rsidRDefault="00BB422C">
      <w:pPr>
        <w:pStyle w:val="NormalWeb"/>
        <w:spacing w:before="0" w:beforeAutospacing="0" w:after="0" w:afterAutospacing="0"/>
        <w:rPr>
          <w:rFonts w:ascii="Calibri" w:hAnsi="Calibri" w:cs="Calibri"/>
        </w:rPr>
      </w:pPr>
    </w:p>
    <w:sectPr w:rsidR="00BB422C" w:rsidRPr="00BB422C" w:rsidSect="003E4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ableau Book">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7FFD"/>
    <w:multiLevelType w:val="hybridMultilevel"/>
    <w:tmpl w:val="4C0AA3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D02E2B"/>
    <w:multiLevelType w:val="hybridMultilevel"/>
    <w:tmpl w:val="5E22A3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3163A1"/>
    <w:multiLevelType w:val="multilevel"/>
    <w:tmpl w:val="B7CA5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7A6D1B"/>
    <w:multiLevelType w:val="hybridMultilevel"/>
    <w:tmpl w:val="D28A7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244182"/>
    <w:multiLevelType w:val="multilevel"/>
    <w:tmpl w:val="989A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953158">
    <w:abstractNumId w:val="1"/>
  </w:num>
  <w:num w:numId="2" w16cid:durableId="99617313">
    <w:abstractNumId w:val="3"/>
  </w:num>
  <w:num w:numId="3" w16cid:durableId="1220281694">
    <w:abstractNumId w:val="0"/>
  </w:num>
  <w:num w:numId="4" w16cid:durableId="1299531909">
    <w:abstractNumId w:val="4"/>
  </w:num>
  <w:num w:numId="5" w16cid:durableId="738794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B3F"/>
    <w:rsid w:val="0000458F"/>
    <w:rsid w:val="00025C1E"/>
    <w:rsid w:val="00251909"/>
    <w:rsid w:val="003E4912"/>
    <w:rsid w:val="00482B3F"/>
    <w:rsid w:val="004A205F"/>
    <w:rsid w:val="005818C4"/>
    <w:rsid w:val="006217AA"/>
    <w:rsid w:val="006D77C8"/>
    <w:rsid w:val="00880DAE"/>
    <w:rsid w:val="0099484D"/>
    <w:rsid w:val="00A826A7"/>
    <w:rsid w:val="00BB422C"/>
    <w:rsid w:val="00E1733B"/>
    <w:rsid w:val="00EF6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567AB1"/>
  <w15:chartTrackingRefBased/>
  <w15:docId w15:val="{FF232329-EB28-8B41-857A-85B38AC63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B3F"/>
    <w:rPr>
      <w:rFonts w:eastAsiaTheme="majorEastAsia" w:cstheme="majorBidi"/>
      <w:color w:val="272727" w:themeColor="text1" w:themeTint="D8"/>
    </w:rPr>
  </w:style>
  <w:style w:type="paragraph" w:styleId="Title">
    <w:name w:val="Title"/>
    <w:basedOn w:val="Normal"/>
    <w:next w:val="Normal"/>
    <w:link w:val="TitleChar"/>
    <w:uiPriority w:val="10"/>
    <w:qFormat/>
    <w:rsid w:val="00482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B3F"/>
    <w:pPr>
      <w:spacing w:before="160"/>
      <w:jc w:val="center"/>
    </w:pPr>
    <w:rPr>
      <w:i/>
      <w:iCs/>
      <w:color w:val="404040" w:themeColor="text1" w:themeTint="BF"/>
    </w:rPr>
  </w:style>
  <w:style w:type="character" w:customStyle="1" w:styleId="QuoteChar">
    <w:name w:val="Quote Char"/>
    <w:basedOn w:val="DefaultParagraphFont"/>
    <w:link w:val="Quote"/>
    <w:uiPriority w:val="29"/>
    <w:rsid w:val="00482B3F"/>
    <w:rPr>
      <w:i/>
      <w:iCs/>
      <w:color w:val="404040" w:themeColor="text1" w:themeTint="BF"/>
    </w:rPr>
  </w:style>
  <w:style w:type="paragraph" w:styleId="ListParagraph">
    <w:name w:val="List Paragraph"/>
    <w:basedOn w:val="Normal"/>
    <w:uiPriority w:val="34"/>
    <w:qFormat/>
    <w:rsid w:val="00482B3F"/>
    <w:pPr>
      <w:ind w:left="720"/>
      <w:contextualSpacing/>
    </w:pPr>
  </w:style>
  <w:style w:type="character" w:styleId="IntenseEmphasis">
    <w:name w:val="Intense Emphasis"/>
    <w:basedOn w:val="DefaultParagraphFont"/>
    <w:uiPriority w:val="21"/>
    <w:qFormat/>
    <w:rsid w:val="00482B3F"/>
    <w:rPr>
      <w:i/>
      <w:iCs/>
      <w:color w:val="0F4761" w:themeColor="accent1" w:themeShade="BF"/>
    </w:rPr>
  </w:style>
  <w:style w:type="paragraph" w:styleId="IntenseQuote">
    <w:name w:val="Intense Quote"/>
    <w:basedOn w:val="Normal"/>
    <w:next w:val="Normal"/>
    <w:link w:val="IntenseQuoteChar"/>
    <w:uiPriority w:val="30"/>
    <w:qFormat/>
    <w:rsid w:val="00482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B3F"/>
    <w:rPr>
      <w:i/>
      <w:iCs/>
      <w:color w:val="0F4761" w:themeColor="accent1" w:themeShade="BF"/>
    </w:rPr>
  </w:style>
  <w:style w:type="character" w:styleId="IntenseReference">
    <w:name w:val="Intense Reference"/>
    <w:basedOn w:val="DefaultParagraphFont"/>
    <w:uiPriority w:val="32"/>
    <w:qFormat/>
    <w:rsid w:val="00482B3F"/>
    <w:rPr>
      <w:b/>
      <w:bCs/>
      <w:smallCaps/>
      <w:color w:val="0F4761" w:themeColor="accent1" w:themeShade="BF"/>
      <w:spacing w:val="5"/>
    </w:rPr>
  </w:style>
  <w:style w:type="paragraph" w:styleId="NormalWeb">
    <w:name w:val="Normal (Web)"/>
    <w:basedOn w:val="Normal"/>
    <w:uiPriority w:val="99"/>
    <w:unhideWhenUsed/>
    <w:rsid w:val="005818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80DAE"/>
    <w:rPr>
      <w:color w:val="467886" w:themeColor="hyperlink"/>
      <w:u w:val="single"/>
    </w:rPr>
  </w:style>
  <w:style w:type="character" w:styleId="UnresolvedMention">
    <w:name w:val="Unresolved Mention"/>
    <w:basedOn w:val="DefaultParagraphFont"/>
    <w:uiPriority w:val="99"/>
    <w:semiHidden/>
    <w:unhideWhenUsed/>
    <w:rsid w:val="00880D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lic.tableau.com/views/Sprint5Project_17598007752040/Dashboard1?:language=en-US&amp;:sid=&amp;:redirect=auth&amp;:display_count=n&amp;:origin=viz_shar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2957</Words>
  <Characters>16860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Tandel</dc:creator>
  <cp:keywords/>
  <dc:description/>
  <cp:lastModifiedBy>Manish Tandel</cp:lastModifiedBy>
  <cp:revision>7</cp:revision>
  <dcterms:created xsi:type="dcterms:W3CDTF">2025-10-08T04:15:00Z</dcterms:created>
  <dcterms:modified xsi:type="dcterms:W3CDTF">2025-10-09T14:17:00Z</dcterms:modified>
</cp:coreProperties>
</file>