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KHẢO SÁT SAU TRIỂN KHAI (Post-Implementation Survey)</w:t>
      </w:r>
    </w:p>
    <w:p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  |  Người trả lời: Đại diện key user / OPS ABC Wear  |  Vai trò: Key user / OPS  |  Ngày: 2026-10-17</w:t>
      </w:r>
    </w:p>
    <w:p>
      <w:r>
        <w:rPr>
          <w:rFonts w:ascii="Times New Roman" w:hAnsi="Times New Roman" w:eastAsia="Times New Roman"/>
          <w:b w:val="0"/>
          <w:sz w:val="28"/>
        </w:rPr>
        <w:t>Thang Likert 1–5 (1=Hoàn toàn không đồng ý … 5=Hoàn toàn đồng ý). Không bịa điểm.</w:t>
      </w:r>
    </w:p>
    <w:p>
      <w:r>
        <w:rPr>
          <w:rFonts w:ascii="Times New Roman" w:hAnsi="Times New Roman" w:eastAsia="Times New Roman"/>
          <w:b/>
          <w:sz w:val="28"/>
        </w:rPr>
        <w:t>1. Câu hỏi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Câu hỏi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Điểm (1–5)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Hệ thống đáp ứng nhu cầu công việc hàng ngày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Hiệu năng / ổn định đạt kỳ vọng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Đào tạo và tài liệu hỗ trợ đủ dùng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Hỗ trợ sau go-live kịp thời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Tôi sẵn sàng giới thiệu giải pháp cho đơn vị khác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2. Cải thiện ngay</w:t>
      </w:r>
    </w:p>
    <w:p>
      <w:r>
        <w:rPr>
          <w:rFonts w:ascii="Times New Roman" w:hAnsi="Times New Roman" w:eastAsia="Times New Roman"/>
          <w:b w:val="0"/>
          <w:sz w:val="28"/>
        </w:rPr>
        <w:t>Duy trì hypercare/handover OPS; theo dõi bảo hành 12 tháng.</w:t>
      </w:r>
    </w:p>
    <w:p>
      <w:r>
        <w:rPr>
          <w:rFonts w:ascii="Times New Roman" w:hAnsi="Times New Roman" w:eastAsia="Times New Roman"/>
          <w:b/>
          <w:sz w:val="28"/>
        </w:rPr>
        <w:t>3. Best practice nên giữ</w:t>
      </w:r>
    </w:p>
    <w:p>
      <w:r>
        <w:rPr>
          <w:rFonts w:ascii="Times New Roman" w:hAnsi="Times New Roman" w:eastAsia="Times New Roman"/>
          <w:b w:val="0"/>
          <w:sz w:val="28"/>
        </w:rPr>
        <w:t>Prototype tích hợp sớm; chốt SRS có chữ ký; tách đóng dự án vs bảo hành.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