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9CFCA2">
      <w:pPr>
        <w:spacing w:after="60"/>
        <w:jc w:val="center"/>
        <w:rPr>
          <w:color w:val="000000" w:themeColor="text1"/>
          <w14:textFill>
            <w14:solidFill>
              <w14:schemeClr w14:val="tx1"/>
            </w14:solidFill>
          </w14:textFill>
        </w:rPr>
      </w:pPr>
      <w:r>
        <w:rPr>
          <w:b/>
          <w:bCs/>
          <w:color w:val="000000" w:themeColor="text1"/>
          <w:sz w:val="30"/>
          <w:szCs w:val="30"/>
          <w14:textFill>
            <w14:solidFill>
              <w14:schemeClr w14:val="tx1"/>
            </w14:solidFill>
          </w14:textFill>
        </w:rPr>
        <w:t>RÀ SOÁT SƠ ĐỒ TUẦN TỰ — LUỒNG THANH TOÁN RIKKEIBANK</w:t>
      </w:r>
    </w:p>
    <w:p w14:paraId="51974B71">
      <w:pPr>
        <w:spacing w:after="300"/>
        <w:jc w:val="center"/>
        <w:rPr>
          <w:color w:val="000000" w:themeColor="text1"/>
          <w14:textFill>
            <w14:solidFill>
              <w14:schemeClr w14:val="tx1"/>
            </w14:solidFill>
          </w14:textFill>
        </w:rPr>
      </w:pPr>
      <w:r>
        <w:rPr>
          <w:i/>
          <w:iCs/>
          <w:color w:val="000000" w:themeColor="text1"/>
          <w:sz w:val="22"/>
          <w:szCs w:val="22"/>
          <w14:textFill>
            <w14:solidFill>
              <w14:schemeClr w14:val="tx1"/>
            </w14:solidFill>
          </w14:textFill>
        </w:rPr>
        <w:t>Bài tập: Phát hiện lỗi chọn sai loại thông điệp trong sơ đồ tuần tự (Sequence Diagram)</w:t>
      </w:r>
    </w:p>
    <w:p w14:paraId="0382D0B9">
      <w:pPr>
        <w:pStyle w:val="2"/>
        <w:spacing w:before="240" w:after="120"/>
        <w:rPr>
          <w:color w:val="000000" w:themeColor="text1"/>
          <w14:textFill>
            <w14:solidFill>
              <w14:schemeClr w14:val="tx1"/>
            </w14:solidFill>
          </w14:textFill>
        </w:rPr>
      </w:pPr>
      <w:r>
        <w:rPr>
          <w:b/>
          <w:bCs/>
          <w:color w:val="000000" w:themeColor="text1"/>
          <w14:textFill>
            <w14:solidFill>
              <w14:schemeClr w14:val="tx1"/>
            </w14:solidFill>
          </w14:textFill>
        </w:rPr>
        <w:t>1. Bối cảnh</w:t>
      </w:r>
    </w:p>
    <w:p w14:paraId="172BD82A">
      <w:pPr>
        <w:spacing w:after="120"/>
        <w:rPr>
          <w:color w:val="000000" w:themeColor="text1"/>
          <w14:textFill>
            <w14:solidFill>
              <w14:schemeClr w14:val="tx1"/>
            </w14:solidFill>
          </w14:textFill>
        </w:rPr>
      </w:pPr>
      <w:r>
        <w:rPr>
          <w:color w:val="000000" w:themeColor="text1"/>
          <w14:textFill>
            <w14:solidFill>
              <w14:schemeClr w14:val="tx1"/>
            </w14:solidFill>
          </w14:textFill>
        </w:rPr>
        <w:t>Hệ thống RikkeiBank đang phát triển cổng thanh toán trực tuyến. Một thực tập sinh đã vẽ sơ đồ tuần tự cho luồng thanh toán nhưng chọn sai loại thông điệp ở 2 vị trí, làm sai logic thiết kế; trong đó có một lỗi có thể khiến luồng xử lý bị chờ khi dịch vụ email phản hồi chậm. Với vai trò Trưởng nhóm thiết kế, tài liệu này rà soát lại bản vẽ trước khi duyệt cho Dev triển khai.</w:t>
      </w:r>
    </w:p>
    <w:p w14:paraId="3DD81638">
      <w:pPr>
        <w:pStyle w:val="2"/>
        <w:spacing w:before="240" w:after="120"/>
        <w:rPr>
          <w:color w:val="000000" w:themeColor="text1"/>
          <w14:textFill>
            <w14:solidFill>
              <w14:schemeClr w14:val="tx1"/>
            </w14:solidFill>
          </w14:textFill>
        </w:rPr>
      </w:pPr>
      <w:r>
        <w:rPr>
          <w:b/>
          <w:bCs/>
          <w:color w:val="000000" w:themeColor="text1"/>
          <w14:textFill>
            <w14:solidFill>
              <w14:schemeClr w14:val="tx1"/>
            </w14:solidFill>
          </w14:textFill>
        </w:rPr>
        <w:t>2. Bốn đối tượng (Lifeline) trong sơ đồ</w:t>
      </w:r>
    </w:p>
    <w:p w14:paraId="1601F3FF">
      <w:pPr>
        <w:pStyle w:val="16"/>
        <w:numPr>
          <w:ilvl w:val="0"/>
          <w:numId w:val="1"/>
        </w:numPr>
        <w:spacing w:after="80"/>
        <w:rPr>
          <w:color w:val="000000" w:themeColor="text1"/>
          <w14:textFill>
            <w14:solidFill>
              <w14:schemeClr w14:val="tx1"/>
            </w14:solidFill>
          </w14:textFill>
        </w:rPr>
      </w:pPr>
      <w:r>
        <w:rPr>
          <w:color w:val="000000" w:themeColor="text1"/>
          <w14:textFill>
            <w14:solidFill>
              <w14:schemeClr w14:val="tx1"/>
            </w14:solidFill>
          </w14:textFill>
        </w:rPr>
        <w:t>Khách hàng — người khởi tạo thanh toán.</w:t>
      </w:r>
    </w:p>
    <w:p w14:paraId="053E3FF7">
      <w:pPr>
        <w:pStyle w:val="16"/>
        <w:numPr>
          <w:ilvl w:val="0"/>
          <w:numId w:val="1"/>
        </w:numPr>
        <w:spacing w:after="80"/>
        <w:rPr>
          <w:color w:val="000000" w:themeColor="text1"/>
          <w14:textFill>
            <w14:solidFill>
              <w14:schemeClr w14:val="tx1"/>
            </w14:solidFill>
          </w14:textFill>
        </w:rPr>
      </w:pPr>
      <w:r>
        <w:rPr>
          <w:color w:val="000000" w:themeColor="text1"/>
          <w14:textFill>
            <w14:solidFill>
              <w14:schemeClr w14:val="tx1"/>
            </w14:solidFill>
          </w14:textFill>
        </w:rPr>
        <w:t>Cổng Thanh Toán (Payment Gateway) — điều phối luồng xử lý.</w:t>
      </w:r>
    </w:p>
    <w:p w14:paraId="0C3B9235">
      <w:pPr>
        <w:pStyle w:val="16"/>
        <w:numPr>
          <w:ilvl w:val="0"/>
          <w:numId w:val="1"/>
        </w:numPr>
        <w:spacing w:after="80"/>
        <w:rPr>
          <w:color w:val="000000" w:themeColor="text1"/>
          <w14:textFill>
            <w14:solidFill>
              <w14:schemeClr w14:val="tx1"/>
            </w14:solidFill>
          </w14:textFill>
        </w:rPr>
      </w:pPr>
      <w:r>
        <w:rPr>
          <w:color w:val="000000" w:themeColor="text1"/>
          <w14:textFill>
            <w14:solidFill>
              <w14:schemeClr w14:val="tx1"/>
            </w14:solidFill>
          </w14:textFill>
        </w:rPr>
        <w:t>Ngân Hàng Lõi (Core Banking) — xử lý giao dịch thật.</w:t>
      </w:r>
    </w:p>
    <w:p w14:paraId="4A123BD0">
      <w:pPr>
        <w:pStyle w:val="16"/>
        <w:numPr>
          <w:ilvl w:val="0"/>
          <w:numId w:val="1"/>
        </w:numPr>
        <w:spacing w:after="80"/>
        <w:rPr>
          <w:color w:val="000000" w:themeColor="text1"/>
          <w14:textFill>
            <w14:solidFill>
              <w14:schemeClr w14:val="tx1"/>
            </w14:solidFill>
          </w14:textFill>
        </w:rPr>
      </w:pPr>
      <w:r>
        <w:rPr>
          <w:color w:val="000000" w:themeColor="text1"/>
          <w14:textFill>
            <w14:solidFill>
              <w14:schemeClr w14:val="tx1"/>
            </w14:solidFill>
          </w14:textFill>
        </w:rPr>
        <w:t>EmailServer — gửi email hoá đơn cho khách hàng.</w:t>
      </w:r>
    </w:p>
    <w:p w14:paraId="382F0DF7">
      <w:pPr>
        <w:pStyle w:val="2"/>
        <w:spacing w:before="240" w:after="120"/>
        <w:rPr>
          <w:color w:val="000000" w:themeColor="text1"/>
          <w14:textFill>
            <w14:solidFill>
              <w14:schemeClr w14:val="tx1"/>
            </w14:solidFill>
          </w14:textFill>
        </w:rPr>
      </w:pPr>
      <w:r>
        <w:rPr>
          <w:b/>
          <w:bCs/>
          <w:color w:val="000000" w:themeColor="text1"/>
          <w14:textFill>
            <w14:solidFill>
              <w14:schemeClr w14:val="tx1"/>
            </w14:solidFill>
          </w14:textFill>
        </w:rPr>
        <w:t>3. Hai lỗi chọn sai loại thông điệp</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350"/>
        <w:gridCol w:w="2900"/>
        <w:gridCol w:w="2900"/>
      </w:tblGrid>
      <w:tr w14:paraId="05545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shd w:val="clear" w:color="auto" w:fill="D9D9D9"/>
          </w:tcPr>
          <w:p w14:paraId="5B909E1B">
            <w:pPr>
              <w:rPr>
                <w:color w:val="000000" w:themeColor="text1"/>
                <w14:textFill>
                  <w14:solidFill>
                    <w14:schemeClr w14:val="tx1"/>
                  </w14:solidFill>
                </w14:textFill>
              </w:rPr>
            </w:pPr>
            <w:r>
              <w:rPr>
                <w:b/>
                <w:bCs/>
                <w:color w:val="000000" w:themeColor="text1"/>
                <w14:textFill>
                  <w14:solidFill>
                    <w14:schemeClr w14:val="tx1"/>
                  </w14:solidFill>
                </w14:textFill>
              </w:rPr>
              <w:t>Bước</w:t>
            </w:r>
          </w:p>
        </w:tc>
        <w:tc>
          <w:tcPr>
            <w:tcW w:w="2350" w:type="dxa"/>
            <w:shd w:val="clear" w:color="auto" w:fill="D9D9D9"/>
          </w:tcPr>
          <w:p w14:paraId="27772F36">
            <w:pPr>
              <w:rPr>
                <w:color w:val="000000" w:themeColor="text1"/>
                <w14:textFill>
                  <w14:solidFill>
                    <w14:schemeClr w14:val="tx1"/>
                  </w14:solidFill>
                </w14:textFill>
              </w:rPr>
            </w:pPr>
            <w:r>
              <w:rPr>
                <w:b/>
                <w:bCs/>
                <w:color w:val="000000" w:themeColor="text1"/>
                <w14:textFill>
                  <w14:solidFill>
                    <w14:schemeClr w14:val="tx1"/>
                  </w14:solidFill>
                </w14:textFill>
              </w:rPr>
              <w:t>Lỗi thực tập sinh đã vẽ</w:t>
            </w:r>
          </w:p>
        </w:tc>
        <w:tc>
          <w:tcPr>
            <w:tcW w:w="2900" w:type="dxa"/>
            <w:shd w:val="clear" w:color="auto" w:fill="D9D9D9"/>
          </w:tcPr>
          <w:p w14:paraId="4E4F2DE1">
            <w:pPr>
              <w:rPr>
                <w:color w:val="000000" w:themeColor="text1"/>
                <w14:textFill>
                  <w14:solidFill>
                    <w14:schemeClr w14:val="tx1"/>
                  </w14:solidFill>
                </w14:textFill>
              </w:rPr>
            </w:pPr>
            <w:r>
              <w:rPr>
                <w:b/>
                <w:bCs/>
                <w:color w:val="000000" w:themeColor="text1"/>
                <w14:textFill>
                  <w14:solidFill>
                    <w14:schemeClr w14:val="tx1"/>
                  </w14:solidFill>
                </w14:textFill>
              </w:rPr>
              <w:t>Vì sao sai / hậu quả nghiệp vụ</w:t>
            </w:r>
          </w:p>
        </w:tc>
        <w:tc>
          <w:tcPr>
            <w:tcW w:w="2900" w:type="dxa"/>
            <w:shd w:val="clear" w:color="auto" w:fill="D9D9D9"/>
          </w:tcPr>
          <w:p w14:paraId="2A1AECBF">
            <w:pPr>
              <w:rPr>
                <w:color w:val="000000" w:themeColor="text1"/>
                <w14:textFill>
                  <w14:solidFill>
                    <w14:schemeClr w14:val="tx1"/>
                  </w14:solidFill>
                </w14:textFill>
              </w:rPr>
            </w:pPr>
            <w:r>
              <w:rPr>
                <w:b/>
                <w:bCs/>
                <w:color w:val="000000" w:themeColor="text1"/>
                <w14:textFill>
                  <w14:solidFill>
                    <w14:schemeClr w14:val="tx1"/>
                  </w14:solidFill>
                </w14:textFill>
              </w:rPr>
              <w:t>Loại thông điệp đúng</w:t>
            </w:r>
          </w:p>
        </w:tc>
      </w:tr>
      <w:tr w14:paraId="202E3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1A510CF0">
            <w:pPr>
              <w:rPr>
                <w:color w:val="000000" w:themeColor="text1"/>
                <w14:textFill>
                  <w14:solidFill>
                    <w14:schemeClr w14:val="tx1"/>
                  </w14:solidFill>
                </w14:textFill>
              </w:rPr>
            </w:pPr>
            <w:r>
              <w:rPr>
                <w:b w:val="0"/>
                <w:bCs w:val="0"/>
                <w:color w:val="000000" w:themeColor="text1"/>
                <w14:textFill>
                  <w14:solidFill>
                    <w14:schemeClr w14:val="tx1"/>
                  </w14:solidFill>
                </w14:textFill>
              </w:rPr>
              <w:t>Bước 2</w:t>
            </w:r>
          </w:p>
        </w:tc>
        <w:tc>
          <w:tcPr>
            <w:tcW w:w="2350" w:type="dxa"/>
          </w:tcPr>
          <w:p w14:paraId="2201C43C">
            <w:pPr>
              <w:rPr>
                <w:color w:val="000000" w:themeColor="text1"/>
                <w14:textFill>
                  <w14:solidFill>
                    <w14:schemeClr w14:val="tx1"/>
                  </w14:solidFill>
                </w14:textFill>
              </w:rPr>
            </w:pPr>
            <w:r>
              <w:rPr>
                <w:b w:val="0"/>
                <w:bCs w:val="0"/>
                <w:color w:val="000000" w:themeColor="text1"/>
                <w14:textFill>
                  <w14:solidFill>
                    <w14:schemeClr w14:val="tx1"/>
                  </w14:solidFill>
                </w14:textFill>
              </w:rPr>
              <w:t>Vẽ việc "Cổng Thanh Toán tự kiểm tra định dạng thẻ" thành thông điệp Async gửi sang một Lifeline khác (dựng thêm một đối tượng không có trong kịch bản).</w:t>
            </w:r>
          </w:p>
        </w:tc>
        <w:tc>
          <w:tcPr>
            <w:tcW w:w="2900" w:type="dxa"/>
          </w:tcPr>
          <w:p w14:paraId="4E46754A">
            <w:pPr>
              <w:rPr>
                <w:color w:val="000000" w:themeColor="text1"/>
                <w14:textFill>
                  <w14:solidFill>
                    <w14:schemeClr w14:val="tx1"/>
                  </w14:solidFill>
                </w14:textFill>
              </w:rPr>
            </w:pPr>
            <w:r>
              <w:rPr>
                <w:b w:val="0"/>
                <w:bCs w:val="0"/>
                <w:color w:val="000000" w:themeColor="text1"/>
                <w14:textFill>
                  <w14:solidFill>
                    <w14:schemeClr w14:val="tx1"/>
                  </w14:solidFill>
                </w14:textFill>
              </w:rPr>
              <w:t>Đây là một xử lý nội bộ, Cổng Thanh Toán gọi lại chính nó chứ không giao việc cho một đối tượng/dịch vụ khác. Vẽ thành Async tới một Lifeline mới làm sai kiến trúc hệ thống: ngầm hiểu là có thêm một thành phần/service độc lập tham gia xử lý, trong khi thực tế không hề có lời gọi liên đối tượng nào ở bước này. Điều này khiến sơ đồ mô tả sai số lượng thành phần và luồng dữ liệu thực tế của hệ thống.</w:t>
            </w:r>
          </w:p>
        </w:tc>
        <w:tc>
          <w:tcPr>
            <w:tcW w:w="2900" w:type="dxa"/>
          </w:tcPr>
          <w:p w14:paraId="4C4A09BC">
            <w:pPr>
              <w:rPr>
                <w:color w:val="000000" w:themeColor="text1"/>
                <w14:textFill>
                  <w14:solidFill>
                    <w14:schemeClr w14:val="tx1"/>
                  </w14:solidFill>
                </w14:textFill>
              </w:rPr>
            </w:pPr>
            <w:r>
              <w:rPr>
                <w:b w:val="0"/>
                <w:bCs w:val="0"/>
                <w:color w:val="000000" w:themeColor="text1"/>
                <w14:textFill>
                  <w14:solidFill>
                    <w14:schemeClr w14:val="tx1"/>
                  </w14:solidFill>
                </w14:textFill>
              </w:rPr>
              <w:t>Self (thông điệp Tự gọi): mũi tên vòng cung quay lại chính Lifeline "Cổng Thanh Toán".</w:t>
            </w:r>
          </w:p>
        </w:tc>
      </w:tr>
      <w:tr w14:paraId="243E1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2F6B5B07">
            <w:pPr>
              <w:rPr>
                <w:color w:val="000000" w:themeColor="text1"/>
                <w14:textFill>
                  <w14:solidFill>
                    <w14:schemeClr w14:val="tx1"/>
                  </w14:solidFill>
                </w14:textFill>
              </w:rPr>
            </w:pPr>
            <w:r>
              <w:rPr>
                <w:b w:val="0"/>
                <w:bCs w:val="0"/>
                <w:color w:val="000000" w:themeColor="text1"/>
                <w14:textFill>
                  <w14:solidFill>
                    <w14:schemeClr w14:val="tx1"/>
                  </w14:solidFill>
                </w14:textFill>
              </w:rPr>
              <w:t>Bước 6</w:t>
            </w:r>
          </w:p>
        </w:tc>
        <w:tc>
          <w:tcPr>
            <w:tcW w:w="2350" w:type="dxa"/>
          </w:tcPr>
          <w:p w14:paraId="01114D30">
            <w:pPr>
              <w:rPr>
                <w:color w:val="000000" w:themeColor="text1"/>
                <w14:textFill>
                  <w14:solidFill>
                    <w14:schemeClr w14:val="tx1"/>
                  </w14:solidFill>
                </w14:textFill>
              </w:rPr>
            </w:pPr>
            <w:r>
              <w:rPr>
                <w:b w:val="0"/>
                <w:bCs w:val="0"/>
                <w:color w:val="000000" w:themeColor="text1"/>
                <w14:textFill>
                  <w14:solidFill>
                    <w14:schemeClr w14:val="tx1"/>
                  </w14:solidFill>
                </w14:textFill>
              </w:rPr>
              <w:t>Vẽ thông điệp sendReceiptEmail() sang EmailServer thành Sync (có mũi tên Return đi kèm ngay sau), trong khi yêu cầu nghiệp vụ là không chờ EmailServer phản hồi.</w:t>
            </w:r>
          </w:p>
        </w:tc>
        <w:tc>
          <w:tcPr>
            <w:tcW w:w="2900" w:type="dxa"/>
          </w:tcPr>
          <w:p w14:paraId="66FB0A91">
            <w:pPr>
              <w:rPr>
                <w:color w:val="000000" w:themeColor="text1"/>
                <w14:textFill>
                  <w14:solidFill>
                    <w14:schemeClr w14:val="tx1"/>
                  </w14:solidFill>
                </w14:textFill>
              </w:rPr>
            </w:pPr>
            <w:r>
              <w:rPr>
                <w:b w:val="0"/>
                <w:bCs w:val="0"/>
                <w:color w:val="000000" w:themeColor="text1"/>
                <w14:textFill>
                  <w14:solidFill>
                    <w14:schemeClr w14:val="tx1"/>
                  </w14:solidFill>
                </w14:textFill>
              </w:rPr>
              <w:t>Thông điệp Sync buộc Cổng Thanh Toán phải dừng lại và chờ EmailServer xử lý xong mới được đi tiếp (activation bar vẫn mở). Nếu dịch vụ email phản hồi chậm hoặc bị treo, toàn bộ luồng xử lý thanh toán của Cổng Thanh Toán sẽ bị chờ theo, ảnh hưởng trực tiếp đến trải nghiệm khách hàng dù giao dịch đã thành công. Đây là lỗi đúng như cảnh báo trong bối cảnh đề bài: "một lỗi có thể khiến luồng xử lý bị chờ khi dịch vụ email phản hồi chậm".</w:t>
            </w:r>
          </w:p>
        </w:tc>
        <w:tc>
          <w:tcPr>
            <w:tcW w:w="2900" w:type="dxa"/>
          </w:tcPr>
          <w:p w14:paraId="24E5AEDF">
            <w:pPr>
              <w:rPr>
                <w:color w:val="000000" w:themeColor="text1"/>
                <w14:textFill>
                  <w14:solidFill>
                    <w14:schemeClr w14:val="tx1"/>
                  </w14:solidFill>
                </w14:textFill>
              </w:rPr>
            </w:pPr>
            <w:r>
              <w:rPr>
                <w:b w:val="0"/>
                <w:bCs w:val="0"/>
                <w:color w:val="000000" w:themeColor="text1"/>
                <w14:textFill>
                  <w14:solidFill>
                    <w14:schemeClr w14:val="tx1"/>
                  </w14:solidFill>
                </w14:textFill>
              </w:rPr>
              <w:t>Async (thông điệp Bất đồng bộ): mũi tên nét liền, đầu hở, gửi xong đi tiếp ngay, không có mũi tên Return đóng activation bar.</w:t>
            </w:r>
          </w:p>
        </w:tc>
      </w:tr>
    </w:tbl>
    <w:p w14:paraId="117E6234">
      <w:pPr>
        <w:spacing w:before="200"/>
        <w:rPr>
          <w:color w:val="000000" w:themeColor="text1"/>
          <w14:textFill>
            <w14:solidFill>
              <w14:schemeClr w14:val="tx1"/>
            </w14:solidFill>
          </w14:textFill>
        </w:rPr>
      </w:pPr>
    </w:p>
    <w:p w14:paraId="45E16197">
      <w:pPr>
        <w:pStyle w:val="3"/>
        <w:spacing w:before="200" w:after="100"/>
        <w:rPr>
          <w:color w:val="000000" w:themeColor="text1"/>
          <w14:textFill>
            <w14:solidFill>
              <w14:schemeClr w14:val="tx1"/>
            </w14:solidFill>
          </w14:textFill>
        </w:rPr>
      </w:pPr>
      <w:r>
        <w:rPr>
          <w:b/>
          <w:bCs/>
          <w:color w:val="000000" w:themeColor="text1"/>
          <w14:textFill>
            <w14:solidFill>
              <w14:schemeClr w14:val="tx1"/>
            </w14:solidFill>
          </w14:textFill>
        </w:rPr>
        <w:t>Tóm tắt nguyên tắc chọn loại thông điệp</w:t>
      </w:r>
    </w:p>
    <w:p w14:paraId="5247A978">
      <w:pPr>
        <w:pStyle w:val="16"/>
        <w:numPr>
          <w:ilvl w:val="0"/>
          <w:numId w:val="1"/>
        </w:numPr>
        <w:spacing w:after="80"/>
        <w:rPr>
          <w:color w:val="000000" w:themeColor="text1"/>
          <w14:textFill>
            <w14:solidFill>
              <w14:schemeClr w14:val="tx1"/>
            </w14:solidFill>
          </w14:textFill>
        </w:rPr>
      </w:pPr>
      <w:r>
        <w:rPr>
          <w:color w:val="000000" w:themeColor="text1"/>
          <w14:textFill>
            <w14:solidFill>
              <w14:schemeClr w14:val="tx1"/>
            </w14:solidFill>
          </w14:textFill>
        </w:rPr>
        <w:t>Sync — dùng khi bên gọi phải dừng lại chờ kết quả rồi mới đi tiếp (ví dụ: gọi processPayment() và cần biết kết quả giao dịch ngay).</w:t>
      </w:r>
    </w:p>
    <w:p w14:paraId="6E7A9281">
      <w:pPr>
        <w:pStyle w:val="16"/>
        <w:numPr>
          <w:ilvl w:val="0"/>
          <w:numId w:val="1"/>
        </w:numPr>
        <w:spacing w:after="80"/>
        <w:rPr>
          <w:color w:val="000000" w:themeColor="text1"/>
          <w14:textFill>
            <w14:solidFill>
              <w14:schemeClr w14:val="tx1"/>
            </w14:solidFill>
          </w14:textFill>
        </w:rPr>
      </w:pPr>
      <w:r>
        <w:rPr>
          <w:color w:val="000000" w:themeColor="text1"/>
          <w14:textFill>
            <w14:solidFill>
              <w14:schemeClr w14:val="tx1"/>
            </w14:solidFill>
          </w14:textFill>
        </w:rPr>
        <w:t>Async — dùng khi bên gọi gửi xong là đi tiếp ngay, không quan tâm/không chờ phản hồi (ví dụ: gửi email hoá đơn, ghi log).</w:t>
      </w:r>
    </w:p>
    <w:p w14:paraId="46138EF2">
      <w:pPr>
        <w:pStyle w:val="16"/>
        <w:numPr>
          <w:ilvl w:val="0"/>
          <w:numId w:val="1"/>
        </w:numPr>
        <w:spacing w:after="80"/>
        <w:rPr>
          <w:color w:val="000000" w:themeColor="text1"/>
          <w14:textFill>
            <w14:solidFill>
              <w14:schemeClr w14:val="tx1"/>
            </w14:solidFill>
          </w14:textFill>
        </w:rPr>
      </w:pPr>
      <w:r>
        <w:rPr>
          <w:color w:val="000000" w:themeColor="text1"/>
          <w14:textFill>
            <w14:solidFill>
              <w14:schemeClr w14:val="tx1"/>
            </w14:solidFill>
          </w14:textFill>
        </w:rPr>
        <w:t>Return — dùng để khép lại một activation bar đang mở của một lời gọi Sync trước đó, thể hiện việc trả kết quả.</w:t>
      </w:r>
    </w:p>
    <w:p w14:paraId="60BF2CE0">
      <w:pPr>
        <w:pStyle w:val="16"/>
        <w:numPr>
          <w:ilvl w:val="0"/>
          <w:numId w:val="1"/>
        </w:numPr>
        <w:spacing w:after="80"/>
        <w:rPr>
          <w:color w:val="000000" w:themeColor="text1"/>
          <w14:textFill>
            <w14:solidFill>
              <w14:schemeClr w14:val="tx1"/>
            </w14:solidFill>
          </w14:textFill>
        </w:rPr>
      </w:pPr>
      <w:r>
        <w:rPr>
          <w:color w:val="000000" w:themeColor="text1"/>
          <w14:textFill>
            <w14:solidFill>
              <w14:schemeClr w14:val="tx1"/>
            </w14:solidFill>
          </w14:textFill>
        </w:rPr>
        <w:t>Self — dùng khi một đối tượng tự gọi một thao tác của chính nó (xử lý nội bộ), không phát sinh lời gọi tới Lifeline khác.</w:t>
      </w:r>
    </w:p>
    <w:p w14:paraId="419E007F">
      <w:pPr>
        <w:pStyle w:val="2"/>
        <w:spacing w:before="240" w:after="120"/>
        <w:rPr>
          <w:color w:val="000000" w:themeColor="text1"/>
          <w14:textFill>
            <w14:solidFill>
              <w14:schemeClr w14:val="tx1"/>
            </w14:solidFill>
          </w14:textFill>
        </w:rPr>
      </w:pPr>
      <w:r>
        <w:rPr>
          <w:b/>
          <w:bCs/>
          <w:color w:val="000000" w:themeColor="text1"/>
          <w14:textFill>
            <w14:solidFill>
              <w14:schemeClr w14:val="tx1"/>
            </w14:solidFill>
          </w14:textFill>
        </w:rPr>
        <w:t>4. Sơ đồ tuần tự đã sửa lỗi (giữ nguyên các bước 1, 3, 4, 5 vốn đã đúng)</w:t>
      </w:r>
    </w:p>
    <w:p w14:paraId="60BA6564">
      <w:pPr>
        <w:spacing w:after="120"/>
        <w:rPr>
          <w:color w:val="000000" w:themeColor="text1"/>
          <w14:textFill>
            <w14:solidFill>
              <w14:schemeClr w14:val="tx1"/>
            </w14:solidFill>
          </w14:textFill>
        </w:rPr>
      </w:pPr>
      <w:r>
        <w:rPr>
          <w:color w:val="000000" w:themeColor="text1"/>
          <w14:textFill>
            <w14:solidFill>
              <w14:schemeClr w14:val="tx1"/>
            </w14:solidFill>
          </w14:textFill>
        </w:rPr>
        <w:t>Sơ đồ dưới đây đã sửa Bước 2 thành thông điệp Self và Bước 6 thành thông điệp Async; các bước 1, 3, 4, 5 được giữ nguyên loại thông điệp như thực tập sinh đã vẽ đúng. Bản vẽ gốc (.drawio) đi kèm được xây dựng đúng theo cùng bố cục, cùng loại mũi tên như hình dưới đây.</w:t>
      </w:r>
      <w:bookmarkStart w:id="0" w:name="_GoBack"/>
      <w:bookmarkEnd w:id="0"/>
    </w:p>
    <w:p w14:paraId="44DD8C75">
      <w:pPr>
        <w:spacing w:before="120" w:after="120"/>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drawing>
          <wp:inline distT="0" distB="0" distL="114300" distR="114300">
            <wp:extent cx="6501130" cy="8482965"/>
            <wp:effectExtent l="0" t="0" r="13970" b="13335"/>
            <wp:docPr id="1" name="Picture 1" descr="Untitled Diagram.drawi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titled Diagram.drawio (2)"/>
                    <pic:cNvPicPr>
                      <a:picLocks noChangeAspect="1"/>
                    </pic:cNvPicPr>
                  </pic:nvPicPr>
                  <pic:blipFill>
                    <a:blip r:embed="rId4"/>
                    <a:stretch>
                      <a:fillRect/>
                    </a:stretch>
                  </pic:blipFill>
                  <pic:spPr>
                    <a:xfrm>
                      <a:off x="0" y="0"/>
                      <a:ext cx="6501130" cy="8482965"/>
                    </a:xfrm>
                    <a:prstGeom prst="rect">
                      <a:avLst/>
                    </a:prstGeom>
                  </pic:spPr>
                </pic:pic>
              </a:graphicData>
            </a:graphic>
          </wp:inline>
        </w:drawing>
      </w:r>
    </w:p>
    <w:p w14:paraId="400E3E46">
      <w:pPr>
        <w:spacing w:after="120"/>
        <w:rPr>
          <w:color w:val="000000" w:themeColor="text1"/>
          <w14:textFill>
            <w14:solidFill>
              <w14:schemeClr w14:val="tx1"/>
            </w14:solidFill>
          </w14:textFill>
        </w:rPr>
      </w:pPr>
      <w:r>
        <w:rPr>
          <w:i/>
          <w:iCs/>
          <w:color w:val="000000" w:themeColor="text1"/>
          <w:sz w:val="20"/>
          <w:szCs w:val="20"/>
          <w14:textFill>
            <w14:solidFill>
              <w14:schemeClr w14:val="tx1"/>
            </w14:solidFill>
          </w14:textFill>
        </w:rPr>
        <w:t>Ghi chú ký hiệu: Sync = mũi tên nét liền, đầu đặc (gọi và chờ). Async = mũi tên nét liền, đầu hở (gửi và đi tiếp). Return = mũi tên nét đứt, đầu hở (trả kết quả, khép activation bar của lời gọi Sync trước đó). Self = mũi tên vòng cung quay lại chính Lifeline.</w:t>
      </w:r>
    </w:p>
    <w:sectPr>
      <w:pgSz w:w="12240" w:h="15840"/>
      <w:pgMar w:top="1000" w:right="1000" w:bottom="1000" w:left="10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5"/>
  <w:displayBackgroundShape w:val="1"/>
  <w:documentProtection w:enforcement="0"/>
  <w:compat>
    <w:compatSetting w:name="compatibilityMode" w:uri="http://schemas.microsoft.com/office/word" w:val="15"/>
  </w:compat>
  <w:rsids>
    <w:rsidRoot w:val="00000000"/>
    <w:rsid w:val="20A4469A"/>
    <w:rsid w:val="632261E5"/>
    <w:rsid w:val="6E9544F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801</Words>
  <Characters>2973</Characters>
  <TotalTime>18</TotalTime>
  <ScaleCrop>false</ScaleCrop>
  <LinksUpToDate>false</LinksUpToDate>
  <CharactersWithSpaces>3742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2026-09-22T00:28:00Z</dcterms:created>
  <dc:creator>Un-named</dc:creator>
  <cp:lastModifiedBy>Dũng Nguyễn</cp:lastModifiedBy>
  <dcterms:modified xsi:type="dcterms:W3CDTF">2026-09-22T00:57:15Z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eyJoZGlkIjoiN2ViYzk0YjNjZDE0MTY3MjFmMDA5MDc3NmJhMGM3MDUiLCJ1c2VySWQiOiI4ODEzOTM1MDEzOTI4In0=</vt:lpwstr>
  </property>
  <property fmtid="{D5CDD505-2E9C-101B-9397-08002B2CF9AE}" pid="3" name="KSOProductBuildVer">
    <vt:lpwstr>1033-12.1.0.28485</vt:lpwstr>
  </property>
  <property fmtid="{D5CDD505-2E9C-101B-9397-08002B2CF9AE}" pid="4" name="ICV">
    <vt:lpwstr>34852FA76EF943ED96B3BA075969C0CD_12</vt:lpwstr>
  </property>
</Properties>
</file>