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5E8428">
      <w:pPr>
        <w:spacing w:after="80"/>
        <w:jc w:val="center"/>
        <w:rPr>
          <w:rFonts w:hint="default" w:ascii="Arial" w:hAnsi="Arial" w:cs="Arial"/>
        </w:rPr>
      </w:pPr>
      <w:bookmarkStart w:id="0" w:name="_GoBack"/>
      <w:bookmarkEnd w:id="0"/>
      <w:r>
        <w:rPr>
          <w:rFonts w:hint="default" w:ascii="Arial" w:hAnsi="Arial" w:eastAsia="Times New Roman" w:cs="Arial"/>
          <w:b/>
          <w:bCs/>
          <w:color w:val="000000"/>
          <w:sz w:val="30"/>
          <w:szCs w:val="30"/>
        </w:rPr>
        <w:t>ĐẶC TẢ PHÂN HỆ XỬ LÝ SỰ CỐ ĐỘI XE THEO IEEE 830-1998</w:t>
      </w:r>
    </w:p>
    <w:p w14:paraId="02FA9201">
      <w:pPr>
        <w:pBdr>
          <w:bottom w:val="single" w:color="000000" w:sz="8" w:space="6"/>
        </w:pBdr>
        <w:spacing w:after="240"/>
        <w:jc w:val="center"/>
        <w:rPr>
          <w:rFonts w:hint="default" w:ascii="Arial" w:hAnsi="Arial" w:cs="Arial"/>
        </w:rPr>
      </w:pPr>
      <w:r>
        <w:rPr>
          <w:rFonts w:hint="default" w:ascii="Arial" w:hAnsi="Arial" w:eastAsia="Times New Roman" w:cs="Arial"/>
          <w:i/>
          <w:iCs/>
          <w:color w:val="000000"/>
          <w:sz w:val="26"/>
          <w:szCs w:val="26"/>
        </w:rPr>
        <w:t>RikkeiLogistics – Phân hệ xử lý sự cố và điều phối cứu hộ</w:t>
      </w:r>
    </w:p>
    <w:p w14:paraId="68359460">
      <w:pPr>
        <w:keepNext/>
        <w:spacing w:before="240" w:after="140"/>
        <w:rPr>
          <w:rFonts w:hint="default" w:ascii="Arial" w:hAnsi="Arial" w:cs="Arial"/>
        </w:rPr>
      </w:pPr>
      <w:r>
        <w:rPr>
          <w:rFonts w:hint="default" w:ascii="Arial" w:hAnsi="Arial" w:eastAsia="Times New Roman" w:cs="Arial"/>
          <w:b/>
          <w:bCs/>
          <w:color w:val="000000"/>
          <w:sz w:val="28"/>
          <w:szCs w:val="28"/>
        </w:rPr>
        <w:t>Phần 1: Lựa chọn khía cạnh trọng tâm và loại sơ đồ</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6326"/>
      </w:tblGrid>
      <w:tr w14:paraId="6FF99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341B83B8">
            <w:pPr>
              <w:spacing w:after="60" w:line="276" w:lineRule="auto"/>
              <w:jc w:val="center"/>
              <w:rPr>
                <w:rFonts w:hint="default" w:ascii="Arial" w:hAnsi="Arial" w:cs="Arial"/>
              </w:rPr>
            </w:pPr>
            <w:r>
              <w:rPr>
                <w:rFonts w:hint="default" w:ascii="Arial" w:hAnsi="Arial" w:eastAsia="Times New Roman" w:cs="Arial"/>
                <w:b/>
                <w:bCs/>
                <w:color w:val="000000"/>
                <w:sz w:val="24"/>
                <w:szCs w:val="24"/>
              </w:rPr>
              <w:t>Nội dung lựa chọn</w:t>
            </w:r>
          </w:p>
        </w:tc>
        <w:tc>
          <w:tcPr>
            <w:tcW w:w="6326"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7B1097B8">
            <w:pPr>
              <w:spacing w:after="60" w:line="276" w:lineRule="auto"/>
              <w:jc w:val="center"/>
              <w:rPr>
                <w:rFonts w:hint="default" w:ascii="Arial" w:hAnsi="Arial" w:cs="Arial"/>
              </w:rPr>
            </w:pPr>
            <w:r>
              <w:rPr>
                <w:rFonts w:hint="default" w:ascii="Arial" w:hAnsi="Arial" w:eastAsia="Times New Roman" w:cs="Arial"/>
                <w:b/>
                <w:bCs/>
                <w:color w:val="000000"/>
                <w:sz w:val="24"/>
                <w:szCs w:val="24"/>
              </w:rPr>
              <w:t>Quyết định của kiến trúc sư</w:t>
            </w:r>
          </w:p>
        </w:tc>
      </w:tr>
      <w:tr w14:paraId="43240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4499CCCF">
            <w:pPr>
              <w:spacing w:after="60" w:line="276" w:lineRule="auto"/>
              <w:jc w:val="left"/>
              <w:rPr>
                <w:rFonts w:hint="default" w:ascii="Arial" w:hAnsi="Arial" w:cs="Arial"/>
              </w:rPr>
            </w:pPr>
            <w:r>
              <w:rPr>
                <w:rFonts w:hint="default" w:ascii="Arial" w:hAnsi="Arial" w:eastAsia="Times New Roman" w:cs="Arial"/>
                <w:b/>
                <w:bCs/>
                <w:color w:val="000000"/>
                <w:sz w:val="24"/>
                <w:szCs w:val="24"/>
              </w:rPr>
              <w:t>Khía cạnh trọng tâm</w:t>
            </w:r>
          </w:p>
        </w:tc>
        <w:tc>
          <w:tcPr>
            <w:tcW w:w="6326"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326FB8D2">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Xử lý sự cố trên đường (Incident Response): tiếp nhận sự cố, điều phối xe cứu hộ và kích hoạt định tuyến lại các đơn hàng bị ảnh hưởng để bảo vệ cam kết SLA.</w:t>
            </w:r>
          </w:p>
        </w:tc>
      </w:tr>
      <w:tr w14:paraId="08CE0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478E405A">
            <w:pPr>
              <w:spacing w:after="60" w:line="276" w:lineRule="auto"/>
              <w:jc w:val="left"/>
              <w:rPr>
                <w:rFonts w:hint="default" w:ascii="Arial" w:hAnsi="Arial" w:cs="Arial"/>
              </w:rPr>
            </w:pPr>
            <w:r>
              <w:rPr>
                <w:rFonts w:hint="default" w:ascii="Arial" w:hAnsi="Arial" w:eastAsia="Times New Roman" w:cs="Arial"/>
                <w:b/>
                <w:bCs/>
                <w:color w:val="000000"/>
                <w:sz w:val="24"/>
                <w:szCs w:val="24"/>
              </w:rPr>
              <w:t>Vấn đề vận hành giải quyết</w:t>
            </w:r>
          </w:p>
        </w:tc>
        <w:tc>
          <w:tcPr>
            <w:tcW w:w="6326"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592DA92B">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Sự cố có thể xảy ra bất cứ lúc nào, làm trễ đơn hàng và vi phạm SLA; khi nhiều sự cố xảy ra cùng lúc, các xe cứu hộ bị tranh giành và có nguy cơ một xe bị gán cho hai sự cố.</w:t>
            </w:r>
          </w:p>
        </w:tc>
      </w:tr>
      <w:tr w14:paraId="38F4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17235C90">
            <w:pPr>
              <w:spacing w:after="60" w:line="276" w:lineRule="auto"/>
              <w:jc w:val="left"/>
              <w:rPr>
                <w:rFonts w:hint="default" w:ascii="Arial" w:hAnsi="Arial" w:cs="Arial"/>
              </w:rPr>
            </w:pPr>
            <w:r>
              <w:rPr>
                <w:rFonts w:hint="default" w:ascii="Arial" w:hAnsi="Arial" w:eastAsia="Times New Roman" w:cs="Arial"/>
                <w:b/>
                <w:bCs/>
                <w:color w:val="000000"/>
                <w:sz w:val="24"/>
                <w:szCs w:val="24"/>
              </w:rPr>
              <w:t>Loại sơ đồ UML</w:t>
            </w:r>
          </w:p>
        </w:tc>
        <w:tc>
          <w:tcPr>
            <w:tcW w:w="6326"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65A062BA">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Sequence Diagram (Sơ đồ tuần tự).</w:t>
            </w:r>
          </w:p>
        </w:tc>
      </w:tr>
      <w:tr w14:paraId="01C6C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665F598C">
            <w:pPr>
              <w:spacing w:after="60" w:line="276" w:lineRule="auto"/>
              <w:jc w:val="left"/>
              <w:rPr>
                <w:rFonts w:hint="default" w:ascii="Arial" w:hAnsi="Arial" w:cs="Arial"/>
              </w:rPr>
            </w:pPr>
            <w:r>
              <w:rPr>
                <w:rFonts w:hint="default" w:ascii="Arial" w:hAnsi="Arial" w:eastAsia="Times New Roman" w:cs="Arial"/>
                <w:b/>
                <w:bCs/>
                <w:color w:val="000000"/>
                <w:sz w:val="24"/>
                <w:szCs w:val="24"/>
              </w:rPr>
              <w:t>Lý do chọn sơ đồ</w:t>
            </w:r>
          </w:p>
        </w:tc>
        <w:tc>
          <w:tcPr>
            <w:tcW w:w="6326"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230B1C9E">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Bài toán cạnh tranh tài nguyên phụ thuộc vào thứ tự và thời điểm trao đổi thông điệp giữa nhiều thành phần (khóa tạm, xác nhận, từ chối, thử lại). Sequence Diagram với khối alt thể hiện được rõ cả nhánh thành công và nhánh thất bại; Use Case chỉ cho biết ai làm gì, còn ERD chỉ mô tả dữ liệu tĩnh.</w:t>
            </w:r>
          </w:p>
        </w:tc>
      </w:tr>
      <w:tr w14:paraId="3178A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71D65CF2">
            <w:pPr>
              <w:spacing w:after="60" w:line="276" w:lineRule="auto"/>
              <w:jc w:val="left"/>
              <w:rPr>
                <w:rFonts w:hint="default" w:ascii="Arial" w:hAnsi="Arial" w:cs="Arial"/>
              </w:rPr>
            </w:pPr>
            <w:r>
              <w:rPr>
                <w:rFonts w:hint="default" w:ascii="Arial" w:hAnsi="Arial" w:eastAsia="Times New Roman" w:cs="Arial"/>
                <w:b/>
                <w:bCs/>
                <w:color w:val="000000"/>
                <w:sz w:val="24"/>
                <w:szCs w:val="24"/>
              </w:rPr>
              <w:t>Bẫy dữ liệu đã chọn (mục 4)</w:t>
            </w:r>
          </w:p>
        </w:tc>
        <w:tc>
          <w:tcPr>
            <w:tcW w:w="6326"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6C5CE604">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Nhiều sự cố xảy ra đồng thời trên các tuyến khác nhau, cạnh tranh tài nguyên (xe cứu hộ, đơn hàng cần định tuyến lại).</w:t>
            </w:r>
          </w:p>
        </w:tc>
      </w:tr>
    </w:tbl>
    <w:p w14:paraId="7CFBF77F">
      <w:pPr>
        <w:spacing w:after="60"/>
        <w:rPr>
          <w:rFonts w:hint="default" w:ascii="Arial" w:hAnsi="Arial" w:cs="Arial"/>
        </w:rPr>
      </w:pPr>
    </w:p>
    <w:p w14:paraId="379B1937">
      <w:pPr>
        <w:spacing w:after="120" w:line="300" w:lineRule="auto"/>
        <w:rPr>
          <w:rFonts w:hint="default" w:ascii="Arial" w:hAnsi="Arial" w:cs="Arial"/>
        </w:rPr>
      </w:pPr>
      <w:r>
        <w:rPr>
          <w:rFonts w:hint="default" w:ascii="Arial" w:hAnsi="Arial" w:eastAsia="Times New Roman" w:cs="Arial"/>
          <w:color w:val="000000"/>
          <w:sz w:val="26"/>
          <w:szCs w:val="26"/>
        </w:rPr>
        <w:t>Sơ đồ Sequence thể hiện giải pháp được trình bày ở trang tiếp theo; theo khung IEEE 830, sơ đồ này thuộc mục 3.2 Functional Requirements.</w:t>
      </w:r>
    </w:p>
    <w:p w14:paraId="20BC690C">
      <w:pPr>
        <w:rPr>
          <w:rFonts w:hint="default" w:ascii="Arial" w:hAnsi="Arial" w:cs="Arial"/>
        </w:rPr>
        <w:sectPr>
          <w:pgSz w:w="11906" w:h="16838"/>
          <w:pgMar w:top="1134" w:right="1440" w:bottom="1134" w:left="1440" w:header="708" w:footer="708" w:gutter="0"/>
          <w:cols w:space="720" w:num="1"/>
          <w:docGrid w:linePitch="360" w:charSpace="0"/>
        </w:sectPr>
      </w:pPr>
    </w:p>
    <w:p w14:paraId="76A8690A">
      <w:pPr>
        <w:spacing w:after="100"/>
        <w:rPr>
          <w:rFonts w:hint="default" w:ascii="Arial" w:hAnsi="Arial" w:cs="Arial"/>
        </w:rPr>
      </w:pPr>
      <w:r>
        <w:rPr>
          <w:rFonts w:hint="default" w:ascii="Arial" w:hAnsi="Arial" w:eastAsia="Times New Roman" w:cs="Arial"/>
          <w:b/>
          <w:bCs/>
          <w:color w:val="000000"/>
          <w:sz w:val="26"/>
          <w:szCs w:val="26"/>
        </w:rPr>
        <w:t>Sơ đồ Sequence – Xử lý sự cố và điều phối xe cứu hộ khi nhiều sự cố xảy ra đồng thời</w:t>
      </w:r>
    </w:p>
    <w:p w14:paraId="3F733E55">
      <w:pPr>
        <w:spacing w:after="80"/>
        <w:jc w:val="center"/>
        <w:rPr>
          <w:rFonts w:hint="default" w:ascii="Arial" w:hAnsi="Arial" w:cs="Arial"/>
          <w:lang w:val="en-US"/>
        </w:rPr>
      </w:pPr>
      <w:r>
        <w:rPr>
          <w:rFonts w:hint="default" w:ascii="Arial" w:hAnsi="Arial" w:cs="Arial"/>
          <w:lang w:val="en-US"/>
        </w:rPr>
        <w:t>-</w:t>
      </w:r>
      <w:r>
        <w:rPr>
          <w:rFonts w:hint="default" w:ascii="Arial" w:hAnsi="Arial" w:cs="Arial"/>
          <w:lang w:val="en-US"/>
        </w:rPr>
        <w:drawing>
          <wp:inline distT="0" distB="0" distL="114300" distR="114300">
            <wp:extent cx="8474710" cy="5952490"/>
            <wp:effectExtent l="0" t="0" r="2540" b="10160"/>
            <wp:docPr id="1" name="Picture 1" descr="creativ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reative.drawio"/>
                    <pic:cNvPicPr>
                      <a:picLocks noChangeAspect="1"/>
                    </pic:cNvPicPr>
                  </pic:nvPicPr>
                  <pic:blipFill>
                    <a:blip r:embed="rId4"/>
                    <a:stretch>
                      <a:fillRect/>
                    </a:stretch>
                  </pic:blipFill>
                  <pic:spPr>
                    <a:xfrm>
                      <a:off x="0" y="0"/>
                      <a:ext cx="8474710" cy="5952490"/>
                    </a:xfrm>
                    <a:prstGeom prst="rect">
                      <a:avLst/>
                    </a:prstGeom>
                  </pic:spPr>
                </pic:pic>
              </a:graphicData>
            </a:graphic>
          </wp:inline>
        </w:drawing>
      </w:r>
    </w:p>
    <w:p w14:paraId="3611F5A8">
      <w:pPr>
        <w:jc w:val="center"/>
        <w:rPr>
          <w:rFonts w:hint="default" w:ascii="Arial" w:hAnsi="Arial" w:cs="Arial"/>
        </w:rPr>
      </w:pPr>
      <w:r>
        <w:rPr>
          <w:rFonts w:hint="default" w:ascii="Arial" w:hAnsi="Arial" w:eastAsia="Times New Roman" w:cs="Arial"/>
          <w:i/>
          <w:iCs/>
          <w:color w:val="000000"/>
          <w:sz w:val="22"/>
          <w:szCs w:val="22"/>
        </w:rPr>
        <w:t>Hình 1. Sequence Diagra.</w:t>
      </w:r>
      <w:r>
        <w:rPr>
          <w:rFonts w:hint="default" w:ascii="Arial" w:hAnsi="Arial" w:cs="Arial"/>
          <w:i/>
          <w:iCs/>
          <w:color w:val="000000"/>
          <w:sz w:val="22"/>
          <w:szCs w:val="22"/>
          <w:lang w:val="en-US"/>
        </w:rPr>
        <w:t xml:space="preserve"> -</w:t>
      </w:r>
      <w:r>
        <w:rPr>
          <w:rFonts w:hint="default" w:ascii="Arial" w:hAnsi="Arial" w:eastAsia="Times New Roman" w:cs="Arial"/>
          <w:i/>
          <w:iCs/>
          <w:color w:val="000000"/>
          <w:sz w:val="22"/>
          <w:szCs w:val="22"/>
        </w:rPr>
        <w:t xml:space="preserve"> Khối alt thể hiện nhánh khóa xe thành công và thất bại.</w:t>
      </w:r>
    </w:p>
    <w:p w14:paraId="18472E5D">
      <w:pPr>
        <w:rPr>
          <w:rFonts w:hint="default" w:ascii="Arial" w:hAnsi="Arial" w:cs="Arial"/>
        </w:rPr>
        <w:sectPr>
          <w:pgSz w:w="16838" w:h="11906" w:orient="landscape"/>
          <w:pgMar w:top="720" w:right="720" w:bottom="720" w:left="720" w:header="708" w:footer="708" w:gutter="0"/>
          <w:cols w:space="720" w:num="1"/>
          <w:docGrid w:linePitch="360" w:charSpace="0"/>
        </w:sectPr>
      </w:pPr>
    </w:p>
    <w:p w14:paraId="53B7C9B9">
      <w:pPr>
        <w:keepNext/>
        <w:spacing w:before="240" w:after="140"/>
        <w:rPr>
          <w:rFonts w:hint="default" w:ascii="Arial" w:hAnsi="Arial" w:cs="Arial"/>
        </w:rPr>
      </w:pPr>
      <w:r>
        <w:rPr>
          <w:rFonts w:hint="default" w:ascii="Arial" w:hAnsi="Arial" w:eastAsia="Times New Roman" w:cs="Arial"/>
          <w:b/>
          <w:bCs/>
          <w:color w:val="000000"/>
          <w:sz w:val="28"/>
          <w:szCs w:val="28"/>
        </w:rPr>
        <w:t>Phần 2: Đặc tả ngắn theo tinh thần IEEE 830-1998</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6B023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6BF8BAAA">
            <w:pPr>
              <w:spacing w:after="60" w:line="276" w:lineRule="auto"/>
              <w:jc w:val="center"/>
              <w:rPr>
                <w:rFonts w:hint="default" w:ascii="Arial" w:hAnsi="Arial" w:cs="Arial"/>
              </w:rPr>
            </w:pPr>
            <w:r>
              <w:rPr>
                <w:rFonts w:hint="default" w:ascii="Arial" w:hAnsi="Arial" w:eastAsia="Times New Roman" w:cs="Arial"/>
                <w:b/>
                <w:bCs/>
                <w:color w:val="000000"/>
                <w:sz w:val="24"/>
                <w:szCs w:val="24"/>
              </w:rPr>
              <w:t>Mục IEEE 830-1998</w:t>
            </w:r>
          </w:p>
        </w:tc>
        <w:tc>
          <w:tcPr>
            <w:tcW w:w="6526"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6CF1376B">
            <w:pPr>
              <w:spacing w:after="60" w:line="276" w:lineRule="auto"/>
              <w:jc w:val="center"/>
              <w:rPr>
                <w:rFonts w:hint="default" w:ascii="Arial" w:hAnsi="Arial" w:cs="Arial"/>
              </w:rPr>
            </w:pPr>
            <w:r>
              <w:rPr>
                <w:rFonts w:hint="default" w:ascii="Arial" w:hAnsi="Arial" w:eastAsia="Times New Roman" w:cs="Arial"/>
                <w:b/>
                <w:bCs/>
                <w:color w:val="000000"/>
                <w:sz w:val="24"/>
                <w:szCs w:val="24"/>
              </w:rPr>
              <w:t>Nội dung đặc tả</w:t>
            </w:r>
          </w:p>
        </w:tc>
      </w:tr>
      <w:tr w14:paraId="7891E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63A4F6AA">
            <w:pPr>
              <w:spacing w:after="60" w:line="276" w:lineRule="auto"/>
              <w:jc w:val="left"/>
              <w:rPr>
                <w:rFonts w:hint="default" w:ascii="Arial" w:hAnsi="Arial" w:cs="Arial"/>
              </w:rPr>
            </w:pPr>
            <w:r>
              <w:rPr>
                <w:rFonts w:hint="default" w:ascii="Arial" w:hAnsi="Arial" w:eastAsia="Times New Roman" w:cs="Arial"/>
                <w:b/>
                <w:bCs/>
                <w:color w:val="000000"/>
                <w:sz w:val="24"/>
                <w:szCs w:val="24"/>
              </w:rPr>
              <w:t>1.1 Purpose – Vấn đề giải quyết</w:t>
            </w:r>
          </w:p>
        </w:tc>
        <w:tc>
          <w:tcPr>
            <w:tcW w:w="6526"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7CDBDDFC">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Phân hệ đảm bảo mỗi sự cố trên đường được gán đúng một xe cứu hộ nhanh nhất có thể và các đơn hàng bị ảnh hưởng được định tuyến lại, nhằm hạn chế vi phạm SLA khi vận hành đội xe quy mô lớn.</w:t>
            </w:r>
          </w:p>
        </w:tc>
      </w:tr>
      <w:tr w14:paraId="02B99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569B98CE">
            <w:pPr>
              <w:spacing w:after="60" w:line="276" w:lineRule="auto"/>
              <w:jc w:val="left"/>
              <w:rPr>
                <w:rFonts w:hint="default" w:ascii="Arial" w:hAnsi="Arial" w:cs="Arial"/>
              </w:rPr>
            </w:pPr>
            <w:r>
              <w:rPr>
                <w:rFonts w:hint="default" w:ascii="Arial" w:hAnsi="Arial" w:eastAsia="Times New Roman" w:cs="Arial"/>
                <w:b/>
                <w:bCs/>
                <w:color w:val="000000"/>
                <w:sz w:val="24"/>
                <w:szCs w:val="24"/>
              </w:rPr>
              <w:t>1.2 Scope – In-scope</w:t>
            </w:r>
          </w:p>
        </w:tc>
        <w:tc>
          <w:tcPr>
            <w:tcW w:w="6526"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429D4A19">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Tiếp nhận sự cố từ tài xế; tính mức ưu tiên theo SLA còn lại; xếp hàng đợi ưu tiên; khóa tạm và giao xe cứu hộ; kích hoạt (gọi) việc định tuyến lại đơn hàng; thông báo ETA cho tài xế và cảnh báo Điều phối viên.</w:t>
            </w:r>
          </w:p>
        </w:tc>
      </w:tr>
      <w:tr w14:paraId="2C51C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51CBCE91">
            <w:pPr>
              <w:spacing w:after="60" w:line="276" w:lineRule="auto"/>
              <w:jc w:val="left"/>
              <w:rPr>
                <w:rFonts w:hint="default" w:ascii="Arial" w:hAnsi="Arial" w:cs="Arial"/>
              </w:rPr>
            </w:pPr>
            <w:r>
              <w:rPr>
                <w:rFonts w:hint="default" w:ascii="Arial" w:hAnsi="Arial" w:eastAsia="Times New Roman" w:cs="Arial"/>
                <w:b/>
                <w:bCs/>
                <w:color w:val="000000"/>
                <w:sz w:val="24"/>
                <w:szCs w:val="24"/>
              </w:rPr>
              <w:t>1.2 Scope – Out-of-scope</w:t>
            </w:r>
          </w:p>
        </w:tc>
        <w:tc>
          <w:tcPr>
            <w:tcW w:w="6526"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20DDC00E">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Thuật toán gom chuyến và tối ưu tuyến đường; lọc nhiễu và giám sát GPS chi tiết; giao diện ứng dụng của xe cứu hộ; thanh toán, tính chi phí cứu hộ.</w:t>
            </w:r>
          </w:p>
        </w:tc>
      </w:tr>
      <w:tr w14:paraId="72527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3D2DB0E5">
            <w:pPr>
              <w:spacing w:after="60" w:line="276" w:lineRule="auto"/>
              <w:jc w:val="left"/>
              <w:rPr>
                <w:rFonts w:hint="default" w:ascii="Arial" w:hAnsi="Arial" w:cs="Arial"/>
              </w:rPr>
            </w:pPr>
            <w:r>
              <w:rPr>
                <w:rFonts w:hint="default" w:ascii="Arial" w:hAnsi="Arial" w:eastAsia="Times New Roman" w:cs="Arial"/>
                <w:b/>
                <w:bCs/>
                <w:color w:val="000000"/>
                <w:sz w:val="24"/>
                <w:szCs w:val="24"/>
              </w:rPr>
              <w:t>2.4 Constraints – Bẫy dữ liệu</w:t>
            </w:r>
          </w:p>
        </w:tc>
        <w:tc>
          <w:tcPr>
            <w:tcW w:w="6526"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43CEBEDF">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Nhiều sự cố đồng thời cùng yêu cầu một xe cứu hộ gần nhất; nếu không kiểm soát, một xe có thể bị gán cho hai sự cố hoặc sự cố khẩn cấp bị chậm hơn sự cố ít khẩn cấp.</w:t>
            </w:r>
          </w:p>
        </w:tc>
      </w:tr>
      <w:tr w14:paraId="10A4D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7BE7A5E1">
            <w:pPr>
              <w:spacing w:after="60" w:line="276" w:lineRule="auto"/>
              <w:jc w:val="left"/>
              <w:rPr>
                <w:rFonts w:hint="default" w:ascii="Arial" w:hAnsi="Arial" w:cs="Arial"/>
              </w:rPr>
            </w:pPr>
            <w:r>
              <w:rPr>
                <w:rFonts w:hint="default" w:ascii="Arial" w:hAnsi="Arial" w:eastAsia="Times New Roman" w:cs="Arial"/>
                <w:b/>
                <w:bCs/>
                <w:color w:val="000000"/>
                <w:sz w:val="24"/>
                <w:szCs w:val="24"/>
              </w:rPr>
              <w:t>3.2 Functional Requirements – Cách xử lý bẫy (bước 4, 5, 11–13 của sơ đồ)</w:t>
            </w:r>
          </w:p>
        </w:tc>
        <w:tc>
          <w:tcPr>
            <w:tcW w:w="6526"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45065B28">
            <w:pPr>
              <w:spacing w:after="60" w:line="276" w:lineRule="auto"/>
              <w:jc w:val="left"/>
              <w:rPr>
                <w:rFonts w:hint="default" w:ascii="Arial" w:hAnsi="Arial" w:cs="Arial"/>
              </w:rPr>
            </w:pPr>
            <w:r>
              <w:rPr>
                <w:rFonts w:hint="default" w:ascii="Arial" w:hAnsi="Arial" w:eastAsia="Times New Roman" w:cs="Arial"/>
                <w:b/>
                <w:bCs/>
                <w:color w:val="000000"/>
                <w:sz w:val="24"/>
                <w:szCs w:val="24"/>
              </w:rPr>
              <w:t xml:space="preserve">REQ-INC-01: </w:t>
            </w:r>
            <w:r>
              <w:rPr>
                <w:rFonts w:hint="default" w:ascii="Arial" w:hAnsi="Arial" w:eastAsia="Times New Roman" w:cs="Arial"/>
                <w:color w:val="000000"/>
                <w:sz w:val="24"/>
                <w:szCs w:val="24"/>
              </w:rPr>
              <w:t>Mỗi xe cứu hộ tại một thời điểm chỉ được khóa tạm cho đúng 1 sự cố (khóa độc quyền, kiểm tra số phiên bản); khóa tự hết hạn sau 30 giây nếu không được xác nhận.</w:t>
            </w:r>
          </w:p>
          <w:p w14:paraId="2AEFB365">
            <w:pPr>
              <w:spacing w:after="60" w:line="276" w:lineRule="auto"/>
              <w:jc w:val="left"/>
              <w:rPr>
                <w:rFonts w:hint="default" w:ascii="Arial" w:hAnsi="Arial" w:cs="Arial"/>
              </w:rPr>
            </w:pPr>
            <w:r>
              <w:rPr>
                <w:rFonts w:hint="default" w:ascii="Arial" w:hAnsi="Arial" w:eastAsia="Times New Roman" w:cs="Arial"/>
                <w:b/>
                <w:bCs/>
                <w:color w:val="000000"/>
                <w:sz w:val="24"/>
                <w:szCs w:val="24"/>
              </w:rPr>
              <w:t xml:space="preserve">REQ-INC-02: </w:t>
            </w:r>
            <w:r>
              <w:rPr>
                <w:rFonts w:hint="default" w:ascii="Arial" w:hAnsi="Arial" w:eastAsia="Times New Roman" w:cs="Arial"/>
                <w:color w:val="000000"/>
                <w:sz w:val="24"/>
                <w:szCs w:val="24"/>
              </w:rPr>
              <w:t>Các sự cố đồng thời được xếp vào hàng đợi ưu tiên theo SLA còn lại (ít hơn thì xử lý trước), cùng mức thì theo thời điểm nhận.</w:t>
            </w:r>
          </w:p>
          <w:p w14:paraId="1ED7D33A">
            <w:pPr>
              <w:spacing w:after="60" w:line="276" w:lineRule="auto"/>
              <w:jc w:val="left"/>
              <w:rPr>
                <w:rFonts w:hint="default" w:ascii="Arial" w:hAnsi="Arial" w:cs="Arial"/>
              </w:rPr>
            </w:pPr>
            <w:r>
              <w:rPr>
                <w:rFonts w:hint="default" w:ascii="Arial" w:hAnsi="Arial" w:eastAsia="Times New Roman" w:cs="Arial"/>
                <w:b/>
                <w:bCs/>
                <w:color w:val="000000"/>
                <w:sz w:val="24"/>
                <w:szCs w:val="24"/>
              </w:rPr>
              <w:t xml:space="preserve">REQ-INC-03: </w:t>
            </w:r>
            <w:r>
              <w:rPr>
                <w:rFonts w:hint="default" w:ascii="Arial" w:hAnsi="Arial" w:eastAsia="Times New Roman" w:cs="Arial"/>
                <w:color w:val="000000"/>
                <w:sz w:val="24"/>
                <w:szCs w:val="24"/>
              </w:rPr>
              <w:t>Khi khóa thất bại, hệ thống tự thử xe gần kế tiếp (tối đa 3 lần, bán kính 50 km); hết lượt hoặc không còn xe thì cảnh báo Điều phối viên trong vòng không quá 10 giây để xử lý thủ công.</w:t>
            </w:r>
          </w:p>
        </w:tc>
      </w:tr>
      <w:tr w14:paraId="559DC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6FEED37F">
            <w:pPr>
              <w:spacing w:after="60" w:line="276" w:lineRule="auto"/>
              <w:jc w:val="left"/>
              <w:rPr>
                <w:rFonts w:hint="default" w:ascii="Arial" w:hAnsi="Arial" w:cs="Arial"/>
              </w:rPr>
            </w:pPr>
            <w:r>
              <w:rPr>
                <w:rFonts w:hint="default" w:ascii="Arial" w:hAnsi="Arial" w:eastAsia="Times New Roman" w:cs="Arial"/>
                <w:b/>
                <w:bCs/>
                <w:color w:val="000000"/>
                <w:sz w:val="24"/>
                <w:szCs w:val="24"/>
              </w:rPr>
              <w:t>3.3 Performance – Chỉ tiêu kiểm chứng</w:t>
            </w:r>
          </w:p>
        </w:tc>
        <w:tc>
          <w:tcPr>
            <w:tcW w:w="6526"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2125429A">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Gán xe cứu hộ trong vòng không quá 5 giây cho ít nhất 95% sự cố; hỗ trợ tối thiểu 100 sự cố đồng thời; 0 trường hợp một xe bị gán cho hai sự cố trong kiểm thử tải.</w:t>
            </w:r>
          </w:p>
        </w:tc>
      </w:tr>
    </w:tbl>
    <w:p w14:paraId="485EB76A">
      <w:pPr>
        <w:rPr>
          <w:rFonts w:hint="default" w:ascii="Arial" w:hAnsi="Arial" w:cs="Arial"/>
        </w:rPr>
      </w:pPr>
    </w:p>
    <w:sectPr>
      <w:pgSz w:w="11906" w:h="16838"/>
      <w:pgMar w:top="1134" w:right="1440" w:bottom="1134"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8"/>
  <w:displayBackgroundShape w:val="1"/>
  <w:documentProtection w:enforcement="0"/>
  <w:compat>
    <w:compatSetting w:name="compatibilityMode" w:uri="http://schemas.microsoft.com/office/word" w:val="15"/>
  </w:compat>
  <w:rsids>
    <w:rsidRoot w:val="00000000"/>
    <w:rsid w:val="445032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6"/>
      <w:szCs w:val="26"/>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700</Words>
  <Characters>2442</Characters>
  <TotalTime>1</TotalTime>
  <ScaleCrop>false</ScaleCrop>
  <LinksUpToDate>false</LinksUpToDate>
  <CharactersWithSpaces>3107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2026-10-01T00:39:00Z</dcterms:created>
  <dc:creator>Un-named</dc:creator>
  <cp:lastModifiedBy>Dũng Nguyễn</cp:lastModifiedBy>
  <dcterms:modified xsi:type="dcterms:W3CDTF">2026-10-01T01:27:12Z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eyJoZGlkIjoiN2ViYzk0YjNjZDE0MTY3MjFmMDA5MDc3NmJhMGM3MDUiLCJ1c2VySWQiOiI4ODEzOTM1MDEzOTI4In0=</vt:lpwstr>
  </property>
  <property fmtid="{D5CDD505-2E9C-101B-9397-08002B2CF9AE}" pid="3" name="KSOProductBuildVer">
    <vt:lpwstr>1033-12.1.0.28485</vt:lpwstr>
  </property>
  <property fmtid="{D5CDD505-2E9C-101B-9397-08002B2CF9AE}" pid="4" name="ICV">
    <vt:lpwstr>7C009645C45246B08224A8947034A769_12</vt:lpwstr>
  </property>
</Properties>
</file>