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7A1" w:rsidRPr="00494016" w:rsidRDefault="009F77A1" w:rsidP="009F77A1">
      <w:pPr>
        <w:pStyle w:val="2"/>
      </w:pPr>
      <w:r w:rsidRPr="00494016">
        <w:t>REFERENCES</w:t>
      </w:r>
    </w:p>
    <w:p w:rsidR="009F77A1" w:rsidRPr="008963E8" w:rsidRDefault="009F77A1" w:rsidP="009F77A1">
      <w:pPr>
        <w:pStyle w:val="EndNoteBibliography"/>
        <w:ind w:left="240" w:hanging="240"/>
        <w:rPr>
          <w:rFonts w:eastAsia="PMingLiU" w:hint="eastAsia"/>
          <w:szCs w:val="16"/>
          <w:lang w:eastAsia="zh-TW"/>
        </w:rPr>
      </w:pPr>
      <w:r w:rsidRPr="008963E8">
        <w:rPr>
          <w:rFonts w:eastAsia="PMingLiU"/>
          <w:szCs w:val="16"/>
          <w:highlight w:val="green"/>
          <w:lang w:eastAsia="zh-TW"/>
        </w:rPr>
        <w:t>* Please access &lt;***&gt; to find the full list of the references.</w:t>
      </w:r>
    </w:p>
    <w:bookmarkStart w:id="0" w:name="_Hlk525741165"/>
    <w:p w:rsidR="009F77A1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6E4411">
        <w:rPr>
          <w:rFonts w:ascii="Century" w:hAnsi="Century"/>
          <w:sz w:val="16"/>
          <w:szCs w:val="16"/>
        </w:rPr>
        <w:fldChar w:fldCharType="begin"/>
      </w:r>
      <w:r w:rsidRPr="006D0E60">
        <w:rPr>
          <w:rFonts w:ascii="Century" w:hAnsi="Century"/>
          <w:sz w:val="16"/>
          <w:szCs w:val="16"/>
        </w:rPr>
        <w:instrText xml:space="preserve"> ADDIN EN.REFLIST </w:instrText>
      </w:r>
      <w:r w:rsidRPr="006E4411">
        <w:rPr>
          <w:rFonts w:ascii="Century" w:hAnsi="Century"/>
          <w:sz w:val="16"/>
          <w:szCs w:val="16"/>
        </w:rPr>
        <w:fldChar w:fldCharType="separate"/>
      </w:r>
      <w:r w:rsidRPr="004B24FD">
        <w:rPr>
          <w:rFonts w:ascii="Century" w:hAnsi="Century"/>
          <w:sz w:val="16"/>
          <w:szCs w:val="16"/>
        </w:rPr>
        <w:fldChar w:fldCharType="end"/>
      </w:r>
      <w:r w:rsidRPr="004B24FD">
        <w:rPr>
          <w:rFonts w:ascii="Century" w:hAnsi="Century"/>
          <w:sz w:val="16"/>
          <w:szCs w:val="16"/>
        </w:rPr>
        <w:t>Bureau of Energy, Ministry of Economic Affairs, Taiwan [BOE] (2017). Energy Statistical Monthly Report</w:t>
      </w:r>
      <w:r>
        <w:rPr>
          <w:rFonts w:ascii="Century" w:hAnsi="Century"/>
          <w:sz w:val="16"/>
          <w:szCs w:val="16"/>
        </w:rPr>
        <w:t xml:space="preserve"> (</w:t>
      </w:r>
      <w:r w:rsidRPr="004B24FD">
        <w:rPr>
          <w:rFonts w:ascii="Century" w:hAnsi="Century"/>
          <w:sz w:val="16"/>
          <w:szCs w:val="16"/>
        </w:rPr>
        <w:t>2017.5.23 update</w:t>
      </w:r>
      <w:r>
        <w:rPr>
          <w:rFonts w:ascii="Century" w:hAnsi="Century"/>
          <w:sz w:val="16"/>
          <w:szCs w:val="16"/>
        </w:rPr>
        <w:t>d)</w:t>
      </w:r>
      <w:r w:rsidRPr="004B24FD">
        <w:rPr>
          <w:rFonts w:ascii="Century" w:hAnsi="Century"/>
          <w:sz w:val="16"/>
          <w:szCs w:val="16"/>
        </w:rPr>
        <w:t xml:space="preserve">. </w:t>
      </w:r>
      <w:r>
        <w:rPr>
          <w:rFonts w:ascii="Century" w:hAnsi="Century"/>
          <w:sz w:val="16"/>
          <w:szCs w:val="16"/>
        </w:rPr>
        <w:t>&lt;</w:t>
      </w:r>
      <w:r w:rsidRPr="004B24FD">
        <w:rPr>
          <w:rFonts w:ascii="Century" w:hAnsi="Century"/>
          <w:sz w:val="16"/>
          <w:szCs w:val="16"/>
        </w:rPr>
        <w:t xml:space="preserve"> </w:t>
      </w:r>
      <w:r w:rsidRPr="00EC3E16">
        <w:rPr>
          <w:rFonts w:ascii="Century" w:hAnsi="Century"/>
          <w:sz w:val="16"/>
          <w:szCs w:val="16"/>
        </w:rPr>
        <w:t>https://www.moeaboe.gov.tw/ECW/populace/web_book/WebReports.aspx?book=M_CH&amp;menu_id=142</w:t>
      </w:r>
      <w:r>
        <w:rPr>
          <w:rFonts w:ascii="Century" w:hAnsi="Century"/>
          <w:sz w:val="16"/>
          <w:szCs w:val="16"/>
        </w:rPr>
        <w:t>&gt;, 06/</w:t>
      </w:r>
      <w:r w:rsidRPr="004B24FD">
        <w:rPr>
          <w:rFonts w:ascii="Century" w:hAnsi="Century"/>
          <w:sz w:val="16"/>
          <w:szCs w:val="16"/>
        </w:rPr>
        <w:t>1</w:t>
      </w:r>
      <w:r>
        <w:rPr>
          <w:rFonts w:ascii="Century" w:hAnsi="Century"/>
          <w:sz w:val="16"/>
          <w:szCs w:val="16"/>
        </w:rPr>
        <w:t>0/</w:t>
      </w:r>
      <w:r w:rsidRPr="004B24FD">
        <w:rPr>
          <w:rFonts w:ascii="Century" w:hAnsi="Century"/>
          <w:sz w:val="16"/>
          <w:szCs w:val="16"/>
        </w:rPr>
        <w:t>2017</w:t>
      </w:r>
      <w:r>
        <w:rPr>
          <w:rFonts w:ascii="Century" w:hAnsi="Century"/>
          <w:sz w:val="16"/>
          <w:szCs w:val="16"/>
        </w:rPr>
        <w:t xml:space="preserve"> referred.</w:t>
      </w:r>
      <w:r w:rsidRPr="004B24FD">
        <w:rPr>
          <w:rFonts w:ascii="Century" w:hAnsi="Century"/>
          <w:sz w:val="16"/>
          <w:szCs w:val="16"/>
        </w:rPr>
        <w:t xml:space="preserve"> </w:t>
      </w:r>
      <w:bookmarkStart w:id="1" w:name="_Hlk525743342"/>
      <w:r>
        <w:rPr>
          <w:rFonts w:ascii="Century" w:hAnsi="Century"/>
          <w:sz w:val="16"/>
          <w:szCs w:val="16"/>
        </w:rPr>
        <w:t xml:space="preserve">(Written </w:t>
      </w:r>
      <w:r w:rsidRPr="004B24FD">
        <w:rPr>
          <w:rFonts w:ascii="Century" w:hAnsi="Century"/>
          <w:sz w:val="16"/>
          <w:szCs w:val="16"/>
        </w:rPr>
        <w:t>in traditional Chinese</w:t>
      </w:r>
      <w:r>
        <w:rPr>
          <w:rFonts w:ascii="Century" w:hAnsi="Century"/>
          <w:sz w:val="16"/>
          <w:szCs w:val="16"/>
        </w:rPr>
        <w:t>)</w:t>
      </w:r>
      <w:bookmarkEnd w:id="1"/>
      <w:r>
        <w:rPr>
          <w:rFonts w:ascii="Century" w:hAnsi="Century"/>
          <w:sz w:val="16"/>
          <w:szCs w:val="16"/>
        </w:rPr>
        <w:t xml:space="preserve"> </w:t>
      </w:r>
    </w:p>
    <w:p w:rsidR="009F77A1" w:rsidRPr="00435241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435241">
        <w:rPr>
          <w:rFonts w:ascii="Century" w:hAnsi="Century"/>
          <w:sz w:val="16"/>
          <w:szCs w:val="16"/>
        </w:rPr>
        <w:t>Chen, H.P. (2015). Green Technology and Local Use: An Analysis of the Photovoltaic Socio-Technical Networks in Taiwan. Doctoral Dissertation. Department of Sociology, College of Social Science, National Taiwan University.</w:t>
      </w:r>
      <w:r>
        <w:rPr>
          <w:rFonts w:ascii="Century" w:hAnsi="Century"/>
          <w:sz w:val="16"/>
          <w:szCs w:val="16"/>
        </w:rPr>
        <w:t xml:space="preserve"> </w:t>
      </w:r>
      <w:r>
        <w:rPr>
          <w:rFonts w:ascii="Century" w:hAnsi="Century"/>
          <w:sz w:val="16"/>
          <w:szCs w:val="16"/>
        </w:rPr>
        <w:t xml:space="preserve">(Written </w:t>
      </w:r>
      <w:r w:rsidRPr="004B24FD">
        <w:rPr>
          <w:rFonts w:ascii="Century" w:hAnsi="Century"/>
          <w:sz w:val="16"/>
          <w:szCs w:val="16"/>
        </w:rPr>
        <w:t>in traditional Chinese</w:t>
      </w:r>
      <w:r>
        <w:rPr>
          <w:rFonts w:ascii="Century" w:hAnsi="Century"/>
          <w:sz w:val="16"/>
          <w:szCs w:val="16"/>
        </w:rPr>
        <w:t>)</w:t>
      </w:r>
    </w:p>
    <w:bookmarkEnd w:id="0"/>
    <w:p w:rsidR="009F77A1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885ED4">
        <w:rPr>
          <w:rFonts w:ascii="Century" w:hAnsi="Century"/>
          <w:sz w:val="16"/>
          <w:szCs w:val="16"/>
        </w:rPr>
        <w:t>Chen, Y. C.</w:t>
      </w:r>
      <w:r>
        <w:rPr>
          <w:rFonts w:ascii="Century" w:hAnsi="Century"/>
          <w:sz w:val="16"/>
          <w:szCs w:val="16"/>
        </w:rPr>
        <w:t xml:space="preserve"> (</w:t>
      </w:r>
      <w:r w:rsidRPr="00885ED4">
        <w:rPr>
          <w:rFonts w:ascii="Century" w:hAnsi="Century"/>
          <w:sz w:val="16"/>
          <w:szCs w:val="16"/>
        </w:rPr>
        <w:t>2018</w:t>
      </w:r>
      <w:r>
        <w:rPr>
          <w:rFonts w:ascii="Century" w:hAnsi="Century"/>
          <w:sz w:val="16"/>
          <w:szCs w:val="16"/>
        </w:rPr>
        <w:t>)</w:t>
      </w:r>
      <w:r w:rsidRPr="00885ED4">
        <w:rPr>
          <w:rFonts w:ascii="Century" w:hAnsi="Century"/>
          <w:sz w:val="16"/>
          <w:szCs w:val="16"/>
        </w:rPr>
        <w:t xml:space="preserve">. Does the Electricity Market Reform Indicate a True Energy Transition? An Analysis of the 2017 Electricity Act Amendments in Taiwan. </w:t>
      </w:r>
      <w:r w:rsidRPr="00885ED4">
        <w:rPr>
          <w:rFonts w:ascii="Century" w:hAnsi="Century" w:hint="eastAsia"/>
          <w:i/>
          <w:sz w:val="16"/>
          <w:szCs w:val="16"/>
        </w:rPr>
        <w:t>I</w:t>
      </w:r>
      <w:r w:rsidRPr="00885ED4">
        <w:rPr>
          <w:rFonts w:ascii="Century" w:hAnsi="Century" w:hint="eastAsia"/>
          <w:sz w:val="16"/>
          <w:szCs w:val="16"/>
        </w:rPr>
        <w:t xml:space="preserve">nternational </w:t>
      </w:r>
      <w:r w:rsidRPr="00885ED4">
        <w:rPr>
          <w:rFonts w:ascii="Century" w:hAnsi="Century"/>
          <w:sz w:val="16"/>
          <w:szCs w:val="16"/>
        </w:rPr>
        <w:t>P</w:t>
      </w:r>
      <w:r w:rsidRPr="00885ED4">
        <w:rPr>
          <w:rFonts w:ascii="Century" w:hAnsi="Century" w:hint="eastAsia"/>
          <w:sz w:val="16"/>
          <w:szCs w:val="16"/>
        </w:rPr>
        <w:t xml:space="preserve">ublic </w:t>
      </w:r>
      <w:r w:rsidRPr="00885ED4">
        <w:rPr>
          <w:rFonts w:ascii="Century" w:hAnsi="Century"/>
          <w:sz w:val="16"/>
          <w:szCs w:val="16"/>
        </w:rPr>
        <w:t>E</w:t>
      </w:r>
      <w:r w:rsidRPr="00885ED4">
        <w:rPr>
          <w:rFonts w:ascii="Century" w:hAnsi="Century" w:hint="eastAsia"/>
          <w:sz w:val="16"/>
          <w:szCs w:val="16"/>
        </w:rPr>
        <w:t xml:space="preserve">conomy </w:t>
      </w:r>
      <w:r w:rsidRPr="00885ED4">
        <w:rPr>
          <w:rFonts w:ascii="Century" w:hAnsi="Century"/>
          <w:sz w:val="16"/>
          <w:szCs w:val="16"/>
        </w:rPr>
        <w:t>S</w:t>
      </w:r>
      <w:r w:rsidRPr="00885ED4">
        <w:rPr>
          <w:rFonts w:ascii="Century" w:hAnsi="Century" w:hint="eastAsia"/>
          <w:sz w:val="16"/>
          <w:szCs w:val="16"/>
        </w:rPr>
        <w:t>tudies</w:t>
      </w:r>
      <w:r w:rsidRPr="00885ED4">
        <w:rPr>
          <w:rFonts w:ascii="Century" w:hAnsi="Century"/>
          <w:sz w:val="16"/>
          <w:szCs w:val="16"/>
        </w:rPr>
        <w:t xml:space="preserve"> </w:t>
      </w:r>
      <w:r w:rsidRPr="00885ED4">
        <w:rPr>
          <w:rFonts w:ascii="Century" w:hAnsi="Century" w:hint="eastAsia"/>
          <w:sz w:val="16"/>
          <w:szCs w:val="16"/>
        </w:rPr>
        <w:t>(</w:t>
      </w:r>
      <w:r w:rsidRPr="00885ED4">
        <w:rPr>
          <w:rFonts w:ascii="Century" w:hAnsi="Century" w:hint="eastAsia"/>
          <w:sz w:val="16"/>
          <w:szCs w:val="16"/>
        </w:rPr>
        <w:t>『国際公共経済研究』</w:t>
      </w:r>
      <w:r w:rsidRPr="00885ED4">
        <w:rPr>
          <w:rFonts w:ascii="Century" w:hAnsi="Century" w:hint="eastAsia"/>
          <w:sz w:val="16"/>
          <w:szCs w:val="16"/>
        </w:rPr>
        <w:t>)</w:t>
      </w:r>
      <w:r w:rsidRPr="00885ED4">
        <w:rPr>
          <w:rFonts w:ascii="Century" w:hAnsi="Century"/>
          <w:sz w:val="16"/>
          <w:szCs w:val="16"/>
        </w:rPr>
        <w:t xml:space="preserve">, No. 29. </w:t>
      </w:r>
      <w:r>
        <w:rPr>
          <w:rFonts w:ascii="Century" w:hAnsi="Century"/>
          <w:sz w:val="16"/>
          <w:szCs w:val="16"/>
        </w:rPr>
        <w:t>(</w:t>
      </w:r>
      <w:r w:rsidRPr="00885ED4">
        <w:rPr>
          <w:rFonts w:ascii="Century" w:hAnsi="Century"/>
          <w:sz w:val="16"/>
          <w:szCs w:val="16"/>
        </w:rPr>
        <w:t>forthcoming</w:t>
      </w:r>
      <w:r>
        <w:rPr>
          <w:rFonts w:ascii="Century" w:hAnsi="Century"/>
          <w:sz w:val="16"/>
          <w:szCs w:val="16"/>
        </w:rPr>
        <w:t>)</w:t>
      </w:r>
    </w:p>
    <w:p w:rsidR="009F77A1" w:rsidRPr="00885ED4" w:rsidRDefault="009F77A1" w:rsidP="009F77A1">
      <w:pPr>
        <w:pStyle w:val="3"/>
        <w:ind w:left="182" w:hangingChars="127" w:hanging="182"/>
        <w:rPr>
          <w:rFonts w:ascii="Century" w:hAnsi="Century" w:hint="eastAsia"/>
          <w:b/>
          <w:sz w:val="16"/>
          <w:szCs w:val="16"/>
        </w:rPr>
      </w:pPr>
      <w:r w:rsidRPr="0028566B">
        <w:rPr>
          <w:rFonts w:ascii="Century" w:hAnsi="Century"/>
          <w:sz w:val="16"/>
          <w:szCs w:val="16"/>
        </w:rPr>
        <w:t>Chiang,</w:t>
      </w:r>
      <w:r w:rsidRPr="0028566B">
        <w:rPr>
          <w:rFonts w:ascii="Century" w:hAnsi="Century"/>
          <w:sz w:val="16"/>
          <w:szCs w:val="16"/>
        </w:rPr>
        <w:tab/>
        <w:t>W.C. (2008). History of chasing the wind. Energy Monthly (</w:t>
      </w:r>
      <w:proofErr w:type="gramStart"/>
      <w:r w:rsidRPr="0028566B">
        <w:rPr>
          <w:rFonts w:ascii="Century" w:hAnsi="Century"/>
          <w:sz w:val="16"/>
          <w:szCs w:val="16"/>
        </w:rPr>
        <w:t>May,</w:t>
      </w:r>
      <w:proofErr w:type="gramEnd"/>
      <w:r w:rsidRPr="0028566B">
        <w:rPr>
          <w:rFonts w:ascii="Century" w:hAnsi="Century"/>
          <w:sz w:val="16"/>
          <w:szCs w:val="16"/>
        </w:rPr>
        <w:t xml:space="preserve"> 2008). &lt;http://energymonthly.tier.org.tw/outdatecontent.asp?ReportIssue=200805&amp;Page=5&gt;, 04/05/2016 referred. (Written in traditional Chinese)</w:t>
      </w:r>
    </w:p>
    <w:p w:rsidR="009F77A1" w:rsidRPr="00435241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435241">
        <w:rPr>
          <w:rFonts w:ascii="Century" w:hAnsi="Century"/>
          <w:sz w:val="16"/>
          <w:szCs w:val="16"/>
        </w:rPr>
        <w:t xml:space="preserve">Chou, K. T. (2017). Sociology of Climate Change: High Carbon Society and Its Transformation Challenge. Taipei: National Taiwan University Press. </w:t>
      </w:r>
      <w:r>
        <w:rPr>
          <w:rFonts w:ascii="Century" w:hAnsi="Century"/>
          <w:sz w:val="16"/>
          <w:szCs w:val="16"/>
        </w:rPr>
        <w:t xml:space="preserve">(Written </w:t>
      </w:r>
      <w:r w:rsidRPr="004B24FD">
        <w:rPr>
          <w:rFonts w:ascii="Century" w:hAnsi="Century"/>
          <w:sz w:val="16"/>
          <w:szCs w:val="16"/>
        </w:rPr>
        <w:t>in traditional Chinese</w:t>
      </w:r>
      <w:r>
        <w:rPr>
          <w:rFonts w:ascii="Century" w:hAnsi="Century"/>
          <w:sz w:val="16"/>
          <w:szCs w:val="16"/>
        </w:rPr>
        <w:t>)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proofErr w:type="spellStart"/>
      <w:r w:rsidRPr="00EC3E16">
        <w:rPr>
          <w:rFonts w:ascii="Century" w:hAnsi="Century"/>
          <w:sz w:val="16"/>
          <w:szCs w:val="16"/>
        </w:rPr>
        <w:t>Elzen</w:t>
      </w:r>
      <w:proofErr w:type="spellEnd"/>
      <w:r w:rsidRPr="00EC3E16">
        <w:rPr>
          <w:rFonts w:ascii="Century" w:hAnsi="Century"/>
          <w:sz w:val="16"/>
          <w:szCs w:val="16"/>
        </w:rPr>
        <w:t xml:space="preserve">, B., </w:t>
      </w:r>
      <w:proofErr w:type="spellStart"/>
      <w:r w:rsidRPr="00EC3E16">
        <w:rPr>
          <w:rFonts w:ascii="Century" w:hAnsi="Century"/>
          <w:sz w:val="16"/>
          <w:szCs w:val="16"/>
        </w:rPr>
        <w:t>Geels</w:t>
      </w:r>
      <w:proofErr w:type="spellEnd"/>
      <w:r w:rsidRPr="00EC3E16">
        <w:rPr>
          <w:rFonts w:ascii="Century" w:hAnsi="Century"/>
          <w:sz w:val="16"/>
          <w:szCs w:val="16"/>
        </w:rPr>
        <w:t xml:space="preserve">, F. W., &amp; Green, K. (2004). </w:t>
      </w:r>
      <w:r w:rsidRPr="00EC3E16">
        <w:rPr>
          <w:rFonts w:ascii="Century" w:hAnsi="Century"/>
          <w:i/>
          <w:sz w:val="16"/>
          <w:szCs w:val="16"/>
        </w:rPr>
        <w:t>System innovation and the transition to sustainability: theory, evidence and policy</w:t>
      </w:r>
      <w:r w:rsidRPr="00EC3E16">
        <w:rPr>
          <w:rFonts w:ascii="Century" w:hAnsi="Century"/>
          <w:sz w:val="16"/>
          <w:szCs w:val="16"/>
        </w:rPr>
        <w:t>: Edward Elgar Publishing.</w:t>
      </w:r>
    </w:p>
    <w:p w:rsidR="009F77A1" w:rsidRPr="00435241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435241">
        <w:rPr>
          <w:rFonts w:ascii="Century" w:hAnsi="Century"/>
          <w:sz w:val="16"/>
          <w:szCs w:val="16"/>
        </w:rPr>
        <w:t xml:space="preserve">Executive Yuan, Taiwan [EY] (2017b). The amendments to the Electricity Act passed. MOEA Minister: Green electricity to go first, a milestone towards the 2025 nuclear-free country. The Executive Yuan website, News &amp; Releases (January 11, 2017). Retrieved from http://www.ey.gov.tw/UnitRSS_Content.aspx?n=8092BD84714005C0&amp;s=5CFA90BD2A38244B (2017/2/20) </w:t>
      </w:r>
      <w:r>
        <w:rPr>
          <w:rFonts w:ascii="Century" w:hAnsi="Century"/>
          <w:sz w:val="16"/>
          <w:szCs w:val="16"/>
        </w:rPr>
        <w:t xml:space="preserve">(Written </w:t>
      </w:r>
      <w:r w:rsidRPr="004B24FD">
        <w:rPr>
          <w:rFonts w:ascii="Century" w:hAnsi="Century"/>
          <w:sz w:val="16"/>
          <w:szCs w:val="16"/>
        </w:rPr>
        <w:t>in traditional Chinese</w:t>
      </w:r>
      <w:r>
        <w:rPr>
          <w:rFonts w:ascii="Century" w:hAnsi="Century"/>
          <w:sz w:val="16"/>
          <w:szCs w:val="16"/>
        </w:rPr>
        <w:t>)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proofErr w:type="spellStart"/>
      <w:r w:rsidRPr="00EC3E16">
        <w:rPr>
          <w:rFonts w:ascii="Century" w:hAnsi="Century"/>
          <w:sz w:val="16"/>
          <w:szCs w:val="16"/>
        </w:rPr>
        <w:t>Geels</w:t>
      </w:r>
      <w:proofErr w:type="spellEnd"/>
      <w:r w:rsidRPr="00EC3E16">
        <w:rPr>
          <w:rFonts w:ascii="Century" w:hAnsi="Century"/>
          <w:sz w:val="16"/>
          <w:szCs w:val="16"/>
        </w:rPr>
        <w:t xml:space="preserve">, F. W. (2002). Technological transitions as evolutionary reconfiguration processes: a multi-level perspective and a case-study. </w:t>
      </w:r>
      <w:r w:rsidRPr="00EC3E16">
        <w:rPr>
          <w:rFonts w:ascii="Century" w:hAnsi="Century"/>
          <w:i/>
          <w:sz w:val="16"/>
          <w:szCs w:val="16"/>
        </w:rPr>
        <w:t>Research policy, 31</w:t>
      </w:r>
      <w:r w:rsidRPr="00EC3E16">
        <w:rPr>
          <w:rFonts w:ascii="Century" w:hAnsi="Century"/>
          <w:sz w:val="16"/>
          <w:szCs w:val="16"/>
        </w:rPr>
        <w:t xml:space="preserve">(8), 1257-1274. 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proofErr w:type="spellStart"/>
      <w:r w:rsidRPr="00EC3E16">
        <w:rPr>
          <w:rFonts w:ascii="Century" w:hAnsi="Century"/>
          <w:sz w:val="16"/>
          <w:szCs w:val="16"/>
        </w:rPr>
        <w:t>Geels</w:t>
      </w:r>
      <w:proofErr w:type="spellEnd"/>
      <w:r w:rsidRPr="00EC3E16">
        <w:rPr>
          <w:rFonts w:ascii="Century" w:hAnsi="Century"/>
          <w:sz w:val="16"/>
          <w:szCs w:val="16"/>
        </w:rPr>
        <w:t xml:space="preserve">, F. W. (2004). From sectoral systems of innovation to socio-technical systems: Insights about dynamics and change from sociology and institutional theory. </w:t>
      </w:r>
      <w:r w:rsidRPr="00EC3E16">
        <w:rPr>
          <w:rFonts w:ascii="Century" w:hAnsi="Century"/>
          <w:i/>
          <w:sz w:val="16"/>
          <w:szCs w:val="16"/>
        </w:rPr>
        <w:t>Research policy, 33</w:t>
      </w:r>
      <w:r w:rsidRPr="00EC3E16">
        <w:rPr>
          <w:rFonts w:ascii="Century" w:hAnsi="Century"/>
          <w:sz w:val="16"/>
          <w:szCs w:val="16"/>
        </w:rPr>
        <w:t xml:space="preserve">(6-7), 897-920. 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proofErr w:type="spellStart"/>
      <w:r w:rsidRPr="00EC3E16">
        <w:rPr>
          <w:rFonts w:ascii="Century" w:hAnsi="Century"/>
          <w:sz w:val="16"/>
          <w:szCs w:val="16"/>
        </w:rPr>
        <w:t>Geels</w:t>
      </w:r>
      <w:proofErr w:type="spellEnd"/>
      <w:r w:rsidRPr="00EC3E16">
        <w:rPr>
          <w:rFonts w:ascii="Century" w:hAnsi="Century"/>
          <w:sz w:val="16"/>
          <w:szCs w:val="16"/>
        </w:rPr>
        <w:t xml:space="preserve">, F. W. (2011). The multi-level perspective on sustainability transitions: Responses to seven criticisms. </w:t>
      </w:r>
      <w:r w:rsidRPr="00EC3E16">
        <w:rPr>
          <w:rFonts w:ascii="Century" w:hAnsi="Century"/>
          <w:i/>
          <w:sz w:val="16"/>
          <w:szCs w:val="16"/>
        </w:rPr>
        <w:t>Environmental Innovation and Societal Transitions, 1</w:t>
      </w:r>
      <w:r w:rsidRPr="00EC3E16">
        <w:rPr>
          <w:rFonts w:ascii="Century" w:hAnsi="Century"/>
          <w:sz w:val="16"/>
          <w:szCs w:val="16"/>
        </w:rPr>
        <w:t xml:space="preserve">(1), 24-40. 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proofErr w:type="spellStart"/>
      <w:r w:rsidRPr="00EC3E16">
        <w:rPr>
          <w:rFonts w:ascii="Century" w:hAnsi="Century"/>
          <w:sz w:val="16"/>
          <w:szCs w:val="16"/>
        </w:rPr>
        <w:t>Geels</w:t>
      </w:r>
      <w:proofErr w:type="spellEnd"/>
      <w:r w:rsidRPr="00EC3E16">
        <w:rPr>
          <w:rFonts w:ascii="Century" w:hAnsi="Century"/>
          <w:sz w:val="16"/>
          <w:szCs w:val="16"/>
        </w:rPr>
        <w:t xml:space="preserve">, F. W., &amp; </w:t>
      </w:r>
      <w:proofErr w:type="spellStart"/>
      <w:r w:rsidRPr="00EC3E16">
        <w:rPr>
          <w:rFonts w:ascii="Century" w:hAnsi="Century"/>
          <w:sz w:val="16"/>
          <w:szCs w:val="16"/>
        </w:rPr>
        <w:t>Schot</w:t>
      </w:r>
      <w:proofErr w:type="spellEnd"/>
      <w:r w:rsidRPr="00EC3E16">
        <w:rPr>
          <w:rFonts w:ascii="Century" w:hAnsi="Century"/>
          <w:sz w:val="16"/>
          <w:szCs w:val="16"/>
        </w:rPr>
        <w:t xml:space="preserve">, J. (2010). The Dynamics of Transitions: A Socio-Technical Perspective. In J. Grin, J. </w:t>
      </w:r>
      <w:proofErr w:type="spellStart"/>
      <w:r w:rsidRPr="00EC3E16">
        <w:rPr>
          <w:rFonts w:ascii="Century" w:hAnsi="Century"/>
          <w:sz w:val="16"/>
          <w:szCs w:val="16"/>
        </w:rPr>
        <w:t>Rotmans</w:t>
      </w:r>
      <w:proofErr w:type="spellEnd"/>
      <w:r w:rsidRPr="00EC3E16">
        <w:rPr>
          <w:rFonts w:ascii="Century" w:hAnsi="Century"/>
          <w:sz w:val="16"/>
          <w:szCs w:val="16"/>
        </w:rPr>
        <w:t xml:space="preserve">, &amp; J. W. </w:t>
      </w:r>
      <w:proofErr w:type="spellStart"/>
      <w:r w:rsidRPr="00EC3E16">
        <w:rPr>
          <w:rFonts w:ascii="Century" w:hAnsi="Century"/>
          <w:sz w:val="16"/>
          <w:szCs w:val="16"/>
        </w:rPr>
        <w:t>Schot</w:t>
      </w:r>
      <w:proofErr w:type="spellEnd"/>
      <w:r w:rsidRPr="00EC3E16">
        <w:rPr>
          <w:rFonts w:ascii="Century" w:hAnsi="Century"/>
          <w:sz w:val="16"/>
          <w:szCs w:val="16"/>
        </w:rPr>
        <w:t xml:space="preserve"> (Eds.), </w:t>
      </w:r>
      <w:r w:rsidRPr="00EC3E16">
        <w:rPr>
          <w:rFonts w:ascii="Century" w:hAnsi="Century"/>
          <w:i/>
          <w:sz w:val="16"/>
          <w:szCs w:val="16"/>
        </w:rPr>
        <w:t xml:space="preserve">Transitions to sustainable development: new directions in the study of </w:t>
      </w:r>
      <w:proofErr w:type="gramStart"/>
      <w:r w:rsidRPr="00EC3E16">
        <w:rPr>
          <w:rFonts w:ascii="Century" w:hAnsi="Century"/>
          <w:i/>
          <w:sz w:val="16"/>
          <w:szCs w:val="16"/>
        </w:rPr>
        <w:t>long term</w:t>
      </w:r>
      <w:proofErr w:type="gramEnd"/>
      <w:r w:rsidRPr="00EC3E16">
        <w:rPr>
          <w:rFonts w:ascii="Century" w:hAnsi="Century"/>
          <w:i/>
          <w:sz w:val="16"/>
          <w:szCs w:val="16"/>
        </w:rPr>
        <w:t xml:space="preserve"> transformative change</w:t>
      </w:r>
      <w:r w:rsidRPr="00EC3E16">
        <w:rPr>
          <w:rFonts w:ascii="Century" w:hAnsi="Century"/>
          <w:sz w:val="16"/>
          <w:szCs w:val="16"/>
        </w:rPr>
        <w:t xml:space="preserve"> (pp. 9-101). New York: Routledge.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9F77A1">
        <w:rPr>
          <w:rFonts w:ascii="Century" w:hAnsi="Century"/>
          <w:sz w:val="16"/>
          <w:szCs w:val="16"/>
        </w:rPr>
        <w:t xml:space="preserve">Geels, F. W., Kern, F., Fuchs, G., Hinderer, N., Kungl, G., Mylan, J., . . . </w:t>
      </w:r>
      <w:r w:rsidRPr="00EC3E16">
        <w:rPr>
          <w:rFonts w:ascii="Century" w:hAnsi="Century"/>
          <w:sz w:val="16"/>
          <w:szCs w:val="16"/>
        </w:rPr>
        <w:t xml:space="preserve">Wassermann, S. (2016). The enactment of socio-technical transition pathways: a reformulated typology and a comparative multi-level analysis of the German and UK low-carbon electricity transitions (1990–2014). </w:t>
      </w:r>
      <w:r w:rsidRPr="00EC3E16">
        <w:rPr>
          <w:rFonts w:ascii="Century" w:hAnsi="Century"/>
          <w:i/>
          <w:sz w:val="16"/>
          <w:szCs w:val="16"/>
        </w:rPr>
        <w:t>Research policy, 45</w:t>
      </w:r>
      <w:r w:rsidRPr="00EC3E16">
        <w:rPr>
          <w:rFonts w:ascii="Century" w:hAnsi="Century"/>
          <w:sz w:val="16"/>
          <w:szCs w:val="16"/>
        </w:rPr>
        <w:t xml:space="preserve">(4), 896-913. </w:t>
      </w:r>
    </w:p>
    <w:p w:rsidR="009F77A1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9F77A1">
        <w:rPr>
          <w:rFonts w:ascii="Century" w:hAnsi="Century"/>
          <w:sz w:val="16"/>
          <w:szCs w:val="16"/>
        </w:rPr>
        <w:t xml:space="preserve">Hindmarsh, R. A., &amp; Priestley, R. (2016). </w:t>
      </w:r>
      <w:r w:rsidRPr="00EC3E16">
        <w:rPr>
          <w:rFonts w:ascii="Century" w:hAnsi="Century"/>
          <w:i/>
          <w:sz w:val="16"/>
          <w:szCs w:val="16"/>
        </w:rPr>
        <w:t xml:space="preserve">The Fukushima </w:t>
      </w:r>
      <w:proofErr w:type="gramStart"/>
      <w:r w:rsidRPr="00EC3E16">
        <w:rPr>
          <w:rFonts w:ascii="Century" w:hAnsi="Century"/>
          <w:i/>
          <w:sz w:val="16"/>
          <w:szCs w:val="16"/>
        </w:rPr>
        <w:t>effect :</w:t>
      </w:r>
      <w:proofErr w:type="gramEnd"/>
      <w:r w:rsidRPr="00EC3E16">
        <w:rPr>
          <w:rFonts w:ascii="Century" w:hAnsi="Century"/>
          <w:i/>
          <w:sz w:val="16"/>
          <w:szCs w:val="16"/>
        </w:rPr>
        <w:t xml:space="preserve"> a new geopolitical terrain</w:t>
      </w:r>
      <w:r w:rsidRPr="00EC3E16">
        <w:rPr>
          <w:rFonts w:ascii="Century" w:hAnsi="Century"/>
          <w:sz w:val="16"/>
          <w:szCs w:val="16"/>
        </w:rPr>
        <w:t>. New York: Routledge.</w:t>
      </w:r>
    </w:p>
    <w:p w:rsidR="009F77A1" w:rsidRDefault="009F77A1" w:rsidP="009F77A1">
      <w:pPr>
        <w:pStyle w:val="3"/>
        <w:ind w:left="182" w:hangingChars="127" w:hanging="182"/>
        <w:rPr>
          <w:rFonts w:ascii="Century" w:hAnsi="Century" w:hint="eastAsia"/>
          <w:sz w:val="16"/>
          <w:szCs w:val="16"/>
        </w:rPr>
      </w:pPr>
      <w:r w:rsidRPr="00626AE4">
        <w:rPr>
          <w:rFonts w:ascii="Century" w:hAnsi="Century"/>
          <w:sz w:val="16"/>
          <w:szCs w:val="16"/>
        </w:rPr>
        <w:t xml:space="preserve">Ho, M.S. (2001). The beginning of Taiwan's </w:t>
      </w:r>
      <w:proofErr w:type="spellStart"/>
      <w:r w:rsidRPr="00626AE4">
        <w:rPr>
          <w:rFonts w:ascii="Century" w:hAnsi="Century"/>
          <w:sz w:val="16"/>
          <w:szCs w:val="16"/>
        </w:rPr>
        <w:t>encironmental</w:t>
      </w:r>
      <w:proofErr w:type="spellEnd"/>
      <w:r w:rsidRPr="00626AE4">
        <w:rPr>
          <w:rFonts w:ascii="Century" w:hAnsi="Century"/>
          <w:sz w:val="16"/>
          <w:szCs w:val="16"/>
        </w:rPr>
        <w:t xml:space="preserve"> movements: experts, outside-of-the-Party, grassroots (1980-1986). Taiwanese Sociology (2), pp.97-162. (Written in traditional Chinese)</w:t>
      </w:r>
    </w:p>
    <w:p w:rsidR="009F77A1" w:rsidRPr="00435241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435241">
        <w:rPr>
          <w:rFonts w:ascii="Century" w:hAnsi="Century"/>
          <w:sz w:val="16"/>
          <w:szCs w:val="16"/>
        </w:rPr>
        <w:t xml:space="preserve">Ho, M. S. (2002). Why did the DPP’s Government’s Anti-Nuclear Policy Fail? An Analysis of Social Mobilization, Reform Opportunity and Political Strategy. The Taiwanese Political Science Review (6) 86-137. </w:t>
      </w:r>
      <w:r>
        <w:rPr>
          <w:rFonts w:ascii="Century" w:hAnsi="Century"/>
          <w:sz w:val="16"/>
          <w:szCs w:val="16"/>
        </w:rPr>
        <w:t xml:space="preserve">(Written </w:t>
      </w:r>
      <w:r w:rsidRPr="004B24FD">
        <w:rPr>
          <w:rFonts w:ascii="Century" w:hAnsi="Century"/>
          <w:sz w:val="16"/>
          <w:szCs w:val="16"/>
        </w:rPr>
        <w:t>in traditional Chinese</w:t>
      </w:r>
      <w:r>
        <w:rPr>
          <w:rFonts w:ascii="Century" w:hAnsi="Century"/>
          <w:sz w:val="16"/>
          <w:szCs w:val="16"/>
        </w:rPr>
        <w:t>)</w:t>
      </w:r>
    </w:p>
    <w:p w:rsidR="009F77A1" w:rsidRPr="00435241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435241">
        <w:rPr>
          <w:rFonts w:ascii="Century" w:hAnsi="Century"/>
          <w:sz w:val="16"/>
          <w:szCs w:val="16"/>
        </w:rPr>
        <w:t xml:space="preserve">Ho, M. S. (2016). Fukushima Effect in Taiwan: An Explanation of the Resurgence of Anti-Nuclear Movements in Recent Years. In Chou, K. T. ed. Sustainability and Green Governance. pp. 123-155. Taipei: Risk Society and Policy Research Center, National Taiwan University. </w:t>
      </w:r>
      <w:r>
        <w:rPr>
          <w:rFonts w:ascii="Century" w:hAnsi="Century"/>
          <w:sz w:val="16"/>
          <w:szCs w:val="16"/>
        </w:rPr>
        <w:t xml:space="preserve">(Written </w:t>
      </w:r>
      <w:r w:rsidRPr="004B24FD">
        <w:rPr>
          <w:rFonts w:ascii="Century" w:hAnsi="Century"/>
          <w:sz w:val="16"/>
          <w:szCs w:val="16"/>
        </w:rPr>
        <w:t>in traditional Chinese</w:t>
      </w:r>
      <w:r>
        <w:rPr>
          <w:rFonts w:ascii="Century" w:hAnsi="Century"/>
          <w:sz w:val="16"/>
          <w:szCs w:val="16"/>
        </w:rPr>
        <w:t>)</w:t>
      </w:r>
    </w:p>
    <w:p w:rsidR="009F77A1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435241">
        <w:rPr>
          <w:rFonts w:ascii="Century" w:hAnsi="Century"/>
          <w:sz w:val="16"/>
          <w:szCs w:val="16"/>
        </w:rPr>
        <w:t xml:space="preserve">Ho, M.-S. (2018). Taiwan’s Anti-Nuclear Movement: The Making of a Militant Citizen Movement. Journal of Contemporary Asia, 48(3), 445-464. </w:t>
      </w:r>
    </w:p>
    <w:p w:rsidR="009F77A1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626AE4">
        <w:rPr>
          <w:rFonts w:ascii="Century" w:hAnsi="Century"/>
          <w:sz w:val="16"/>
          <w:szCs w:val="16"/>
        </w:rPr>
        <w:t>Hsu, C.Y. ed.</w:t>
      </w:r>
      <w:r>
        <w:rPr>
          <w:rFonts w:ascii="Century" w:hAnsi="Century"/>
          <w:sz w:val="16"/>
          <w:szCs w:val="16"/>
        </w:rPr>
        <w:t xml:space="preserve"> </w:t>
      </w:r>
      <w:r w:rsidRPr="00626AE4">
        <w:rPr>
          <w:rFonts w:ascii="Century" w:hAnsi="Century"/>
          <w:sz w:val="16"/>
          <w:szCs w:val="16"/>
        </w:rPr>
        <w:t>(1995). Comparative studies of the energy policies in Taiwan, Japan and the US. Research, Development and Evaluation Commission,</w:t>
      </w:r>
      <w:r>
        <w:rPr>
          <w:rFonts w:ascii="Century" w:hAnsi="Century"/>
          <w:sz w:val="16"/>
          <w:szCs w:val="16"/>
        </w:rPr>
        <w:t xml:space="preserve"> </w:t>
      </w:r>
      <w:r w:rsidRPr="00626AE4">
        <w:rPr>
          <w:rFonts w:ascii="Century" w:hAnsi="Century"/>
          <w:sz w:val="16"/>
          <w:szCs w:val="16"/>
        </w:rPr>
        <w:t>Executive Yuan. (Written in traditional Chinese)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 w:hint="eastAsia"/>
          <w:sz w:val="16"/>
          <w:szCs w:val="16"/>
        </w:rPr>
      </w:pPr>
      <w:r w:rsidRPr="008C4FBF">
        <w:rPr>
          <w:rFonts w:ascii="Century" w:hAnsi="Century"/>
          <w:sz w:val="16"/>
          <w:szCs w:val="16"/>
          <w:lang w:val="de-DE"/>
        </w:rPr>
        <w:t xml:space="preserve">Kang, C. C. et al. </w:t>
      </w:r>
      <w:r w:rsidRPr="008C4FBF">
        <w:rPr>
          <w:rFonts w:ascii="Century" w:hAnsi="Century"/>
          <w:sz w:val="16"/>
          <w:szCs w:val="16"/>
        </w:rPr>
        <w:t>(2017). 2017 Emerging Energy Industry Yearbook. ITRI. (Written in traditional Chinese)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EC3E16">
        <w:rPr>
          <w:rFonts w:ascii="Century" w:hAnsi="Century"/>
          <w:sz w:val="16"/>
          <w:szCs w:val="16"/>
        </w:rPr>
        <w:t xml:space="preserve">Lockwood, M. (2015). The Political Dynamics of Green Transformations: Feedback Effects and Institutional Context. In I. </w:t>
      </w:r>
      <w:proofErr w:type="spellStart"/>
      <w:r w:rsidRPr="00EC3E16">
        <w:rPr>
          <w:rFonts w:ascii="Century" w:hAnsi="Century"/>
          <w:sz w:val="16"/>
          <w:szCs w:val="16"/>
        </w:rPr>
        <w:t>Scoones</w:t>
      </w:r>
      <w:proofErr w:type="spellEnd"/>
      <w:r w:rsidRPr="00EC3E16">
        <w:rPr>
          <w:rFonts w:ascii="Century" w:hAnsi="Century"/>
          <w:sz w:val="16"/>
          <w:szCs w:val="16"/>
        </w:rPr>
        <w:t xml:space="preserve">, M. Leach, &amp; P. Newell (Eds.), </w:t>
      </w:r>
      <w:r w:rsidRPr="00EC3E16">
        <w:rPr>
          <w:rFonts w:ascii="Century" w:hAnsi="Century"/>
          <w:i/>
          <w:sz w:val="16"/>
          <w:szCs w:val="16"/>
        </w:rPr>
        <w:t>The Politics of Green Transformations</w:t>
      </w:r>
      <w:r w:rsidRPr="00EC3E16">
        <w:rPr>
          <w:rFonts w:ascii="Century" w:hAnsi="Century"/>
          <w:sz w:val="16"/>
          <w:szCs w:val="16"/>
        </w:rPr>
        <w:t xml:space="preserve"> (pp. 86-101). London: Routledge.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EC3E16">
        <w:rPr>
          <w:rFonts w:ascii="Century" w:hAnsi="Century"/>
          <w:sz w:val="16"/>
          <w:szCs w:val="16"/>
        </w:rPr>
        <w:t xml:space="preserve">Lockwood, M., </w:t>
      </w:r>
      <w:proofErr w:type="spellStart"/>
      <w:r w:rsidRPr="00EC3E16">
        <w:rPr>
          <w:rFonts w:ascii="Century" w:hAnsi="Century"/>
          <w:sz w:val="16"/>
          <w:szCs w:val="16"/>
        </w:rPr>
        <w:t>Kuzemko</w:t>
      </w:r>
      <w:proofErr w:type="spellEnd"/>
      <w:r w:rsidRPr="00EC3E16">
        <w:rPr>
          <w:rFonts w:ascii="Century" w:hAnsi="Century"/>
          <w:sz w:val="16"/>
          <w:szCs w:val="16"/>
        </w:rPr>
        <w:t xml:space="preserve">, C., Mitchell, C., &amp; </w:t>
      </w:r>
      <w:proofErr w:type="spellStart"/>
      <w:r w:rsidRPr="00EC3E16">
        <w:rPr>
          <w:rFonts w:ascii="Century" w:hAnsi="Century"/>
          <w:sz w:val="16"/>
          <w:szCs w:val="16"/>
        </w:rPr>
        <w:t>Hoggett</w:t>
      </w:r>
      <w:proofErr w:type="spellEnd"/>
      <w:r w:rsidRPr="00EC3E16">
        <w:rPr>
          <w:rFonts w:ascii="Century" w:hAnsi="Century"/>
          <w:sz w:val="16"/>
          <w:szCs w:val="16"/>
        </w:rPr>
        <w:t xml:space="preserve">, R. (2013). </w:t>
      </w:r>
      <w:proofErr w:type="spellStart"/>
      <w:r w:rsidRPr="00EC3E16">
        <w:rPr>
          <w:rFonts w:ascii="Century" w:hAnsi="Century"/>
          <w:sz w:val="16"/>
          <w:szCs w:val="16"/>
        </w:rPr>
        <w:t>Theorising</w:t>
      </w:r>
      <w:proofErr w:type="spellEnd"/>
      <w:r w:rsidRPr="00EC3E16">
        <w:rPr>
          <w:rFonts w:ascii="Century" w:hAnsi="Century"/>
          <w:sz w:val="16"/>
          <w:szCs w:val="16"/>
        </w:rPr>
        <w:t xml:space="preserve"> governance and innovation in sustainable energy transitions. </w:t>
      </w:r>
      <w:r w:rsidRPr="00EC3E16">
        <w:rPr>
          <w:rFonts w:ascii="Century" w:hAnsi="Century"/>
          <w:i/>
          <w:sz w:val="16"/>
          <w:szCs w:val="16"/>
        </w:rPr>
        <w:t>University of Exeter</w:t>
      </w:r>
      <w:r w:rsidRPr="00EC3E16">
        <w:rPr>
          <w:rFonts w:ascii="Century" w:hAnsi="Century"/>
          <w:sz w:val="16"/>
          <w:szCs w:val="16"/>
        </w:rPr>
        <w:t xml:space="preserve">. 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9F77A1">
        <w:rPr>
          <w:rFonts w:ascii="Century" w:hAnsi="Century"/>
          <w:sz w:val="16"/>
          <w:szCs w:val="16"/>
        </w:rPr>
        <w:t xml:space="preserve">Moallemi, E. A., de Haan, F. J., Webb, J. M., George, B. A., &amp; Aye, L. (2017). </w:t>
      </w:r>
      <w:r w:rsidRPr="00EC3E16">
        <w:rPr>
          <w:rFonts w:ascii="Century" w:hAnsi="Century"/>
          <w:sz w:val="16"/>
          <w:szCs w:val="16"/>
        </w:rPr>
        <w:t xml:space="preserve">Transition dynamics in state-influenced niche empowerments: Experiences from India's electricity sector. </w:t>
      </w:r>
      <w:r w:rsidRPr="00EC3E16">
        <w:rPr>
          <w:rFonts w:ascii="Century" w:hAnsi="Century"/>
          <w:i/>
          <w:sz w:val="16"/>
          <w:szCs w:val="16"/>
        </w:rPr>
        <w:t>Technological Forecasting and Social Change, 116</w:t>
      </w:r>
      <w:r w:rsidRPr="00EC3E16">
        <w:rPr>
          <w:rFonts w:ascii="Century" w:hAnsi="Century"/>
          <w:sz w:val="16"/>
          <w:szCs w:val="16"/>
        </w:rPr>
        <w:t xml:space="preserve">, 129-141. 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EC3E16">
        <w:rPr>
          <w:rFonts w:ascii="Century" w:hAnsi="Century"/>
          <w:sz w:val="16"/>
          <w:szCs w:val="16"/>
        </w:rPr>
        <w:t xml:space="preserve">Mori, A. (2017). Temporal dynamics of </w:t>
      </w:r>
      <w:proofErr w:type="spellStart"/>
      <w:r w:rsidRPr="00EC3E16">
        <w:rPr>
          <w:rFonts w:ascii="Century" w:hAnsi="Century"/>
          <w:sz w:val="16"/>
          <w:szCs w:val="16"/>
        </w:rPr>
        <w:t>infrasystem</w:t>
      </w:r>
      <w:proofErr w:type="spellEnd"/>
      <w:r w:rsidRPr="00EC3E16">
        <w:rPr>
          <w:rFonts w:ascii="Century" w:hAnsi="Century"/>
          <w:sz w:val="16"/>
          <w:szCs w:val="16"/>
        </w:rPr>
        <w:t xml:space="preserve"> transition: The case of electricity system transition in Japan. </w:t>
      </w:r>
      <w:r w:rsidRPr="00EC3E16">
        <w:rPr>
          <w:rFonts w:ascii="Century" w:hAnsi="Century"/>
          <w:i/>
          <w:sz w:val="16"/>
          <w:szCs w:val="16"/>
        </w:rPr>
        <w:t>Technological Forecasting and Social Change</w:t>
      </w:r>
      <w:r w:rsidRPr="00EC3E16">
        <w:rPr>
          <w:rFonts w:ascii="Century" w:hAnsi="Century"/>
          <w:sz w:val="16"/>
          <w:szCs w:val="16"/>
        </w:rPr>
        <w:t xml:space="preserve">. </w:t>
      </w:r>
    </w:p>
    <w:p w:rsidR="009F77A1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EC3E16">
        <w:rPr>
          <w:rFonts w:ascii="Century" w:hAnsi="Century"/>
          <w:sz w:val="16"/>
          <w:szCs w:val="16"/>
        </w:rPr>
        <w:t xml:space="preserve">Mori, A. (2018). Socio-technical and political economy perspectives in the Chinese energy transition. </w:t>
      </w:r>
      <w:r w:rsidRPr="00EC3E16">
        <w:rPr>
          <w:rFonts w:ascii="Century" w:hAnsi="Century"/>
          <w:i/>
          <w:sz w:val="16"/>
          <w:szCs w:val="16"/>
        </w:rPr>
        <w:t>Energy Research &amp; Social Science, 35</w:t>
      </w:r>
      <w:r w:rsidRPr="00EC3E16">
        <w:rPr>
          <w:rFonts w:ascii="Century" w:hAnsi="Century"/>
          <w:sz w:val="16"/>
          <w:szCs w:val="16"/>
        </w:rPr>
        <w:t xml:space="preserve">, 28-36. 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 w:hint="eastAsia"/>
          <w:sz w:val="16"/>
          <w:szCs w:val="16"/>
        </w:rPr>
      </w:pPr>
      <w:r w:rsidRPr="00626AE4">
        <w:rPr>
          <w:rFonts w:ascii="Century" w:hAnsi="Century"/>
          <w:sz w:val="16"/>
          <w:szCs w:val="16"/>
        </w:rPr>
        <w:t>Shen, T.</w:t>
      </w:r>
      <w:r>
        <w:rPr>
          <w:rFonts w:ascii="Century" w:hAnsi="Century"/>
          <w:sz w:val="16"/>
          <w:szCs w:val="16"/>
        </w:rPr>
        <w:t xml:space="preserve"> </w:t>
      </w:r>
      <w:r w:rsidRPr="00626AE4">
        <w:rPr>
          <w:rFonts w:ascii="Century" w:hAnsi="Century"/>
          <w:sz w:val="16"/>
          <w:szCs w:val="16"/>
        </w:rPr>
        <w:t>J.</w:t>
      </w:r>
      <w:r>
        <w:rPr>
          <w:rFonts w:ascii="Century" w:hAnsi="Century"/>
          <w:sz w:val="16"/>
          <w:szCs w:val="16"/>
        </w:rPr>
        <w:t xml:space="preserve"> </w:t>
      </w:r>
      <w:r w:rsidRPr="00626AE4">
        <w:rPr>
          <w:rFonts w:ascii="Century" w:hAnsi="Century"/>
          <w:sz w:val="16"/>
          <w:szCs w:val="16"/>
        </w:rPr>
        <w:t xml:space="preserve">(2001). Political Democratization and Liberalization in Taiwan. In State and Society: Analyzing the Experience of the </w:t>
      </w:r>
      <w:r w:rsidRPr="00626AE4">
        <w:rPr>
          <w:rFonts w:ascii="Century" w:hAnsi="Century"/>
          <w:sz w:val="16"/>
          <w:szCs w:val="16"/>
        </w:rPr>
        <w:lastRenderedPageBreak/>
        <w:t xml:space="preserve">Republic of </w:t>
      </w:r>
      <w:proofErr w:type="spellStart"/>
      <w:r w:rsidRPr="00626AE4">
        <w:rPr>
          <w:rFonts w:ascii="Century" w:hAnsi="Century"/>
          <w:sz w:val="16"/>
          <w:szCs w:val="16"/>
        </w:rPr>
        <w:t>China.New</w:t>
      </w:r>
      <w:proofErr w:type="spellEnd"/>
      <w:r w:rsidRPr="00626AE4">
        <w:rPr>
          <w:rFonts w:ascii="Century" w:hAnsi="Century"/>
          <w:sz w:val="16"/>
          <w:szCs w:val="16"/>
        </w:rPr>
        <w:t xml:space="preserve"> Taipei City: Weber Publisher. (Written in traditional Chinese)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EC3E16">
        <w:rPr>
          <w:rFonts w:ascii="Century" w:hAnsi="Century"/>
          <w:sz w:val="16"/>
          <w:szCs w:val="16"/>
        </w:rPr>
        <w:t>Suzuki, R. (2017, January 11). Taiwan: “Phase-out of Nuclear Power Act” passed. Significantly increase the ratio of renewables.</w:t>
      </w:r>
      <w:r w:rsidRPr="00EC3E16">
        <w:rPr>
          <w:rFonts w:ascii="Century" w:hAnsi="Century"/>
          <w:i/>
          <w:sz w:val="16"/>
          <w:szCs w:val="16"/>
        </w:rPr>
        <w:t xml:space="preserve"> Mainichi Newspaper</w:t>
      </w:r>
      <w:r w:rsidRPr="00EC3E16">
        <w:rPr>
          <w:rFonts w:ascii="Century" w:hAnsi="Century"/>
          <w:sz w:val="16"/>
          <w:szCs w:val="16"/>
        </w:rPr>
        <w:t xml:space="preserve">. Retrieved from </w:t>
      </w:r>
      <w:r>
        <w:rPr>
          <w:rFonts w:ascii="Century" w:hAnsi="Century"/>
          <w:sz w:val="16"/>
          <w:szCs w:val="16"/>
        </w:rPr>
        <w:t>&lt;</w:t>
      </w:r>
      <w:r w:rsidRPr="00435241">
        <w:rPr>
          <w:rFonts w:ascii="Century" w:hAnsi="Century"/>
          <w:sz w:val="16"/>
          <w:szCs w:val="16"/>
        </w:rPr>
        <w:t>https://mainichi.jp/articles/20170111/k00/00m/030/065000c</w:t>
      </w:r>
      <w:r>
        <w:rPr>
          <w:rFonts w:ascii="Century" w:hAnsi="Century"/>
          <w:sz w:val="16"/>
          <w:szCs w:val="16"/>
        </w:rPr>
        <w:t xml:space="preserve">&gt; </w:t>
      </w:r>
      <w:r>
        <w:rPr>
          <w:rFonts w:ascii="Century" w:hAnsi="Century"/>
          <w:sz w:val="16"/>
          <w:szCs w:val="16"/>
        </w:rPr>
        <w:t xml:space="preserve">(Written </w:t>
      </w:r>
      <w:r w:rsidRPr="004B24FD">
        <w:rPr>
          <w:rFonts w:ascii="Century" w:hAnsi="Century"/>
          <w:sz w:val="16"/>
          <w:szCs w:val="16"/>
        </w:rPr>
        <w:t xml:space="preserve">in </w:t>
      </w:r>
      <w:r>
        <w:rPr>
          <w:rFonts w:ascii="Century" w:hAnsi="Century"/>
          <w:sz w:val="16"/>
          <w:szCs w:val="16"/>
        </w:rPr>
        <w:t>Japa</w:t>
      </w:r>
      <w:r w:rsidRPr="004B24FD">
        <w:rPr>
          <w:rFonts w:ascii="Century" w:hAnsi="Century"/>
          <w:sz w:val="16"/>
          <w:szCs w:val="16"/>
        </w:rPr>
        <w:t>nese</w:t>
      </w:r>
      <w:r>
        <w:rPr>
          <w:rFonts w:ascii="Century" w:hAnsi="Century"/>
          <w:sz w:val="16"/>
          <w:szCs w:val="16"/>
        </w:rPr>
        <w:t>)</w:t>
      </w:r>
    </w:p>
    <w:p w:rsidR="009F77A1" w:rsidRPr="00435241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435241">
        <w:rPr>
          <w:rFonts w:ascii="Century" w:hAnsi="Century"/>
          <w:sz w:val="16"/>
          <w:szCs w:val="16"/>
        </w:rPr>
        <w:t>Taiwan Power Company [</w:t>
      </w:r>
      <w:proofErr w:type="spellStart"/>
      <w:r w:rsidRPr="00435241">
        <w:rPr>
          <w:rFonts w:ascii="Century" w:hAnsi="Century"/>
          <w:sz w:val="16"/>
          <w:szCs w:val="16"/>
        </w:rPr>
        <w:t>Taipower</w:t>
      </w:r>
      <w:proofErr w:type="spellEnd"/>
      <w:r w:rsidRPr="00435241">
        <w:rPr>
          <w:rFonts w:ascii="Century" w:hAnsi="Century"/>
          <w:sz w:val="16"/>
          <w:szCs w:val="16"/>
        </w:rPr>
        <w:t xml:space="preserve">]. (2017). About </w:t>
      </w:r>
      <w:proofErr w:type="spellStart"/>
      <w:r w:rsidRPr="00435241">
        <w:rPr>
          <w:rFonts w:ascii="Century" w:hAnsi="Century"/>
          <w:sz w:val="16"/>
          <w:szCs w:val="16"/>
        </w:rPr>
        <w:t>Taipower</w:t>
      </w:r>
      <w:proofErr w:type="spellEnd"/>
      <w:r w:rsidRPr="00435241">
        <w:rPr>
          <w:rFonts w:ascii="Century" w:hAnsi="Century"/>
          <w:sz w:val="16"/>
          <w:szCs w:val="16"/>
        </w:rPr>
        <w:t xml:space="preserve">: History and development. Retrieved from https://www.taipower.com.tw/tc/page.aspx?mid=33 </w:t>
      </w:r>
      <w:r>
        <w:rPr>
          <w:rFonts w:ascii="Century" w:hAnsi="Century"/>
          <w:sz w:val="16"/>
          <w:szCs w:val="16"/>
        </w:rPr>
        <w:t xml:space="preserve">(Written </w:t>
      </w:r>
      <w:r w:rsidRPr="004B24FD">
        <w:rPr>
          <w:rFonts w:ascii="Century" w:hAnsi="Century"/>
          <w:sz w:val="16"/>
          <w:szCs w:val="16"/>
        </w:rPr>
        <w:t>in traditional Chinese</w:t>
      </w:r>
      <w:r>
        <w:rPr>
          <w:rFonts w:ascii="Century" w:hAnsi="Century"/>
          <w:sz w:val="16"/>
          <w:szCs w:val="16"/>
        </w:rPr>
        <w:t>)</w:t>
      </w:r>
    </w:p>
    <w:p w:rsidR="009F77A1" w:rsidRPr="00CA1F12" w:rsidRDefault="009F77A1" w:rsidP="009F77A1">
      <w:pPr>
        <w:pStyle w:val="3"/>
        <w:ind w:left="182" w:hangingChars="127" w:hanging="182"/>
        <w:rPr>
          <w:rFonts w:ascii="Century" w:hAnsi="Century" w:hint="eastAsia"/>
          <w:sz w:val="16"/>
          <w:szCs w:val="16"/>
        </w:rPr>
      </w:pPr>
      <w:r w:rsidRPr="00435241">
        <w:rPr>
          <w:rFonts w:ascii="Century" w:hAnsi="Century"/>
          <w:sz w:val="16"/>
          <w:szCs w:val="16"/>
        </w:rPr>
        <w:t xml:space="preserve">Tseng, Y. J. (2015). An Analysis of Taiwan’s Energy Transition Challenge (2008 to 2015). Master Thesis. Graduate Institute of National Development, College of Social Science, National Taiwan University. </w:t>
      </w:r>
      <w:r>
        <w:rPr>
          <w:rFonts w:ascii="Century" w:hAnsi="Century"/>
          <w:sz w:val="16"/>
          <w:szCs w:val="16"/>
        </w:rPr>
        <w:t xml:space="preserve">(Written </w:t>
      </w:r>
      <w:r w:rsidRPr="004B24FD">
        <w:rPr>
          <w:rFonts w:ascii="Century" w:hAnsi="Century"/>
          <w:sz w:val="16"/>
          <w:szCs w:val="16"/>
        </w:rPr>
        <w:t>in traditional Chinese</w:t>
      </w:r>
      <w:r>
        <w:rPr>
          <w:rFonts w:ascii="Century" w:hAnsi="Century"/>
          <w:sz w:val="16"/>
          <w:szCs w:val="16"/>
        </w:rPr>
        <w:t>)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r w:rsidRPr="009F77A1">
        <w:rPr>
          <w:rFonts w:ascii="Century" w:hAnsi="Century"/>
          <w:sz w:val="16"/>
          <w:szCs w:val="16"/>
        </w:rPr>
        <w:t xml:space="preserve">Van </w:t>
      </w:r>
      <w:proofErr w:type="spellStart"/>
      <w:r w:rsidRPr="009F77A1">
        <w:rPr>
          <w:rFonts w:ascii="Century" w:hAnsi="Century"/>
          <w:sz w:val="16"/>
          <w:szCs w:val="16"/>
        </w:rPr>
        <w:t>Driel</w:t>
      </w:r>
      <w:proofErr w:type="spellEnd"/>
      <w:r w:rsidRPr="009F77A1">
        <w:rPr>
          <w:rFonts w:ascii="Century" w:hAnsi="Century"/>
          <w:sz w:val="16"/>
          <w:szCs w:val="16"/>
        </w:rPr>
        <w:t xml:space="preserve">, H., &amp; </w:t>
      </w:r>
      <w:proofErr w:type="spellStart"/>
      <w:r w:rsidRPr="009F77A1">
        <w:rPr>
          <w:rFonts w:ascii="Century" w:hAnsi="Century"/>
          <w:sz w:val="16"/>
          <w:szCs w:val="16"/>
        </w:rPr>
        <w:t>Schot</w:t>
      </w:r>
      <w:proofErr w:type="spellEnd"/>
      <w:r w:rsidRPr="009F77A1">
        <w:rPr>
          <w:rFonts w:ascii="Century" w:hAnsi="Century"/>
          <w:sz w:val="16"/>
          <w:szCs w:val="16"/>
        </w:rPr>
        <w:t xml:space="preserve">, J. (2005). </w:t>
      </w:r>
      <w:r w:rsidRPr="00EC3E16">
        <w:rPr>
          <w:rFonts w:ascii="Century" w:hAnsi="Century"/>
          <w:sz w:val="16"/>
          <w:szCs w:val="16"/>
        </w:rPr>
        <w:t xml:space="preserve">Radical innovation as a multilevel process: introducing floating grain elevators in the port of Rotterdam. </w:t>
      </w:r>
      <w:r w:rsidRPr="00EC3E16">
        <w:rPr>
          <w:rFonts w:ascii="Century" w:hAnsi="Century"/>
          <w:i/>
          <w:sz w:val="16"/>
          <w:szCs w:val="16"/>
        </w:rPr>
        <w:t>Technology and Culture, 46</w:t>
      </w:r>
      <w:r w:rsidRPr="00EC3E16">
        <w:rPr>
          <w:rFonts w:ascii="Century" w:hAnsi="Century"/>
          <w:sz w:val="16"/>
          <w:szCs w:val="16"/>
        </w:rPr>
        <w:t xml:space="preserve">(1), 51-76. 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proofErr w:type="spellStart"/>
      <w:r w:rsidRPr="00EC3E16">
        <w:rPr>
          <w:rFonts w:ascii="Century" w:hAnsi="Century"/>
          <w:sz w:val="16"/>
          <w:szCs w:val="16"/>
        </w:rPr>
        <w:t>Verbong</w:t>
      </w:r>
      <w:proofErr w:type="spellEnd"/>
      <w:r w:rsidRPr="00EC3E16">
        <w:rPr>
          <w:rFonts w:ascii="Century" w:hAnsi="Century"/>
          <w:sz w:val="16"/>
          <w:szCs w:val="16"/>
        </w:rPr>
        <w:t xml:space="preserve">, G., &amp; </w:t>
      </w:r>
      <w:proofErr w:type="spellStart"/>
      <w:r w:rsidRPr="00EC3E16">
        <w:rPr>
          <w:rFonts w:ascii="Century" w:hAnsi="Century"/>
          <w:sz w:val="16"/>
          <w:szCs w:val="16"/>
        </w:rPr>
        <w:t>Geels</w:t>
      </w:r>
      <w:proofErr w:type="spellEnd"/>
      <w:r w:rsidRPr="00EC3E16">
        <w:rPr>
          <w:rFonts w:ascii="Century" w:hAnsi="Century"/>
          <w:sz w:val="16"/>
          <w:szCs w:val="16"/>
        </w:rPr>
        <w:t xml:space="preserve">, F. (2007). The ongoing energy transition: lessons from a socio-technical, multi-level analysis of the Dutch electricity system (1960–2004). </w:t>
      </w:r>
      <w:r w:rsidRPr="00EC3E16">
        <w:rPr>
          <w:rFonts w:ascii="Century" w:hAnsi="Century"/>
          <w:i/>
          <w:sz w:val="16"/>
          <w:szCs w:val="16"/>
        </w:rPr>
        <w:t>Energy policy, 35</w:t>
      </w:r>
      <w:r w:rsidRPr="00EC3E16">
        <w:rPr>
          <w:rFonts w:ascii="Century" w:hAnsi="Century"/>
          <w:sz w:val="16"/>
          <w:szCs w:val="16"/>
        </w:rPr>
        <w:t xml:space="preserve">(2), 1025-1037. 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proofErr w:type="spellStart"/>
      <w:r w:rsidRPr="00EC3E16">
        <w:rPr>
          <w:rFonts w:ascii="Century" w:hAnsi="Century"/>
          <w:sz w:val="16"/>
          <w:szCs w:val="16"/>
        </w:rPr>
        <w:t>Verbong</w:t>
      </w:r>
      <w:proofErr w:type="spellEnd"/>
      <w:r w:rsidRPr="00EC3E16">
        <w:rPr>
          <w:rFonts w:ascii="Century" w:hAnsi="Century"/>
          <w:sz w:val="16"/>
          <w:szCs w:val="16"/>
        </w:rPr>
        <w:t xml:space="preserve">, G., &amp; </w:t>
      </w:r>
      <w:proofErr w:type="spellStart"/>
      <w:r w:rsidRPr="00EC3E16">
        <w:rPr>
          <w:rFonts w:ascii="Century" w:hAnsi="Century"/>
          <w:sz w:val="16"/>
          <w:szCs w:val="16"/>
        </w:rPr>
        <w:t>Loorbach</w:t>
      </w:r>
      <w:proofErr w:type="spellEnd"/>
      <w:r w:rsidRPr="00EC3E16">
        <w:rPr>
          <w:rFonts w:ascii="Century" w:hAnsi="Century"/>
          <w:sz w:val="16"/>
          <w:szCs w:val="16"/>
        </w:rPr>
        <w:t xml:space="preserve">, D. (2012). Introduction. In G. </w:t>
      </w:r>
      <w:proofErr w:type="spellStart"/>
      <w:r w:rsidRPr="00EC3E16">
        <w:rPr>
          <w:rFonts w:ascii="Century" w:hAnsi="Century"/>
          <w:sz w:val="16"/>
          <w:szCs w:val="16"/>
        </w:rPr>
        <w:t>Verbong</w:t>
      </w:r>
      <w:proofErr w:type="spellEnd"/>
      <w:r w:rsidRPr="00EC3E16">
        <w:rPr>
          <w:rFonts w:ascii="Century" w:hAnsi="Century"/>
          <w:sz w:val="16"/>
          <w:szCs w:val="16"/>
        </w:rPr>
        <w:t xml:space="preserve"> &amp; D. </w:t>
      </w:r>
      <w:proofErr w:type="spellStart"/>
      <w:r w:rsidRPr="00EC3E16">
        <w:rPr>
          <w:rFonts w:ascii="Century" w:hAnsi="Century"/>
          <w:sz w:val="16"/>
          <w:szCs w:val="16"/>
        </w:rPr>
        <w:t>Loorbach</w:t>
      </w:r>
      <w:proofErr w:type="spellEnd"/>
      <w:r w:rsidRPr="00EC3E16">
        <w:rPr>
          <w:rFonts w:ascii="Century" w:hAnsi="Century"/>
          <w:sz w:val="16"/>
          <w:szCs w:val="16"/>
        </w:rPr>
        <w:t xml:space="preserve"> (Eds.), </w:t>
      </w:r>
      <w:r w:rsidRPr="00EC3E16">
        <w:rPr>
          <w:rFonts w:ascii="Century" w:hAnsi="Century"/>
          <w:i/>
          <w:sz w:val="16"/>
          <w:szCs w:val="16"/>
        </w:rPr>
        <w:t>Governing the energy transition: reality, illusion or necessity?</w:t>
      </w:r>
      <w:r w:rsidRPr="00EC3E16">
        <w:rPr>
          <w:rFonts w:ascii="Century" w:hAnsi="Century"/>
          <w:sz w:val="16"/>
          <w:szCs w:val="16"/>
        </w:rPr>
        <w:t xml:space="preserve"> (pp. 1-23). New York: Routledge.</w:t>
      </w:r>
    </w:p>
    <w:p w:rsidR="009F77A1" w:rsidRPr="00EC3E16" w:rsidRDefault="009F77A1" w:rsidP="009F77A1">
      <w:pPr>
        <w:pStyle w:val="3"/>
        <w:ind w:left="182" w:hangingChars="127" w:hanging="182"/>
        <w:rPr>
          <w:rFonts w:ascii="Century" w:hAnsi="Century"/>
          <w:sz w:val="16"/>
          <w:szCs w:val="16"/>
        </w:rPr>
      </w:pPr>
      <w:proofErr w:type="spellStart"/>
      <w:r w:rsidRPr="00EC3E16">
        <w:rPr>
          <w:rFonts w:ascii="Century" w:hAnsi="Century"/>
          <w:sz w:val="16"/>
          <w:szCs w:val="16"/>
        </w:rPr>
        <w:t>Wieczorek</w:t>
      </w:r>
      <w:proofErr w:type="spellEnd"/>
      <w:r w:rsidRPr="00EC3E16">
        <w:rPr>
          <w:rFonts w:ascii="Century" w:hAnsi="Century"/>
          <w:sz w:val="16"/>
          <w:szCs w:val="16"/>
        </w:rPr>
        <w:t xml:space="preserve">, A. J. (2018). Sustainability transitions in developing countries: Major insights and their implications for research and policy. </w:t>
      </w:r>
      <w:r w:rsidRPr="00EC3E16">
        <w:rPr>
          <w:rFonts w:ascii="Century" w:hAnsi="Century"/>
          <w:i/>
          <w:sz w:val="16"/>
          <w:szCs w:val="16"/>
        </w:rPr>
        <w:t>environmental science &amp; policy, 84</w:t>
      </w:r>
      <w:r w:rsidRPr="00EC3E16">
        <w:rPr>
          <w:rFonts w:ascii="Century" w:hAnsi="Century"/>
          <w:sz w:val="16"/>
          <w:szCs w:val="16"/>
        </w:rPr>
        <w:t xml:space="preserve">, 204-216. </w:t>
      </w:r>
    </w:p>
    <w:p w:rsidR="004953B9" w:rsidRPr="009F77A1" w:rsidRDefault="004953B9">
      <w:bookmarkStart w:id="2" w:name="_GoBack"/>
      <w:bookmarkEnd w:id="2"/>
    </w:p>
    <w:sectPr w:rsidR="004953B9" w:rsidRPr="009F77A1" w:rsidSect="009F77A1">
      <w:footerReference w:type="default" r:id="rId4"/>
      <w:pgSz w:w="11906" w:h="16838" w:code="9"/>
      <w:pgMar w:top="1531" w:right="1021" w:bottom="1531" w:left="1021" w:header="0" w:footer="885" w:gutter="0"/>
      <w:lnNumType w:countBy="1" w:distance="28"/>
      <w:cols w:num="2" w:space="425"/>
      <w:docGrid w:type="linesAndChars" w:linePitch="299" w:charSpace="-34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232" w:rsidRPr="00BB1EBB" w:rsidRDefault="009F77A1">
    <w:pPr>
      <w:pStyle w:val="a3"/>
      <w:jc w:val="center"/>
      <w:rPr>
        <w:rFonts w:ascii="ＭＳ 明朝" w:hAnsi="ＭＳ 明朝"/>
      </w:rPr>
    </w:pPr>
    <w:r w:rsidRPr="00BB1EBB">
      <w:rPr>
        <w:rStyle w:val="a5"/>
        <w:rFonts w:ascii="ＭＳ 明朝" w:hAnsi="ＭＳ 明朝"/>
      </w:rPr>
      <w:fldChar w:fldCharType="begin"/>
    </w:r>
    <w:r w:rsidRPr="00BB1EBB">
      <w:rPr>
        <w:rStyle w:val="a5"/>
        <w:rFonts w:ascii="ＭＳ 明朝" w:hAnsi="ＭＳ 明朝"/>
      </w:rPr>
      <w:instrText xml:space="preserve"> PAGE </w:instrText>
    </w:r>
    <w:r w:rsidRPr="00BB1EBB">
      <w:rPr>
        <w:rStyle w:val="a5"/>
        <w:rFonts w:ascii="ＭＳ 明朝" w:hAnsi="ＭＳ 明朝"/>
      </w:rPr>
      <w:fldChar w:fldCharType="separate"/>
    </w:r>
    <w:r>
      <w:rPr>
        <w:rStyle w:val="a5"/>
        <w:rFonts w:ascii="ＭＳ 明朝" w:hAnsi="ＭＳ 明朝"/>
      </w:rPr>
      <w:t>6</w:t>
    </w:r>
    <w:r w:rsidRPr="00BB1EBB">
      <w:rPr>
        <w:rStyle w:val="a5"/>
        <w:rFonts w:ascii="ＭＳ 明朝" w:hAnsi="ＭＳ 明朝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A1"/>
    <w:rsid w:val="004953B9"/>
    <w:rsid w:val="0060663F"/>
    <w:rsid w:val="009F77A1"/>
    <w:rsid w:val="00C3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72D528-3A27-45B7-BF94-D3272036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7A1"/>
    <w:pPr>
      <w:widowControl w:val="0"/>
      <w:jc w:val="both"/>
    </w:pPr>
    <w:rPr>
      <w:rFonts w:ascii="Times" w:eastAsia="ＭＳ 明朝" w:hAnsi="Times" w:cs="Times New Roman"/>
      <w:sz w:val="20"/>
      <w:szCs w:val="20"/>
    </w:rPr>
  </w:style>
  <w:style w:type="paragraph" w:styleId="2">
    <w:name w:val="heading 2"/>
    <w:basedOn w:val="a"/>
    <w:next w:val="a"/>
    <w:link w:val="20"/>
    <w:qFormat/>
    <w:rsid w:val="009F77A1"/>
    <w:pPr>
      <w:keepNext/>
      <w:jc w:val="center"/>
      <w:outlineLvl w:val="1"/>
    </w:pPr>
    <w:rPr>
      <w:rFonts w:ascii="Century" w:hAnsi="Century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9F77A1"/>
    <w:rPr>
      <w:rFonts w:ascii="Century" w:eastAsia="ＭＳ 明朝" w:hAnsi="Century" w:cs="Times New Roman"/>
      <w:b/>
      <w:bCs/>
      <w:sz w:val="16"/>
      <w:szCs w:val="20"/>
    </w:rPr>
  </w:style>
  <w:style w:type="paragraph" w:styleId="3">
    <w:name w:val="Body Text Indent 3"/>
    <w:basedOn w:val="a"/>
    <w:link w:val="30"/>
    <w:semiHidden/>
    <w:rsid w:val="009F77A1"/>
    <w:pPr>
      <w:ind w:firstLineChars="84" w:firstLine="168"/>
    </w:pPr>
  </w:style>
  <w:style w:type="character" w:customStyle="1" w:styleId="30">
    <w:name w:val="本文インデント 3 (文字)"/>
    <w:basedOn w:val="a0"/>
    <w:link w:val="3"/>
    <w:semiHidden/>
    <w:rsid w:val="009F77A1"/>
    <w:rPr>
      <w:rFonts w:ascii="Times" w:eastAsia="ＭＳ 明朝" w:hAnsi="Times" w:cs="Times New Roman"/>
      <w:sz w:val="20"/>
      <w:szCs w:val="20"/>
    </w:rPr>
  </w:style>
  <w:style w:type="paragraph" w:styleId="a3">
    <w:name w:val="footer"/>
    <w:basedOn w:val="a"/>
    <w:link w:val="a4"/>
    <w:semiHidden/>
    <w:rsid w:val="009F77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semiHidden/>
    <w:rsid w:val="009F77A1"/>
    <w:rPr>
      <w:rFonts w:ascii="Times" w:eastAsia="ＭＳ 明朝" w:hAnsi="Times" w:cs="Times New Roman"/>
      <w:sz w:val="20"/>
      <w:szCs w:val="20"/>
    </w:rPr>
  </w:style>
  <w:style w:type="character" w:styleId="a5">
    <w:name w:val="page number"/>
    <w:basedOn w:val="a0"/>
    <w:semiHidden/>
    <w:rsid w:val="009F77A1"/>
  </w:style>
  <w:style w:type="paragraph" w:customStyle="1" w:styleId="EndNoteBibliography">
    <w:name w:val="EndNote Bibliography"/>
    <w:basedOn w:val="a"/>
    <w:link w:val="EndNoteBibliography0"/>
    <w:rsid w:val="009F77A1"/>
    <w:rPr>
      <w:rFonts w:ascii="Century" w:hAnsi="Century" w:cs="Times"/>
      <w:noProof/>
      <w:sz w:val="16"/>
    </w:rPr>
  </w:style>
  <w:style w:type="character" w:customStyle="1" w:styleId="EndNoteBibliography0">
    <w:name w:val="EndNote Bibliography (文字)"/>
    <w:link w:val="EndNoteBibliography"/>
    <w:rsid w:val="009F77A1"/>
    <w:rPr>
      <w:rFonts w:ascii="Century" w:eastAsia="ＭＳ 明朝" w:hAnsi="Century" w:cs="Times"/>
      <w:noProof/>
      <w:sz w:val="16"/>
      <w:szCs w:val="20"/>
    </w:rPr>
  </w:style>
  <w:style w:type="character" w:styleId="a6">
    <w:name w:val="line number"/>
    <w:basedOn w:val="a0"/>
    <w:uiPriority w:val="99"/>
    <w:semiHidden/>
    <w:unhideWhenUsed/>
    <w:rsid w:val="009F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ycc</dc:creator>
  <cp:keywords/>
  <dc:description/>
  <cp:lastModifiedBy>ycc</cp:lastModifiedBy>
  <cp:revision>1</cp:revision>
  <dcterms:created xsi:type="dcterms:W3CDTF">2018-09-26T08:41:00Z</dcterms:created>
  <dcterms:modified xsi:type="dcterms:W3CDTF">2018-09-26T08:41:00Z</dcterms:modified>
</cp:coreProperties>
</file>