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07684">
      <w:pPr>
        <w:spacing w:before="1900"/>
        <w:jc w:val="center"/>
        <w:rPr>
          <w:sz w:val="44"/>
          <w:szCs w:val="48"/>
        </w:rPr>
      </w:pPr>
      <w:r>
        <w:rPr>
          <w:rFonts w:ascii="Aptos Display" w:hAnsi="Aptos Display" w:eastAsia="微软雅黑"/>
          <w:b/>
          <w:color w:val="55B938"/>
          <w:sz w:val="144"/>
          <w:szCs w:val="48"/>
        </w:rPr>
        <w:t>SiliconForge</w:t>
      </w:r>
    </w:p>
    <w:p w14:paraId="51799C7D">
      <w:pPr>
        <w:pStyle w:val="33"/>
        <w:jc w:val="center"/>
      </w:pPr>
      <w:r>
        <w:rPr>
          <w:rFonts w:eastAsia="微软雅黑"/>
        </w:rPr>
        <w:t>数字 IC 设计</w:t>
      </w:r>
      <w:r>
        <w:rPr>
          <w:rFonts w:hint="eastAsia" w:eastAsia="微软雅黑"/>
          <w:lang w:val="en-US" w:eastAsia="zh-CN"/>
        </w:rPr>
        <w:t>竞赛助手</w:t>
      </w:r>
      <w:r>
        <w:rPr>
          <w:rFonts w:eastAsia="微软雅黑"/>
        </w:rPr>
        <w:t>智能体</w:t>
      </w:r>
      <w:r>
        <w:rPr>
          <w:rFonts w:eastAsia="微软雅黑"/>
        </w:rPr>
        <w:br w:type="textWrapping"/>
      </w:r>
      <w:r>
        <w:rPr>
          <w:rFonts w:eastAsia="微软雅黑"/>
        </w:rPr>
        <w:t>比赛技术报告</w:t>
      </w:r>
    </w:p>
    <w:p w14:paraId="65AC3005">
      <w:pPr>
        <w:spacing w:before="320"/>
        <w:jc w:val="center"/>
      </w:pPr>
      <w:r>
        <w:rPr>
          <w:rFonts w:eastAsia="微软雅黑"/>
          <w:color w:val="66736B"/>
          <w:sz w:val="26"/>
        </w:rPr>
        <w:t>功能 · 架构 · 设计原理 · 工程验证 · 安全治理</w:t>
      </w:r>
    </w:p>
    <w:p w14:paraId="1F997359">
      <w:r>
        <w:rPr>
          <w:rFonts w:eastAsia="微软雅黑"/>
        </w:rPr>
        <w:br w:type="textWrapping"/>
      </w:r>
      <w:r>
        <w:rPr>
          <w:rFonts w:eastAsia="微软雅黑"/>
        </w:rPr>
        <w:br w:type="textWrapping"/>
      </w:r>
    </w:p>
    <w:tbl>
      <w:tblPr>
        <w:tblStyle w:val="35"/>
        <w:tblW w:w="1029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8723"/>
      </w:tblGrid>
      <w:tr w14:paraId="439DDD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7221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1F6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4"/>
                <w:szCs w:val="24"/>
              </w:rPr>
            </w:pPr>
            <w:r>
              <w:rPr>
                <w:rFonts w:ascii="微软雅黑" w:eastAsia="微软雅黑"/>
                <w:b/>
                <w:color w:val="FFFFFF"/>
                <w:sz w:val="24"/>
                <w:szCs w:val="24"/>
              </w:rPr>
              <w:t>项目</w:t>
            </w:r>
          </w:p>
        </w:tc>
        <w:tc>
          <w:tcPr>
            <w:tcW w:w="872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17221B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34F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4"/>
                <w:szCs w:val="24"/>
              </w:rPr>
            </w:pPr>
            <w:r>
              <w:rPr>
                <w:rFonts w:ascii="微软雅黑" w:eastAsia="微软雅黑"/>
                <w:b/>
                <w:color w:val="FFFFFF"/>
                <w:sz w:val="24"/>
                <w:szCs w:val="24"/>
              </w:rPr>
              <w:t>内容</w:t>
            </w:r>
          </w:p>
        </w:tc>
      </w:tr>
      <w:tr w14:paraId="53D3D2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4ABD6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4"/>
                <w:szCs w:val="24"/>
              </w:rPr>
            </w:pPr>
            <w:r>
              <w:rPr>
                <w:rFonts w:ascii="微软雅黑" w:eastAsia="微软雅黑"/>
                <w:sz w:val="24"/>
                <w:szCs w:val="24"/>
              </w:rPr>
              <w:t>报告版本</w:t>
            </w:r>
          </w:p>
        </w:tc>
        <w:tc>
          <w:tcPr>
            <w:tcW w:w="87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00DA1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4"/>
                <w:szCs w:val="24"/>
              </w:rPr>
            </w:pPr>
            <w:r>
              <w:rPr>
                <w:rFonts w:ascii="微软雅黑" w:eastAsia="微软雅黑"/>
                <w:sz w:val="24"/>
                <w:szCs w:val="24"/>
              </w:rPr>
              <w:t>V1.0 / 2026-09-28</w:t>
            </w:r>
          </w:p>
        </w:tc>
      </w:tr>
      <w:tr w14:paraId="4CA5814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7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01980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4"/>
                <w:szCs w:val="24"/>
              </w:rPr>
            </w:pPr>
            <w:r>
              <w:rPr>
                <w:rFonts w:ascii="微软雅黑" w:eastAsia="微软雅黑"/>
                <w:sz w:val="24"/>
                <w:szCs w:val="24"/>
              </w:rPr>
              <w:t>项目形态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shd w:val="clear" w:color="auto" w:fill="F5F7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4DCDB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4"/>
                <w:szCs w:val="24"/>
              </w:rPr>
            </w:pPr>
            <w:r>
              <w:rPr>
                <w:rFonts w:ascii="微软雅黑" w:eastAsia="微软雅黑"/>
                <w:sz w:val="24"/>
                <w:szCs w:val="24"/>
              </w:rPr>
              <w:t>可运行的数字 IC 自动化工作流与中文 Web 产品</w:t>
            </w:r>
          </w:p>
        </w:tc>
      </w:tr>
      <w:tr w14:paraId="1389C7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613F8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4"/>
                <w:szCs w:val="24"/>
              </w:rPr>
            </w:pPr>
            <w:r>
              <w:rPr>
                <w:rFonts w:ascii="微软雅黑" w:eastAsia="微软雅黑"/>
                <w:sz w:val="24"/>
                <w:szCs w:val="24"/>
              </w:rPr>
              <w:t>目标平台</w:t>
            </w:r>
          </w:p>
        </w:tc>
        <w:tc>
          <w:tcPr>
            <w:tcW w:w="87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E53CF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4"/>
                <w:szCs w:val="24"/>
              </w:rPr>
            </w:pPr>
            <w:r>
              <w:rPr>
                <w:rFonts w:ascii="微软雅黑" w:eastAsia="微软雅黑"/>
                <w:sz w:val="24"/>
                <w:szCs w:val="24"/>
              </w:rPr>
              <w:t>Windows 开发验证；Linux / 双 H100 迁移</w:t>
            </w:r>
          </w:p>
        </w:tc>
      </w:tr>
      <w:tr w14:paraId="71B6A6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5F7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035A7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4"/>
                <w:szCs w:val="24"/>
              </w:rPr>
            </w:pPr>
            <w:r>
              <w:rPr>
                <w:rFonts w:ascii="微软雅黑" w:eastAsia="微软雅黑"/>
                <w:sz w:val="24"/>
                <w:szCs w:val="24"/>
              </w:rPr>
              <w:t>技术定位</w:t>
            </w:r>
          </w:p>
        </w:tc>
        <w:tc>
          <w:tcPr>
            <w:tcW w:w="872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5F7F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2E24D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4"/>
                <w:szCs w:val="24"/>
              </w:rPr>
            </w:pPr>
            <w:r>
              <w:rPr>
                <w:rFonts w:ascii="微软雅黑" w:eastAsia="微软雅黑"/>
                <w:sz w:val="24"/>
                <w:szCs w:val="24"/>
              </w:rPr>
              <w:t>自然语言赛题到规格、RTL、TB、EDA、修复与报告的可信闭环</w:t>
            </w:r>
          </w:p>
        </w:tc>
      </w:tr>
    </w:tbl>
    <w:p w14:paraId="2028E3AA"/>
    <w:p w14:paraId="61B1026E">
      <w:pPr>
        <w:ind w:left="0" w:leftChars="0" w:firstLine="0" w:firstLineChars="0"/>
      </w:pPr>
      <w:r>
        <w:rPr>
          <w:rFonts w:eastAsia="微软雅黑"/>
        </w:rPr>
        <w:br w:type="page"/>
      </w:r>
    </w:p>
    <w:p w14:paraId="27A55C0F">
      <w:pPr>
        <w:pStyle w:val="3"/>
        <w:jc w:val="center"/>
        <w:rPr>
          <w:rFonts w:hint="eastAsia" w:ascii="宋体" w:hAnsi="宋体" w:eastAsia="宋体" w:cs="宋体"/>
          <w:b w:val="0"/>
          <w:bCs w:val="0"/>
        </w:rPr>
      </w:pPr>
      <w:bookmarkStart w:id="0" w:name="H_1"/>
      <w:bookmarkEnd w:id="0"/>
      <w:bookmarkStart w:id="1" w:name="_Toc20196"/>
      <w:r>
        <w:rPr>
          <w:rFonts w:hint="eastAsia" w:ascii="宋体" w:hAnsi="宋体" w:eastAsia="宋体" w:cs="宋体"/>
          <w:b/>
          <w:bCs/>
        </w:rPr>
        <w:t>摘</w:t>
      </w:r>
      <w:r>
        <w:rPr>
          <w:rFonts w:hint="eastAsia" w:ascii="宋体" w:hAnsi="宋体" w:eastAsia="宋体" w:cs="宋体"/>
          <w:b/>
          <w:bCs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</w:rPr>
        <w:t>要</w:t>
      </w:r>
      <w:bookmarkEnd w:id="1"/>
    </w:p>
    <w:p w14:paraId="0EF7A967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SiliconForge 面向数字 IC 设计竞赛与中小型 RTL 开发，解决“大模型会写代码但难以形成可综合、可验证、可复现交付物”的核心矛盾。系统将自然语言需求转化为冻结的接口契约和设计规格，在同一任务上下文中生成 RTL 与自检 testbench，调用真实 EDA 工具完成预检、编译、仿真与综合，并把工具诊断送入受预算约束的修复循环。最终结果以 rtl、tb、doc、logs、reports 等目录组织，可在浏览器工作台中预览、编辑、比较、下载和沉淀为参数化模板。与普通对话式代码生成相比，本项目的交付对象不是一段“看起来合理”的 Verilog，而是一套具有可追溯证据链的工程包。</w:t>
      </w:r>
    </w:p>
    <w:p w14:paraId="40D67D64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工程已经完成中文 GUI、任务服务、同步与队列执行、OpenAI-compatible 模型适配、阶跃星辰调用、Icarus Verilog/Vivado 仿真、Yosys 综合、错误驱动修复、结构化报告、五类模板库、个人模板入库、盲测框架、超时重试与降级、Windows 到双 H100 的可移植部署骨架。实测方面，三项阶段一基线全部通过并获得平均 100 分；66×66 乘法器在 Vivado 仿真与 Yosys 综合中均通过；五类内置模板完成独立 EDA 回归。首轮五类端到端盲测为 1/5、平均 28 分，四项失败主要由模型服务 Connection error 引发并导致产物缺失。这一结果被保留为真实工程证据，说明系统已具备功能闭环，同时仍需通过本地 H100 模型、缓存与降级策略提升端到端可用性。</w:t>
      </w:r>
    </w:p>
    <w:p w14:paraId="166D9E6E">
      <w:pPr>
        <w:spacing w:line="360" w:lineRule="auto"/>
        <w:ind w:firstLine="0"/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sz w:val="24"/>
          <w:szCs w:val="24"/>
        </w:rPr>
        <w:t>关键词：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数字 IC；RTL 生成；EDA 闭环；大语言模型；参数化模板；Verified Skills；H100</w:t>
      </w:r>
    </w:p>
    <w:p w14:paraId="7FB3F4D6">
      <w:pPr>
        <w:pStyle w:val="3"/>
        <w:rPr>
          <w:rFonts w:eastAsia="微软雅黑"/>
        </w:rPr>
      </w:pPr>
    </w:p>
    <w:p w14:paraId="7B56923F">
      <w:pPr>
        <w:pStyle w:val="3"/>
        <w:rPr>
          <w:rFonts w:eastAsia="微软雅黑"/>
        </w:rPr>
      </w:pPr>
    </w:p>
    <w:p w14:paraId="4AF78221">
      <w:pPr>
        <w:pStyle w:val="3"/>
        <w:rPr>
          <w:rFonts w:eastAsia="微软雅黑"/>
        </w:rPr>
      </w:pPr>
    </w:p>
    <w:p w14:paraId="65ABF2F6">
      <w:pPr>
        <w:pStyle w:val="3"/>
        <w:rPr>
          <w:rFonts w:eastAsia="微软雅黑"/>
        </w:rPr>
      </w:pPr>
    </w:p>
    <w:p w14:paraId="36C2F3F3">
      <w:pPr>
        <w:pStyle w:val="3"/>
        <w:rPr>
          <w:rFonts w:eastAsia="微软雅黑"/>
        </w:rPr>
      </w:pPr>
    </w:p>
    <w:p w14:paraId="583BC978"/>
    <w:p w14:paraId="6A3F48A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6E6423A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53F315C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2753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theme="minorBidi"/>
          <w:sz w:val="21"/>
          <w:szCs w:val="22"/>
          <w:lang w:val="en-US" w:eastAsia="zh-CN" w:bidi="ar-SA"/>
        </w:rPr>
      </w:sdtEndPr>
      <w:sdtContent>
        <w:p w14:paraId="06BC896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目录</w:t>
          </w:r>
        </w:p>
        <w:p w14:paraId="6553EA7B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TOC \o "1-3" \h \u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_Toc20196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摘</w:t>
          </w:r>
          <w:r>
            <w:rPr>
              <w:rFonts w:hint="eastAsia" w:ascii="宋体" w:hAnsi="宋体" w:eastAsia="宋体" w:cs="宋体"/>
              <w:bCs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</w:rPr>
            <w:t>要</w:t>
          </w:r>
          <w:r>
            <w:tab/>
          </w:r>
          <w:r>
            <w:fldChar w:fldCharType="begin"/>
          </w:r>
          <w:r>
            <w:instrText xml:space="preserve"> PAGEREF _Toc20196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7909C3D3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_Toc6583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1.1 比赛导向</w:t>
          </w:r>
          <w:r>
            <w:tab/>
          </w:r>
          <w:r>
            <w:fldChar w:fldCharType="begin"/>
          </w:r>
          <w:r>
            <w:instrText xml:space="preserve"> PAGEREF _Toc6583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78F0C8A0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_Toc13326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1.2 价值主张</w:t>
          </w:r>
          <w:r>
            <w:tab/>
          </w:r>
          <w:r>
            <w:fldChar w:fldCharType="begin"/>
          </w:r>
          <w:r>
            <w:instrText xml:space="preserve"> PAGEREF _Toc13326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7306E5E8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_Toc18823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2 需求与痛点分析</w:t>
          </w:r>
          <w:r>
            <w:tab/>
          </w:r>
          <w:r>
            <w:fldChar w:fldCharType="begin"/>
          </w:r>
          <w:r>
            <w:instrText xml:space="preserve"> PAGEREF _Toc18823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A237DEB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_Toc7376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2.1 从自然语言到硬件契约的鸿沟</w:t>
          </w:r>
          <w:r>
            <w:tab/>
          </w:r>
          <w:r>
            <w:fldChar w:fldCharType="begin"/>
          </w:r>
          <w:r>
            <w:instrText xml:space="preserve"> PAGEREF _Toc7376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8A69244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_Toc25673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2.2 自证式 testbench 的局限</w:t>
          </w:r>
          <w:r>
            <w:tab/>
          </w:r>
          <w:r>
            <w:fldChar w:fldCharType="begin"/>
          </w:r>
          <w:r>
            <w:instrText xml:space="preserve"> PAGEREF _Toc25673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7868B80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_Toc5268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2.3 产物碎片与不可复现</w:t>
          </w:r>
          <w:r>
            <w:tab/>
          </w:r>
          <w:r>
            <w:fldChar w:fldCharType="begin"/>
          </w:r>
          <w:r>
            <w:instrText xml:space="preserve"> PAGEREF _Toc5268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5D3789F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_Toc20349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2.4 模型服务并不稳定</w:t>
          </w:r>
          <w:r>
            <w:tab/>
          </w:r>
          <w:r>
            <w:fldChar w:fldCharType="begin"/>
          </w:r>
          <w:r>
            <w:instrText xml:space="preserve"> PAGEREF _Toc20349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758B582B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_Toc23442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3 系统功能设计</w:t>
          </w:r>
          <w:r>
            <w:tab/>
          </w:r>
          <w:r>
            <w:fldChar w:fldCharType="begin"/>
          </w:r>
          <w:r>
            <w:instrText xml:space="preserve"> PAGEREF _Toc23442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287E04A4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_Toc24656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3.1 一键完整闭环</w:t>
          </w:r>
          <w:r>
            <w:tab/>
          </w:r>
          <w:r>
            <w:fldChar w:fldCharType="begin"/>
          </w:r>
          <w:r>
            <w:instrText xml:space="preserve"> PAGEREF _Toc24656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570D4772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_Toc30928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3.2 专用任务入口</w:t>
          </w:r>
          <w:r>
            <w:tab/>
          </w:r>
          <w:r>
            <w:fldChar w:fldCharType="begin"/>
          </w:r>
          <w:r>
            <w:instrText xml:space="preserve"> PAGEREF _Toc30928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3BE49A4B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_Toc5651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3.3 类 VS Code 工作台</w:t>
          </w:r>
          <w:r>
            <w:tab/>
          </w:r>
          <w:r>
            <w:fldChar w:fldCharType="begin"/>
          </w:r>
          <w:r>
            <w:instrText xml:space="preserve"> PAGEREF _Toc5651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3D2F732E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_Toc14645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3.4 模板库与个人库</w:t>
          </w:r>
          <w:r>
            <w:tab/>
          </w:r>
          <w:r>
            <w:fldChar w:fldCharType="begin"/>
          </w:r>
          <w:r>
            <w:instrText xml:space="preserve"> PAGEREF _Toc14645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63D83766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_Toc4481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3.5 报告与下载</w:t>
          </w:r>
          <w:r>
            <w:tab/>
          </w:r>
          <w:r>
            <w:fldChar w:fldCharType="begin"/>
          </w:r>
          <w:r>
            <w:instrText xml:space="preserve"> PAGEREF _Toc4481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39D035CE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_Toc27701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4 总体架构与数据流</w:t>
          </w:r>
          <w:r>
            <w:tab/>
          </w:r>
          <w:r>
            <w:fldChar w:fldCharType="begin"/>
          </w:r>
          <w:r>
            <w:instrText xml:space="preserve"> PAGEREF _Toc27701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ED95AD7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_Toc30527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4.1 展示与服务层</w:t>
          </w:r>
          <w:r>
            <w:tab/>
          </w:r>
          <w:r>
            <w:fldChar w:fldCharType="begin"/>
          </w:r>
          <w:r>
            <w:instrText xml:space="preserve"> PAGEREF _Toc30527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197BD42D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_Toc29409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4.2 编排与能力层</w:t>
          </w:r>
          <w:r>
            <w:tab/>
          </w:r>
          <w:r>
            <w:fldChar w:fldCharType="begin"/>
          </w:r>
          <w:r>
            <w:instrText xml:space="preserve"> PAGEREF _Toc29409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2851576F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_Toc7983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4.3 工具与产物层</w:t>
          </w:r>
          <w:r>
            <w:tab/>
          </w:r>
          <w:r>
            <w:fldChar w:fldCharType="begin"/>
          </w:r>
          <w:r>
            <w:instrText xml:space="preserve"> PAGEREF _Toc7983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A7C8DE9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_Toc7256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5 核心设计原理</w:t>
          </w:r>
          <w:r>
            <w:tab/>
          </w:r>
          <w:r>
            <w:fldChar w:fldCharType="begin"/>
          </w:r>
          <w:r>
            <w:instrText xml:space="preserve"> PAGEREF _Toc7256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503197FA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_Toc16274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5.1 冻结契约</w:t>
          </w:r>
          <w:r>
            <w:rPr>
              <w:rFonts w:hint="eastAsia" w:eastAsia="微软雅黑"/>
              <w:lang w:val="en-US" w:eastAsia="zh-CN"/>
            </w:rPr>
            <w:t>后继续</w:t>
          </w:r>
          <w:r>
            <w:rPr>
              <w:rFonts w:eastAsia="微软雅黑"/>
            </w:rPr>
            <w:t>生成代码</w:t>
          </w:r>
          <w:r>
            <w:tab/>
          </w:r>
          <w:r>
            <w:fldChar w:fldCharType="begin"/>
          </w:r>
          <w:r>
            <w:instrText xml:space="preserve"> PAGEREF _Toc16274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75E4ABC1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_Toc25332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5.2 生成与验证适度解耦</w:t>
          </w:r>
          <w:r>
            <w:tab/>
          </w:r>
          <w:r>
            <w:fldChar w:fldCharType="begin"/>
          </w:r>
          <w:r>
            <w:instrText xml:space="preserve"> PAGEREF _Toc25332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5B7BE07C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_Toc31248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5.3 工具反馈优先于语言反馈</w:t>
          </w:r>
          <w:r>
            <w:tab/>
          </w:r>
          <w:r>
            <w:fldChar w:fldCharType="begin"/>
          </w:r>
          <w:r>
            <w:instrText xml:space="preserve"> PAGEREF _Toc31248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6CE0B362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_Toc30628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5.4 有界修复而非无限循环</w:t>
          </w:r>
          <w:r>
            <w:tab/>
          </w:r>
          <w:r>
            <w:fldChar w:fldCharType="begin"/>
          </w:r>
          <w:r>
            <w:instrText xml:space="preserve"> PAGEREF _Toc30628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24C73C33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_Toc8730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5.5 结构化交付优先</w:t>
          </w:r>
          <w:r>
            <w:tab/>
          </w:r>
          <w:r>
            <w:fldChar w:fldCharType="begin"/>
          </w:r>
          <w:r>
            <w:instrText xml:space="preserve"> PAGEREF _Toc8730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2433A2E3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_Toc13651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6 Prompt、知识与反馈机制</w:t>
          </w:r>
          <w:r>
            <w:tab/>
          </w:r>
          <w:r>
            <w:fldChar w:fldCharType="begin"/>
          </w:r>
          <w:r>
            <w:instrText xml:space="preserve"> PAGEREF _Toc13651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2F6AFE26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_Toc3908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6.1 分阶段 Prompt 体系</w:t>
          </w:r>
          <w:r>
            <w:tab/>
          </w:r>
          <w:r>
            <w:fldChar w:fldCharType="begin"/>
          </w:r>
          <w:r>
            <w:instrText xml:space="preserve"> PAGEREF _Toc3908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56677CDF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_Toc9295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6.2 高质量 RTL 规则</w:t>
          </w:r>
          <w:r>
            <w:tab/>
          </w:r>
          <w:r>
            <w:fldChar w:fldCharType="begin"/>
          </w:r>
          <w:r>
            <w:instrText xml:space="preserve"> PAGEREF _Toc9295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11D213A3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_Toc9096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6.3 高质量 TB 规则</w:t>
          </w:r>
          <w:r>
            <w:tab/>
          </w:r>
          <w:r>
            <w:fldChar w:fldCharType="begin"/>
          </w:r>
          <w:r>
            <w:instrText xml:space="preserve"> PAGEREF _Toc9096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B1B66F9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_Toc13827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6.4 文献与开源工程的转化</w:t>
          </w:r>
          <w:r>
            <w:tab/>
          </w:r>
          <w:r>
            <w:fldChar w:fldCharType="begin"/>
          </w:r>
          <w:r>
            <w:instrText xml:space="preserve"> PAGEREF _Toc13827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23E4EF3E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_Toc11411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6.5 反馈记忆的防污染设计</w:t>
          </w:r>
          <w:r>
            <w:tab/>
          </w:r>
          <w:r>
            <w:fldChar w:fldCharType="begin"/>
          </w:r>
          <w:r>
            <w:instrText xml:space="preserve"> PAGEREF _Toc11411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16504A67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_Toc25484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7 模板库与个人能力资产</w:t>
          </w:r>
          <w:r>
            <w:tab/>
          </w:r>
          <w:r>
            <w:fldChar w:fldCharType="begin"/>
          </w:r>
          <w:r>
            <w:instrText xml:space="preserve"> PAGEREF _Toc25484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597CBB5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_Toc16526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7.1 五类内置模板</w:t>
          </w:r>
          <w:r>
            <w:tab/>
          </w:r>
          <w:r>
            <w:fldChar w:fldCharType="begin"/>
          </w:r>
          <w:r>
            <w:instrText xml:space="preserve"> PAGEREF _Toc16526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6910799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_Toc28147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7.2 个人模板入库流程</w:t>
          </w:r>
          <w:r>
            <w:tab/>
          </w:r>
          <w:r>
            <w:fldChar w:fldCharType="begin"/>
          </w:r>
          <w:r>
            <w:instrText xml:space="preserve"> PAGEREF _Toc28147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7A5C4D5C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_Toc31223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8 EDA 闭环与质量门禁</w:t>
          </w:r>
          <w:r>
            <w:tab/>
          </w:r>
          <w:r>
            <w:fldChar w:fldCharType="begin"/>
          </w:r>
          <w:r>
            <w:instrText xml:space="preserve"> PAGEREF _Toc31223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18F4818F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_Toc13571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8.1 分级门禁</w:t>
          </w:r>
          <w:r>
            <w:tab/>
          </w:r>
          <w:r>
            <w:fldChar w:fldCharType="begin"/>
          </w:r>
          <w:r>
            <w:instrText xml:space="preserve"> PAGEREF _Toc13571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281923B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_Toc21387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8.2 工具链</w:t>
          </w:r>
          <w:r>
            <w:tab/>
          </w:r>
          <w:r>
            <w:fldChar w:fldCharType="begin"/>
          </w:r>
          <w:r>
            <w:instrText xml:space="preserve"> PAGEREF _Toc21387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1A7F5B20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_Toc540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8.3 输出目录</w:t>
          </w:r>
          <w:r>
            <w:tab/>
          </w:r>
          <w:r>
            <w:fldChar w:fldCharType="begin"/>
          </w:r>
          <w:r>
            <w:instrText xml:space="preserve"> PAGEREF _Toc540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5846B00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_Toc11354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8.4 修复策略</w:t>
          </w:r>
          <w:r>
            <w:tab/>
          </w:r>
          <w:r>
            <w:fldChar w:fldCharType="begin"/>
          </w:r>
          <w:r>
            <w:instrText xml:space="preserve"> PAGEREF _Toc11354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35A7E374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_Toc20094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9 安全治理与 Verified Skills 对齐</w:t>
          </w:r>
          <w:r>
            <w:tab/>
          </w:r>
          <w:r>
            <w:fldChar w:fldCharType="begin"/>
          </w:r>
          <w:r>
            <w:instrText xml:space="preserve"> PAGEREF _Toc20094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E193B7D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_Toc32106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9.1 三层安全模型</w:t>
          </w:r>
          <w:r>
            <w:tab/>
          </w:r>
          <w:r>
            <w:fldChar w:fldCharType="begin"/>
          </w:r>
          <w:r>
            <w:instrText xml:space="preserve"> PAGEREF _Toc32106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AD8AC67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_Toc2252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9.2 当前项目的对齐情况</w:t>
          </w:r>
          <w:r>
            <w:tab/>
          </w:r>
          <w:r>
            <w:fldChar w:fldCharType="begin"/>
          </w:r>
          <w:r>
            <w:instrText xml:space="preserve"> PAGEREF _Toc2252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1E8D4E09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_Toc21920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9.3 采用该架构的实际区别</w:t>
          </w:r>
          <w:r>
            <w:tab/>
          </w:r>
          <w:r>
            <w:fldChar w:fldCharType="begin"/>
          </w:r>
          <w:r>
            <w:instrText xml:space="preserve"> PAGEREF _Toc21920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CED322F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_Toc15333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10 实验设计与结果</w:t>
          </w:r>
          <w:r>
            <w:tab/>
          </w:r>
          <w:r>
            <w:fldChar w:fldCharType="begin"/>
          </w:r>
          <w:r>
            <w:instrText xml:space="preserve"> PAGEREF _Toc15333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69F892AF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_Toc5575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10.1 实验原则</w:t>
          </w:r>
          <w:r>
            <w:tab/>
          </w:r>
          <w:r>
            <w:fldChar w:fldCharType="begin"/>
          </w:r>
          <w:r>
            <w:instrText xml:space="preserve"> PAGEREF _Toc5575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5BF4A876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_Toc18751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10.2 当前可复现实测</w:t>
          </w:r>
          <w:r>
            <w:tab/>
          </w:r>
          <w:r>
            <w:fldChar w:fldCharType="begin"/>
          </w:r>
          <w:r>
            <w:instrText xml:space="preserve"> PAGEREF _Toc18751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78E2070F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_Toc30184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10.3 结果解读</w:t>
          </w:r>
          <w:r>
            <w:tab/>
          </w:r>
          <w:r>
            <w:fldChar w:fldCharType="begin"/>
          </w:r>
          <w:r>
            <w:instrText xml:space="preserve"> PAGEREF _Toc30184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5B108AD8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_Toc15212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11 Windows 产品化与双 H100 迁移</w:t>
          </w:r>
          <w:r>
            <w:tab/>
          </w:r>
          <w:r>
            <w:fldChar w:fldCharType="begin"/>
          </w:r>
          <w:r>
            <w:instrText xml:space="preserve"> PAGEREF _Toc15212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5A98820E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_Toc26196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11.1 Windows 先行的合理性</w:t>
          </w:r>
          <w:r>
            <w:tab/>
          </w:r>
          <w:r>
            <w:fldChar w:fldCharType="begin"/>
          </w:r>
          <w:r>
            <w:instrText xml:space="preserve"> PAGEREF _Toc26196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281672F3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_Toc6512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11.2 可移植设计</w:t>
          </w:r>
          <w:r>
            <w:tab/>
          </w:r>
          <w:r>
            <w:fldChar w:fldCharType="begin"/>
          </w:r>
          <w:r>
            <w:instrText xml:space="preserve"> PAGEREF _Toc6512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072D795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_Toc12815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11.3 双 H100 方案</w:t>
          </w:r>
          <w:r>
            <w:tab/>
          </w:r>
          <w:r>
            <w:fldChar w:fldCharType="begin"/>
          </w:r>
          <w:r>
            <w:instrText xml:space="preserve"> PAGEREF _Toc12815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5576093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_Toc10763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11.4 迁移验收</w:t>
          </w:r>
          <w:r>
            <w:tab/>
          </w:r>
          <w:r>
            <w:fldChar w:fldCharType="begin"/>
          </w:r>
          <w:r>
            <w:instrText xml:space="preserve"> PAGEREF _Toc10763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20C77BD2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_Toc13692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12 竞赛得分映射与演示方案</w:t>
          </w:r>
          <w:r>
            <w:tab/>
          </w:r>
          <w:r>
            <w:fldChar w:fldCharType="begin"/>
          </w:r>
          <w:r>
            <w:instrText xml:space="preserve"> PAGEREF _Toc13692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6C8967BB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_Toc20014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12.1 推荐现场流程</w:t>
          </w:r>
          <w:r>
            <w:tab/>
          </w:r>
          <w:r>
            <w:fldChar w:fldCharType="begin"/>
          </w:r>
          <w:r>
            <w:instrText xml:space="preserve"> PAGEREF _Toc20014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34CE46F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_Toc21366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13 创新性、对比与论文可行性</w:t>
          </w:r>
          <w:r>
            <w:tab/>
          </w:r>
          <w:r>
            <w:fldChar w:fldCharType="begin"/>
          </w:r>
          <w:r>
            <w:instrText xml:space="preserve"> PAGEREF _Toc21366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6F242EA3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_Toc5167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13.1 与已有路线的差异</w:t>
          </w:r>
          <w:r>
            <w:tab/>
          </w:r>
          <w:r>
            <w:fldChar w:fldCharType="begin"/>
          </w:r>
          <w:r>
            <w:instrText xml:space="preserve"> PAGEREF _Toc5167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BD4792F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_Toc25670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14 关键模块实现说明</w:t>
          </w:r>
          <w:r>
            <w:tab/>
          </w:r>
          <w:r>
            <w:fldChar w:fldCharType="begin"/>
          </w:r>
          <w:r>
            <w:instrText xml:space="preserve"> PAGEREF _Toc25670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5F834387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_Toc29042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14.1 需求解析与规格冻结</w:t>
          </w:r>
          <w:r>
            <w:tab/>
          </w:r>
          <w:r>
            <w:fldChar w:fldCharType="begin"/>
          </w:r>
          <w:r>
            <w:instrText xml:space="preserve"> PAGEREF _Toc29042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77411B1C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_Toc29958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14.2 架构设计与任务规划</w:t>
          </w:r>
          <w:r>
            <w:tab/>
          </w:r>
          <w:r>
            <w:fldChar w:fldCharType="begin"/>
          </w:r>
          <w:r>
            <w:instrText xml:space="preserve"> PAGEREF _Toc29958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092E0A1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_Toc16047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14.3 五类任务的领域策略</w:t>
          </w:r>
          <w:r>
            <w:tab/>
          </w:r>
          <w:r>
            <w:fldChar w:fldCharType="begin"/>
          </w:r>
          <w:r>
            <w:instrText xml:space="preserve"> PAGEREF _Toc16047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42F8269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_Toc9083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14.4 模型适配、重试与降级</w:t>
          </w:r>
          <w:r>
            <w:tab/>
          </w:r>
          <w:r>
            <w:fldChar w:fldCharType="begin"/>
          </w:r>
          <w:r>
            <w:instrText xml:space="preserve"> PAGEREF _Toc9083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76D94C2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_Toc13040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14.5 产物报告与证据链</w:t>
          </w:r>
          <w:r>
            <w:tab/>
          </w:r>
          <w:r>
            <w:fldChar w:fldCharType="begin"/>
          </w:r>
          <w:r>
            <w:instrText xml:space="preserve"> PAGEREF _Toc13040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3430F378">
          <w:pPr>
            <w:pStyle w:val="29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_Toc369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14.6 可观测性与异常处理</w:t>
          </w:r>
          <w:r>
            <w:tab/>
          </w:r>
          <w:r>
            <w:fldChar w:fldCharType="begin"/>
          </w:r>
          <w:r>
            <w:instrText xml:space="preserve"> PAGEREF _Toc369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14584E69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_Toc15361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15 结论</w:t>
          </w:r>
          <w:r>
            <w:tab/>
          </w:r>
          <w:r>
            <w:fldChar w:fldCharType="begin"/>
          </w:r>
          <w:r>
            <w:instrText xml:space="preserve"> PAGEREF _Toc15361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4F10F9A5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_Toc1035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_Toc1035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0435B540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_Toc18156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附录 A 复现与验收清单</w:t>
          </w:r>
          <w:r>
            <w:tab/>
          </w:r>
          <w:r>
            <w:fldChar w:fldCharType="begin"/>
          </w:r>
          <w:r>
            <w:instrText xml:space="preserve"> PAGEREF _Toc18156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69C665CA">
          <w:pPr>
            <w:pStyle w:val="26"/>
            <w:tabs>
              <w:tab w:val="right" w:leader="dot" w:pos="10080"/>
            </w:tabs>
          </w:pPr>
          <w:r>
            <w:rPr>
              <w:rFonts w:hint="eastAsia" w:eastAsia="微软雅黑"/>
              <w:lang w:val="en-US" w:eastAsia="zh-CN"/>
            </w:rPr>
            <w:fldChar w:fldCharType="begin"/>
          </w:r>
          <w:r>
            <w:rPr>
              <w:rFonts w:hint="eastAsia" w:eastAsia="微软雅黑"/>
              <w:lang w:val="en-US" w:eastAsia="zh-CN"/>
            </w:rPr>
            <w:instrText xml:space="preserve"> HYPERLINK \l _Toc26298 </w:instrText>
          </w:r>
          <w:r>
            <w:rPr>
              <w:rFonts w:hint="eastAsia" w:eastAsia="微软雅黑"/>
              <w:lang w:val="en-US" w:eastAsia="zh-CN"/>
            </w:rPr>
            <w:fldChar w:fldCharType="separate"/>
          </w:r>
          <w:r>
            <w:rPr>
              <w:rFonts w:eastAsia="微软雅黑"/>
            </w:rPr>
            <w:t>附录 B 术语与边界</w:t>
          </w:r>
          <w:r>
            <w:tab/>
          </w:r>
          <w:r>
            <w:fldChar w:fldCharType="begin"/>
          </w:r>
          <w:r>
            <w:instrText xml:space="preserve"> PAGEREF _Toc26298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eastAsia="微软雅黑"/>
              <w:lang w:val="en-US" w:eastAsia="zh-CN"/>
            </w:rPr>
            <w:fldChar w:fldCharType="end"/>
          </w:r>
        </w:p>
        <w:p w14:paraId="34495BF1">
          <w:pPr>
            <w:tabs>
              <w:tab w:val="right" w:leader="dot" w:pos="9350"/>
            </w:tabs>
            <w:rPr>
              <w:rFonts w:hint="eastAsia" w:ascii="微软雅黑" w:hAnsi="微软雅黑" w:eastAsia="微软雅黑" w:cstheme="minorBidi"/>
              <w:sz w:val="21"/>
              <w:szCs w:val="22"/>
              <w:lang w:val="en-US" w:eastAsia="zh-CN" w:bidi="ar-SA"/>
            </w:rPr>
          </w:pPr>
          <w:r>
            <w:rPr>
              <w:rFonts w:hint="eastAsia" w:eastAsia="微软雅黑"/>
              <w:lang w:val="en-US" w:eastAsia="zh-CN"/>
            </w:rPr>
            <w:fldChar w:fldCharType="end"/>
          </w:r>
        </w:p>
      </w:sdtContent>
    </w:sdt>
    <w:p w14:paraId="4C738AFF">
      <w:pPr>
        <w:tabs>
          <w:tab w:val="right" w:leader="dot" w:pos="9350"/>
        </w:tabs>
        <w:rPr>
          <w:rFonts w:hint="eastAsia" w:ascii="微软雅黑" w:hAnsi="微软雅黑" w:eastAsia="微软雅黑" w:cstheme="minorBidi"/>
          <w:sz w:val="21"/>
          <w:szCs w:val="22"/>
          <w:lang w:val="en-US" w:eastAsia="zh-CN" w:bidi="ar-SA"/>
        </w:rPr>
      </w:pPr>
    </w:p>
    <w:p w14:paraId="304332E1">
      <w:pPr>
        <w:pStyle w:val="3"/>
      </w:pPr>
      <w:r>
        <w:rPr>
          <w:rFonts w:eastAsia="微软雅黑"/>
        </w:rPr>
        <w:br w:type="page"/>
      </w:r>
      <w:bookmarkStart w:id="2" w:name="H_2"/>
      <w:bookmarkEnd w:id="2"/>
      <w:r>
        <w:rPr>
          <w:rFonts w:hint="eastAsia" w:ascii="Times New Roman" w:hAnsi="Times New Roman" w:eastAsia="宋体" w:cs="宋体"/>
          <w:b/>
          <w:bCs/>
          <w:sz w:val="30"/>
          <w:szCs w:val="30"/>
          <w:lang w:val="en-US" w:eastAsia="en-US"/>
        </w:rPr>
        <w:t>1 项目背景与比赛目标</w:t>
      </w:r>
    </w:p>
    <w:p w14:paraId="401A3D67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生成式人工智能已经能够输出 Verilog 片段，但数字 IC 交付与一般软件代码生成存在本质差异：语法正确并不等于接口正确，仿真通过并不等于验证充分，可仿真也不等于可综合。复位极性、位宽符号、握手保持、FIFO 边界、状态机重叠匹配等细节，只要一个条件理解错误，就可能产生表面整洁却无法使用的实现。传统聊天界面还缺少文件组织、工具日志、修复历史和复现实验，难以满足比赛评审对技术深度、完整性和可展示性的要求。</w:t>
      </w:r>
    </w:p>
    <w:p w14:paraId="54A63412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本项目把“让模型写 RTL”重新定义为“让 Agent 对一个数字 IC 任务负责到可复核交付”。其目标不是替代工程师签核，而是压缩从需求澄清</w:t>
      </w:r>
      <w:bookmarkStart w:id="134" w:name="_GoBack"/>
      <w:bookmarkEnd w:id="134"/>
      <w:r>
        <w:rPr>
          <w:rFonts w:hint="eastAsia" w:ascii="Times New Roman" w:hAnsi="Times New Roman" w:eastAsia="宋体" w:cs="宋体"/>
          <w:sz w:val="24"/>
          <w:szCs w:val="24"/>
        </w:rPr>
        <w:t>、规格固化、初版实现、测试平台、EDA 诊断到文档整理的重复劳动，使工程师把注意力集中在架构取舍、覆盖盲区和最终审阅。</w:t>
      </w:r>
    </w:p>
    <w:p w14:paraId="1887E69A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3" w:name="H_3"/>
      <w:bookmarkEnd w:id="3"/>
      <w:bookmarkStart w:id="4" w:name="_Toc6583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1.1 比赛导向</w:t>
      </w:r>
      <w:bookmarkEnd w:id="4"/>
    </w:p>
    <w:p w14:paraId="60841B8E">
      <w:pPr>
        <w:spacing w:line="360" w:lineRule="auto"/>
      </w:pPr>
      <w:r>
        <w:rPr>
          <w:rFonts w:hint="eastAsia" w:ascii="Times New Roman" w:hAnsi="Times New Roman" w:eastAsia="宋体" w:cs="宋体"/>
          <w:sz w:val="24"/>
          <w:szCs w:val="24"/>
        </w:rPr>
        <w:t>根据比赛直播答疑与操作说明，评审同时关注实用性与创新性、技术深度、项目完整性、平台适配、演示效果和技术文章。系统因此采用“可运行产品 + 可解释架构 + 可量化实验 + 安全治理证据”的组合，而不是只提交模型调用脚本。界面提供一键闭环和可视化工作台，文档说明方法来源与边界，盲测报告展示成功和失败，部署方案说明 Windows 开发与 NVIDIA GPU 迁移之间的连续性。</w:t>
      </w:r>
    </w:p>
    <w:p w14:paraId="1AA8E5CD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5" w:name="H_4"/>
      <w:bookmarkEnd w:id="5"/>
      <w:bookmarkStart w:id="6" w:name="_Toc13326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1.2 价值主张</w:t>
      </w:r>
      <w:bookmarkEnd w:id="6"/>
    </w:p>
    <w:p w14:paraId="30173B8B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对参赛者：输入赛题后快速得到可编辑、可验证、可下载的工程包。</w:t>
      </w:r>
    </w:p>
    <w:p w14:paraId="24F3D181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对数字 IC 工程师：把常见模块与可靠修复经验沉淀为个人模板，降低重复劳动和 token 成本。</w:t>
      </w:r>
    </w:p>
    <w:p w14:paraId="7560EBCA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对评审：每个关键结论都能追溯到规格、代码、EDA 日志和报告，而非只依赖语言模型自述。</w:t>
      </w:r>
    </w:p>
    <w:p w14:paraId="14B867DF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对平台生态：以技能封装、扫描、评测、签名为演进方向，使 Agent 能力可治理、可复用。</w:t>
      </w:r>
      <w:bookmarkStart w:id="7" w:name="H_5"/>
      <w:bookmarkEnd w:id="7"/>
    </w:p>
    <w:p w14:paraId="480EABB7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8" w:name="_Toc18823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2 需求与痛点分析</w:t>
      </w:r>
      <w:bookmarkEnd w:id="8"/>
    </w:p>
    <w:p w14:paraId="799CA54D">
      <w:pPr>
        <w:pStyle w:val="4"/>
        <w:rPr>
          <w:rFonts w:hint="eastAsia" w:ascii="Times New Roman" w:hAnsi="Times New Roman" w:eastAsia="宋体"/>
          <w:b/>
          <w:bCs/>
          <w:color w:val="auto"/>
          <w:sz w:val="28"/>
          <w:szCs w:val="28"/>
        </w:rPr>
      </w:pPr>
      <w:bookmarkStart w:id="9" w:name="H_6"/>
      <w:bookmarkEnd w:id="9"/>
      <w:bookmarkStart w:id="10" w:name="_Toc7376"/>
      <w:r>
        <w:rPr>
          <w:rFonts w:hint="eastAsia" w:ascii="Times New Roman" w:hAnsi="Times New Roman" w:eastAsia="宋体"/>
          <w:b/>
          <w:bCs/>
          <w:color w:val="auto"/>
          <w:sz w:val="28"/>
          <w:szCs w:val="28"/>
        </w:rPr>
        <w:t>2.1 从自然语言到硬件契约的鸿沟</w:t>
      </w:r>
      <w:bookmarkEnd w:id="10"/>
    </w:p>
    <w:p w14:paraId="555945AF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用户通常只会给出“设计一个 66×66 乘法器”“实现一个 FIFO”或一段竞赛描述，其中可能没有模块名、端口方向、复位语义、时序协议、溢出规则与允许延迟。直接生成 RTL 会把这些空白变成模型的隐式猜测。SiliconForge 在生成代码前先产出需求分析、架构草案和接口契约，把宽度、signed/unsigned、时钟与复位、握手、边界行为、可综合约束写成单一事实源。后续 RTL、TB、预检和修复均引用该契约，减少阶段之间的语义漂移。</w:t>
      </w:r>
    </w:p>
    <w:p w14:paraId="2412452E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1" w:name="H_7"/>
      <w:bookmarkEnd w:id="11"/>
      <w:bookmarkStart w:id="12" w:name="_Toc25673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2.2 自证式 testbench 的局限</w:t>
      </w:r>
      <w:bookmarkEnd w:id="12"/>
    </w:p>
    <w:p w14:paraId="3B40C8D3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若同一个模型同时误解了需求并生成 RTL 与 TB，两者可能在同一错误假设上保持一致，出现“错误地通过”。因此系统区分开发态自检 TB 与评测态独立 oracle。自检 TB 用于快速定位回归，隐藏 oracle 不进入 Agent prompt，只在生成结束后对 DUT 进行独立判定。该思想与 VerilogEval 以可执行测试衡量功能正确性的路线一致[1]。</w:t>
      </w:r>
    </w:p>
    <w:p w14:paraId="725CF366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3" w:name="H_8"/>
      <w:bookmarkEnd w:id="13"/>
      <w:bookmarkStart w:id="14" w:name="_Toc5268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2.3 产物碎片与不可复现</w:t>
      </w:r>
      <w:bookmarkEnd w:id="14"/>
    </w:p>
    <w:p w14:paraId="60C37993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单纯复制聊天代码会产生文件名混乱、接口版本不一致、日志丢失和无法重跑等问题。系统采用固定输出目录、manifest、阶段 JSON、EDA 结果和中文说明书，使一次运行具备任务输入、配置、模型信息、代码、测试、诊断和结论。工作台只是在这些结构化事实之上的视图，避免页面状态成为唯一记录。</w:t>
      </w:r>
    </w:p>
    <w:p w14:paraId="63FBEA7E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5" w:name="H_9"/>
      <w:bookmarkEnd w:id="15"/>
      <w:bookmarkStart w:id="16" w:name="_Toc20349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2.4 模型服务并不稳定</w:t>
      </w:r>
      <w:bookmarkEnd w:id="16"/>
    </w:p>
    <w:p w14:paraId="4A8FAC93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真实使用中，网络、配额、响应格式、超时和供应商兼容性都会造成失败。首轮盲测中 4 个任务因 Connection error 未产生完整产物，证明端到端可靠性必须被视为系统指标。项目增加统一适配层、超时、指数退避重试、失败分类、模板降级和本地 H100 路线；同时保留失败报告，防止用挑选成功样例替代可靠性评估。</w:t>
      </w:r>
    </w:p>
    <w:p w14:paraId="6F41EEDC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17" w:name="H_10"/>
      <w:bookmarkEnd w:id="17"/>
      <w:bookmarkStart w:id="18" w:name="_Toc23442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3 系统功能设计</w:t>
      </w:r>
      <w:bookmarkEnd w:id="18"/>
    </w:p>
    <w:p w14:paraId="5E3E7088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9" w:name="H_11"/>
      <w:bookmarkEnd w:id="19"/>
      <w:bookmarkStart w:id="20" w:name="_Toc24656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3.1 一键完整闭环</w:t>
      </w:r>
      <w:bookmarkEnd w:id="20"/>
    </w:p>
    <w:p w14:paraId="588CD2D4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用户在中文网页输入赛题并点击提交，系统自动经历需求分析、架构设计、规格生成、RTL 生成、TB 生成、预检、仿真、综合、诊断、修复、审阅和报告。接口契约缺失时由 Agent 主动补全，不要求用户先填写专业表格；界面仍允许高级用户覆盖模块名、接口或输出目录。任务既可同步执行，也可提交本地队列，状态包含 queued、running、succeeded、failed、cancelled，并保留重试关系。</w:t>
      </w:r>
    </w:p>
    <w:p w14:paraId="763788ED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21" w:name="H_12"/>
      <w:bookmarkEnd w:id="21"/>
      <w:bookmarkStart w:id="22" w:name="_Toc30928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3.2 专用任务入口</w:t>
      </w:r>
      <w:bookmarkEnd w:id="22"/>
    </w:p>
    <w:p w14:paraId="705DF640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除完整闭环外，系统支持模块生成、TB 修复、EDA 分诊和接口契约检查。模块生成适合从零创建小型 IP；TB 修复用于已有测试平台不稳定或刺激不足；EDA 分诊读取既有 RTL/TB 并给出编译、仿真、综合问题摘要；接口检查在进入昂贵模型调用前发现端口、位宽和命名不一致。多个入口复用同一任务服务、状态模型和产物层，避免形成相互割裂的脚本。</w:t>
      </w:r>
    </w:p>
    <w:p w14:paraId="1A48648C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23" w:name="H_13"/>
      <w:bookmarkEnd w:id="23"/>
      <w:bookmarkStart w:id="24" w:name="_Toc5651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3.3 类 VS Code 工作台</w:t>
      </w:r>
      <w:bookmarkEnd w:id="24"/>
    </w:p>
    <w:p w14:paraId="5B3BD8AB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工作台按 rtl、tb、doc、logs、reports 展示单一输出根目录。左侧为文件树，中部为带行号文本编辑器，右侧为任务与质量摘要；用户可查看源码、testbench、报告与日志，保存修改后重新验证，也可一键下载完整 ZIP。中文界面强调操作路径和结论，代码、工具命令及行业缩写保留原文。</w:t>
      </w:r>
    </w:p>
    <w:p w14:paraId="5EB0212F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25" w:name="H_14"/>
      <w:bookmarkEnd w:id="25"/>
      <w:bookmarkStart w:id="26" w:name="_Toc14645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3.4 模板库与个人库</w:t>
      </w:r>
      <w:bookmarkEnd w:id="26"/>
    </w:p>
    <w:p w14:paraId="3FAFA310">
      <w:pPr>
        <w:spacing w:line="360" w:lineRule="auto"/>
      </w:pPr>
      <w:r>
        <w:rPr>
          <w:rFonts w:hint="eastAsia" w:ascii="Times New Roman" w:hAnsi="Times New Roman" w:eastAsia="宋体" w:cs="宋体"/>
          <w:sz w:val="24"/>
          <w:szCs w:val="24"/>
        </w:rPr>
        <w:t>系统内置组合运算、FSM、FIFO、协议控制器、修复任务五类参数化模板。命中明确模式时，可先实例化经过验证的模板，再执行独立 EDA，而非每次重新请求大模型。完成任务后，用户可以把高质量实现保存到个人库；入库前记录参数、接口、适用条件、验证证据和来源，使用时重新实例化并回归，防止把偶然成功的硬编码样例永久化。</w:t>
      </w:r>
    </w:p>
    <w:p w14:paraId="70C7E12D">
      <w:pPr>
        <w:pStyle w:val="4"/>
        <w:rPr>
          <w:rFonts w:hint="eastAsia" w:ascii="Times New Roman" w:hAnsi="Times New Roman" w:eastAsia="宋体"/>
          <w:b/>
          <w:bCs/>
          <w:color w:val="auto"/>
          <w:sz w:val="28"/>
          <w:szCs w:val="28"/>
        </w:rPr>
      </w:pPr>
      <w:bookmarkStart w:id="27" w:name="H_15"/>
      <w:bookmarkEnd w:id="27"/>
      <w:bookmarkStart w:id="28" w:name="_Toc4481"/>
      <w:r>
        <w:rPr>
          <w:rFonts w:hint="eastAsia" w:ascii="Times New Roman" w:hAnsi="Times New Roman" w:eastAsia="宋体"/>
          <w:b/>
          <w:bCs/>
          <w:color w:val="auto"/>
          <w:sz w:val="28"/>
          <w:szCs w:val="28"/>
        </w:rPr>
        <w:t>3.5 报告与下载</w:t>
      </w:r>
      <w:bookmarkEnd w:id="28"/>
    </w:p>
    <w:p w14:paraId="50D288DA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每次任务交付不仅包含 Verilog 文件，还应包含需求摘要、接口表、设计原理、验证策略、EDA 结果、修复记录、已知限制和复现方式。这样比赛展示可以从功能演示自然切换到架构与证据，工程使用也能把结果直接交给同伴审阅。</w:t>
      </w:r>
    </w:p>
    <w:p w14:paraId="20393C2E">
      <w:pPr>
        <w:jc w:val="center"/>
      </w:pPr>
      <w:r>
        <w:rPr>
          <w:rFonts w:eastAsia="微软雅黑"/>
        </w:rPr>
        <w:drawing>
          <wp:inline distT="0" distB="0" distL="114300" distR="114300">
            <wp:extent cx="6309360" cy="3549015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9EA7">
      <w:pPr>
        <w:pStyle w:val="15"/>
        <w:jc w:val="center"/>
      </w:pPr>
      <w:r>
        <w:rPr>
          <w:rFonts w:eastAsia="微软雅黑"/>
        </w:rPr>
        <w:t>图 1  中文工作台中的参数化模板库</w:t>
      </w:r>
    </w:p>
    <w:p w14:paraId="3560FE82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29" w:name="H_16"/>
      <w:bookmarkEnd w:id="29"/>
      <w:bookmarkStart w:id="30" w:name="_Toc27701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4 总体架构与数据流</w:t>
      </w:r>
      <w:bookmarkEnd w:id="30"/>
    </w:p>
    <w:p w14:paraId="240928B3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系统采用分层而非“一个超级 prompt”架构。展示层负责提交、进度、编辑和下载；任务服务统一校验输入、分配目录、持久化状态；工作流编排层控制阶段、预算和失败转移；能力层包含数字 IC 技能、Prompt、模板库和反馈记忆；模型适配层屏蔽 chat/completions 与 Responses 等传输差异；工具层执行真实 EDA；产物层保存可追溯文件。层间通过明确数据模型连接，使模型、EDA 或界面能够替换而不破坏核心流程。</w:t>
      </w:r>
    </w:p>
    <w:p w14:paraId="58F45E7A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31" w:name="H_17"/>
      <w:bookmarkEnd w:id="31"/>
      <w:bookmarkStart w:id="32" w:name="_Toc30527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4.1 展示与服务层</w:t>
      </w:r>
      <w:bookmarkEnd w:id="32"/>
    </w:p>
    <w:p w14:paraId="6AD55FFA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Web GUI 只通过 HTTP API 操作任务，不直接调用模型或 shell。请求模型包含 task_kind、execution、mode、dry_run、requirement_text、task_file、output_dir 和 metadata；服务端完成“需求文本或任务文件至少存在一个”等契约校验。任务记录保存创建时间、开始/结束时间、状态、错误、输出目录、重试来源和提供方请求标识，为取消、恢复、差异比较和审计提供基础。</w:t>
      </w:r>
    </w:p>
    <w:p w14:paraId="6D8F0D95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33" w:name="H_18"/>
      <w:bookmarkEnd w:id="33"/>
      <w:bookmarkStart w:id="34" w:name="_Toc29409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4.2 编排与能力层</w:t>
      </w:r>
      <w:bookmarkEnd w:id="34"/>
    </w:p>
    <w:p w14:paraId="75EC76A5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编排器把阶段输出写入上下文，但只传递下一阶段真正需要的信息，防止上下文无限膨胀。数字 IC Skill 定义可综合、自包含、接口冻结、独立验证、受限修复等规则；模板路由处理高频确定性任务；反馈记忆只沉淀经 EDA 证实的故障模式和修复约束，且按任务类别隔离。</w:t>
      </w:r>
    </w:p>
    <w:p w14:paraId="20CF2EFE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35" w:name="H_19"/>
      <w:bookmarkEnd w:id="35"/>
      <w:bookmarkStart w:id="36" w:name="_Toc7983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4.3 工具与产物层</w:t>
      </w:r>
      <w:bookmarkEnd w:id="36"/>
    </w:p>
    <w:p w14:paraId="1FF77B83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预检先做低成本结构检查，再调用 Icarus Verilog/Vivado 仿真和 Yosys 综合。工具命令由系统生成，需求文本和模型输出不被当作任意命令执行。每一轮工具返回退出码、标准输出、标准错误与摘要，编排器据此决定通过、修复或终止。产物层使用任务级目录避免相互覆盖，并以 manifest 建立文件类型和来源索引。</w:t>
      </w:r>
    </w:p>
    <w:p w14:paraId="3E9C7B2D">
      <w:pPr>
        <w:jc w:val="center"/>
      </w:pPr>
      <w:r>
        <w:rPr>
          <w:rFonts w:eastAsia="微软雅黑"/>
        </w:rPr>
        <w:drawing>
          <wp:inline distT="0" distB="0" distL="114300" distR="114300">
            <wp:extent cx="6309360" cy="2839085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AF10">
      <w:pPr>
        <w:pStyle w:val="15"/>
        <w:jc w:val="center"/>
      </w:pPr>
      <w:r>
        <w:rPr>
          <w:rFonts w:eastAsia="微软雅黑"/>
        </w:rPr>
        <w:t>图 2  SiliconForge 分层架构</w:t>
      </w:r>
    </w:p>
    <w:p w14:paraId="68EA4C73">
      <w:pPr>
        <w:jc w:val="center"/>
      </w:pPr>
      <w:r>
        <w:rPr>
          <w:rFonts w:eastAsia="微软雅黑"/>
        </w:rPr>
        <w:drawing>
          <wp:inline distT="0" distB="0" distL="114300" distR="114300">
            <wp:extent cx="6309360" cy="2839085"/>
            <wp:effectExtent l="0" t="0" r="571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04C1">
      <w:pPr>
        <w:pStyle w:val="15"/>
        <w:jc w:val="center"/>
      </w:pPr>
      <w:r>
        <w:rPr>
          <w:rFonts w:eastAsia="微软雅黑"/>
        </w:rPr>
        <w:t>图 3  从自然语言赛题到工程交付物的数据流</w:t>
      </w:r>
    </w:p>
    <w:p w14:paraId="18C6A884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37" w:name="H_20"/>
      <w:bookmarkEnd w:id="37"/>
      <w:bookmarkStart w:id="38" w:name="_Toc7256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5 核心设计原理</w:t>
      </w:r>
      <w:bookmarkEnd w:id="38"/>
    </w:p>
    <w:p w14:paraId="4D8E8DD1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39" w:name="H_21"/>
      <w:bookmarkEnd w:id="39"/>
      <w:bookmarkStart w:id="40" w:name="_Toc16274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5.1 冻结契约</w:t>
      </w:r>
      <w:r>
        <w:rPr>
          <w:rFonts w:hint="eastAsia" w:ascii="Times New Roman" w:hAnsi="Times New Roman" w:eastAsia="宋体"/>
          <w:b/>
          <w:bCs/>
          <w:color w:val="auto"/>
          <w:sz w:val="28"/>
          <w:szCs w:val="28"/>
          <w:lang w:val="en-US" w:eastAsia="zh-CN"/>
        </w:rPr>
        <w:t>后继续</w:t>
      </w:r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生成代码</w:t>
      </w:r>
      <w:bookmarkEnd w:id="40"/>
    </w:p>
    <w:p w14:paraId="74A98CEB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接口契约是全链路的单一事实源，至少包含模块名、端口方向、宽度、时钟、复位、握手、输入输出时序、边界行为和不支持项。若需求有歧义，Agent 给出可审阅假设并记录在规格中；一旦冻结，RTL 与 TB 不得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再新增</w:t>
      </w:r>
      <w:r>
        <w:rPr>
          <w:rFonts w:hint="eastAsia" w:ascii="Times New Roman" w:hAnsi="Times New Roman" w:eastAsia="宋体" w:cs="宋体"/>
          <w:sz w:val="24"/>
          <w:szCs w:val="24"/>
        </w:rPr>
        <w:t>接口。预检可在模型调用后立即发现端口缺失、位宽不匹配、未定义模块和非自包含实现。</w:t>
      </w:r>
    </w:p>
    <w:p w14:paraId="154DFDEC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41" w:name="H_22"/>
      <w:bookmarkEnd w:id="41"/>
      <w:bookmarkStart w:id="42" w:name="_Toc25332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5.2 生成与验证适度解耦</w:t>
      </w:r>
      <w:bookmarkEnd w:id="42"/>
    </w:p>
    <w:p w14:paraId="71D14316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RTL prompt 侧重可综合性、确定性赋值、状态转移、算术宽度与资源推断；TB prompt 侧重边界、时序、scoreboard、超时和自检。两者共享契约但采用不同检查清单。评测时再引入与模型上下文隔离的 oracle，使通过结果具有更强可信度。</w:t>
      </w:r>
    </w:p>
    <w:p w14:paraId="2F752AB2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43" w:name="H_23"/>
      <w:bookmarkEnd w:id="43"/>
      <w:bookmarkStart w:id="44" w:name="_Toc31248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5.3 工具反馈优先于语言反馈</w:t>
      </w:r>
      <w:bookmarkEnd w:id="44"/>
    </w:p>
    <w:p w14:paraId="7451A2F5">
      <w:pPr>
        <w:spacing w:line="360" w:lineRule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AutoChip 的关键启示是把编译器和仿真器的真实输出返回模型，而不是让模型凭空反思；其论文报告在对应实验设置下可提升生成准确率[2]。本项目把语法错误、elaboration 错误、仿真超时、断言失败与综合错误规范化为诊断对象，只把相关片段和契约送入修复阶段。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这样能够更准确反馈错因，供开发者更加高效的调整优化项目。</w:t>
      </w:r>
    </w:p>
    <w:p w14:paraId="0585330C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45" w:name="H_24"/>
      <w:bookmarkEnd w:id="45"/>
      <w:bookmarkStart w:id="46" w:name="_Toc30628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5.4 有界修复而非无限循环</w:t>
      </w:r>
      <w:bookmarkEnd w:id="46"/>
    </w:p>
    <w:p w14:paraId="33069F71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修复循环设置最大轮数、单轮超时和总任务预算。每轮保留原始文件、补丁、工具日志和结果，若同类错误连续出现则停止并给出人工建议。该策略避免 token 与算力无界消耗，也防止模型为了通过某个 TB 而破坏接口或删除检查。修复后必须重新运行完整质量门禁，不能仅凭模型声明成功。</w:t>
      </w:r>
    </w:p>
    <w:p w14:paraId="15F6F689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47" w:name="H_25"/>
      <w:bookmarkEnd w:id="47"/>
      <w:bookmarkStart w:id="48" w:name="_Toc8730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5.5 结构化交付优先</w:t>
      </w:r>
      <w:bookmarkEnd w:id="48"/>
    </w:p>
    <w:p w14:paraId="16264223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目录、manifest 和报告不是附属品，而是 Agent 可用性的组成部分。任务结束条件定义为：必需文件存在、接口一致、仿真/综合达到目标、报告生成、失败也有清晰原因。即使模型调用失败，系统仍应生成任务记录和失败报告，以便复现和重试。</w:t>
      </w:r>
    </w:p>
    <w:p w14:paraId="483D5417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49" w:name="H_26"/>
      <w:bookmarkEnd w:id="49"/>
      <w:bookmarkStart w:id="50" w:name="_Toc13651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6 Prompt、知识与反馈机制</w:t>
      </w:r>
      <w:bookmarkEnd w:id="50"/>
    </w:p>
    <w:p w14:paraId="60D9D7C5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51" w:name="H_27"/>
      <w:bookmarkEnd w:id="51"/>
      <w:bookmarkStart w:id="52" w:name="_Toc3908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6.1 分阶段 Prompt 体系</w:t>
      </w:r>
      <w:bookmarkEnd w:id="52"/>
    </w:p>
    <w:p w14:paraId="391D5F4E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系统不使用一段覆盖所有任务的长提示词，而是按照需求解析、规格、RTL、TB、修复、审阅分阶段组织。每个 prompt 包含角色、输入契约、硬约束、输出格式和失败处理；通用规则位于共享层，任务类别规则按组合逻辑、FSM、FIFO、协议和修复分开。提示词强调“只输出当前阶段需要的内容”，减少解释性文字污染代码。</w:t>
      </w:r>
    </w:p>
    <w:p w14:paraId="6B091FA5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53" w:name="H_28"/>
      <w:bookmarkEnd w:id="53"/>
      <w:bookmarkStart w:id="54" w:name="_Toc9295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6.2 高质量 RTL 规则</w:t>
      </w:r>
      <w:bookmarkEnd w:id="54"/>
    </w:p>
    <w:p w14:paraId="084BE6B2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RTL 生成要求明确组合与时序边界，组合逻辑提供完整默认赋值，时序逻辑使用非阻塞赋值，参数计算避免零宽度和越界，signed 运算显式转换，状态机定义非法状态恢复，握手信号在 backpressure 下保持稳定，FIFO 同时处理读写与满空边界。禁止不可综合延时、initial 依赖、测试专用后门和未定义黑盒，除非规格明确允许。</w:t>
      </w:r>
    </w:p>
    <w:p w14:paraId="483D9E36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55" w:name="H_29"/>
      <w:bookmarkEnd w:id="55"/>
      <w:bookmarkStart w:id="56" w:name="_Toc9096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6.3 高质量 TB 规则</w:t>
      </w:r>
      <w:bookmarkEnd w:id="56"/>
    </w:p>
    <w:p w14:paraId="21DC4610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testbench 必须自检而非仅产生波形：生成可重复激励，覆盖零值、全一、最大值、边界转换和随机样本；对时序协议建立 scoreboard；设置超时；失败打印期望值、实际值和上下文；成功输出唯一 TEST_PASS 标记。对于状态机使用重叠序列、复位中断和连续匹配；对于 FIFO 覆盖空读、满写、回卷和并发读写。</w:t>
      </w:r>
    </w:p>
    <w:p w14:paraId="66CBEC99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57" w:name="H_30"/>
      <w:bookmarkEnd w:id="57"/>
      <w:bookmarkStart w:id="58" w:name="_Toc13827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6.4 文献与开源工程的转化</w:t>
      </w:r>
      <w:bookmarkEnd w:id="58"/>
    </w:p>
    <w:p w14:paraId="71BA396A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VerilogEval 促使项目采用可执行基准与隐藏 oracle[1]；RTLLM 强调语法、功能和设计质量的多目标评价，并启发先规划后编码[3]；AutoChip 直接支持错误驱动修复[2]；ChipNeMo 表明领域适配可由 tokenizer、继续预训练、指令对齐和检索共同实现[4]，因此本项目把论文、Prompt 和模板作为检索资产，而非把所有知识硬塞进系统提示；ChatEDA 展示了 LLM 与 EDA executor 协同的可行性[5]，对应本项目的模型—工具分层；Reflexion 的语言反馈与情景记忆思想[6]被改造成“只有经过 EDA 证实的经验才允许入库”。</w:t>
      </w:r>
    </w:p>
    <w:p w14:paraId="31E307D7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59" w:name="H_31"/>
      <w:bookmarkEnd w:id="59"/>
      <w:bookmarkStart w:id="60" w:name="_Toc11411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6.5 反馈记忆的防污染设计</w:t>
      </w:r>
      <w:bookmarkEnd w:id="60"/>
    </w:p>
    <w:p w14:paraId="16B0A67C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反馈条目包含任务类别、触发症状、诊断证据、修复策略、适用边界和验证结果。仅有模型自评、单次成功或缺少工具日志的内容不能成为全局规则。读取时按模块类别和错误类型检索，避免 FIFO 的特殊修复被错误注入乘法器任务。未来可为每条经验增加版本、命中次数、成功率和撤销机制。</w:t>
      </w:r>
    </w:p>
    <w:p w14:paraId="40145542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61" w:name="H_32"/>
      <w:bookmarkEnd w:id="61"/>
      <w:bookmarkStart w:id="62" w:name="_Toc25484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7 模板库与个人能力资产</w:t>
      </w:r>
      <w:bookmarkEnd w:id="62"/>
    </w:p>
    <w:p w14:paraId="3AD4AC25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模板库解决两个现实问题：常见数字电路没有必要每次从零生成；用户的高质量设计不应在一次会话后消失。内置五类模板覆盖频繁出现且容易参数化的基础任务，个人库则允许实验室或工程师围绕自身协议、编码规范和器件约束建立专属 Agent 资产。模板命中并不绕过验证，恰恰是把“生成不确定性”替换为“实例化 + 重新验证”。</w:t>
      </w:r>
    </w:p>
    <w:p w14:paraId="22474912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63" w:name="H_33"/>
      <w:bookmarkEnd w:id="63"/>
      <w:bookmarkStart w:id="64" w:name="_Toc16526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7.1 五类内置模板</w:t>
      </w:r>
      <w:bookmarkEnd w:id="6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160"/>
        <w:gridCol w:w="3168"/>
        <w:gridCol w:w="2880"/>
      </w:tblGrid>
      <w:tr w14:paraId="1AB86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17221B"/>
            <w:vAlign w:val="center"/>
          </w:tcPr>
          <w:p w14:paraId="11C04205"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2160" w:type="dxa"/>
            <w:shd w:val="clear" w:color="auto" w:fill="17221B"/>
            <w:vAlign w:val="center"/>
          </w:tcPr>
          <w:p w14:paraId="00B4A9B0">
            <w:r>
              <w:rPr>
                <w:b/>
                <w:color w:val="FFFFFF"/>
                <w:sz w:val="18"/>
              </w:rPr>
              <w:t>典型参数</w:t>
            </w:r>
          </w:p>
        </w:tc>
        <w:tc>
          <w:tcPr>
            <w:tcW w:w="3168" w:type="dxa"/>
            <w:shd w:val="clear" w:color="auto" w:fill="17221B"/>
            <w:vAlign w:val="center"/>
          </w:tcPr>
          <w:p w14:paraId="49951E56">
            <w:r>
              <w:rPr>
                <w:b/>
                <w:color w:val="FFFFFF"/>
                <w:sz w:val="18"/>
              </w:rPr>
              <w:t>关键验证点</w:t>
            </w:r>
          </w:p>
        </w:tc>
        <w:tc>
          <w:tcPr>
            <w:tcW w:w="2880" w:type="dxa"/>
            <w:shd w:val="clear" w:color="auto" w:fill="17221B"/>
            <w:vAlign w:val="center"/>
          </w:tcPr>
          <w:p w14:paraId="345CFC24">
            <w:r>
              <w:rPr>
                <w:b/>
                <w:color w:val="FFFFFF"/>
                <w:sz w:val="18"/>
              </w:rPr>
              <w:t>作用</w:t>
            </w:r>
          </w:p>
        </w:tc>
      </w:tr>
      <w:tr w14:paraId="259C6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0AAB242F">
            <w:pPr>
              <w:spacing w:after="40"/>
            </w:pPr>
            <w:r>
              <w:rPr>
                <w:sz w:val="17"/>
              </w:rPr>
              <w:t>组合运算 / ALU</w:t>
            </w:r>
          </w:p>
        </w:tc>
        <w:tc>
          <w:tcPr>
            <w:tcW w:w="2160" w:type="dxa"/>
            <w:vAlign w:val="center"/>
          </w:tcPr>
          <w:p w14:paraId="5FC847B7">
            <w:pPr>
              <w:spacing w:after="40"/>
            </w:pPr>
            <w:r>
              <w:rPr>
                <w:sz w:val="17"/>
              </w:rPr>
              <w:t>WIDTH、操作集合、signed</w:t>
            </w:r>
          </w:p>
        </w:tc>
        <w:tc>
          <w:tcPr>
            <w:tcW w:w="3168" w:type="dxa"/>
            <w:vAlign w:val="center"/>
          </w:tcPr>
          <w:p w14:paraId="271DA3B8">
            <w:pPr>
              <w:spacing w:after="40"/>
            </w:pPr>
            <w:r>
              <w:rPr>
                <w:sz w:val="17"/>
              </w:rPr>
              <w:t>进位、溢出、全边界</w:t>
            </w:r>
          </w:p>
        </w:tc>
        <w:tc>
          <w:tcPr>
            <w:tcW w:w="2880" w:type="dxa"/>
            <w:vAlign w:val="center"/>
          </w:tcPr>
          <w:p w14:paraId="4AF622A6">
            <w:pPr>
              <w:spacing w:after="40"/>
            </w:pPr>
            <w:r>
              <w:rPr>
                <w:sz w:val="17"/>
              </w:rPr>
              <w:t>稳定处理位宽与组合逻辑</w:t>
            </w:r>
          </w:p>
        </w:tc>
      </w:tr>
      <w:tr w14:paraId="66E72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5F7F5"/>
            <w:vAlign w:val="center"/>
          </w:tcPr>
          <w:p w14:paraId="10D6318D">
            <w:pPr>
              <w:spacing w:after="40"/>
            </w:pPr>
            <w:r>
              <w:rPr>
                <w:sz w:val="17"/>
              </w:rPr>
              <w:t>FSM</w:t>
            </w:r>
          </w:p>
        </w:tc>
        <w:tc>
          <w:tcPr>
            <w:tcW w:w="2160" w:type="dxa"/>
            <w:shd w:val="clear" w:color="auto" w:fill="F5F7F5"/>
            <w:vAlign w:val="center"/>
          </w:tcPr>
          <w:p w14:paraId="69A8EBA6">
            <w:pPr>
              <w:spacing w:after="40"/>
            </w:pPr>
            <w:r>
              <w:rPr>
                <w:sz w:val="17"/>
              </w:rPr>
              <w:t>状态编码、序列、重叠匹配</w:t>
            </w:r>
          </w:p>
        </w:tc>
        <w:tc>
          <w:tcPr>
            <w:tcW w:w="3168" w:type="dxa"/>
            <w:shd w:val="clear" w:color="auto" w:fill="F5F7F5"/>
            <w:vAlign w:val="center"/>
          </w:tcPr>
          <w:p w14:paraId="0B0FB928">
            <w:pPr>
              <w:spacing w:after="40"/>
            </w:pPr>
            <w:r>
              <w:rPr>
                <w:sz w:val="17"/>
              </w:rPr>
              <w:t>复位、非法态、连续命中</w:t>
            </w:r>
          </w:p>
        </w:tc>
        <w:tc>
          <w:tcPr>
            <w:tcW w:w="2880" w:type="dxa"/>
            <w:shd w:val="clear" w:color="auto" w:fill="F5F7F5"/>
            <w:vAlign w:val="center"/>
          </w:tcPr>
          <w:p w14:paraId="391BEB9B">
            <w:pPr>
              <w:spacing w:after="40"/>
            </w:pPr>
            <w:r>
              <w:rPr>
                <w:sz w:val="17"/>
              </w:rPr>
              <w:t>约束状态转移与输出时序</w:t>
            </w:r>
          </w:p>
        </w:tc>
      </w:tr>
      <w:tr w14:paraId="147FB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7E12E825">
            <w:pPr>
              <w:spacing w:after="40"/>
            </w:pPr>
            <w:r>
              <w:rPr>
                <w:sz w:val="17"/>
              </w:rPr>
              <w:t>同步 FIFO</w:t>
            </w:r>
          </w:p>
        </w:tc>
        <w:tc>
          <w:tcPr>
            <w:tcW w:w="2160" w:type="dxa"/>
            <w:vAlign w:val="center"/>
          </w:tcPr>
          <w:p w14:paraId="40A79211">
            <w:pPr>
              <w:spacing w:after="40"/>
            </w:pPr>
            <w:r>
              <w:rPr>
                <w:sz w:val="17"/>
              </w:rPr>
              <w:t>DATA_WIDTH、DEPTH</w:t>
            </w:r>
          </w:p>
        </w:tc>
        <w:tc>
          <w:tcPr>
            <w:tcW w:w="3168" w:type="dxa"/>
            <w:vAlign w:val="center"/>
          </w:tcPr>
          <w:p w14:paraId="06DE92A7">
            <w:pPr>
              <w:spacing w:after="40"/>
            </w:pPr>
            <w:r>
              <w:rPr>
                <w:sz w:val="17"/>
              </w:rPr>
              <w:t>满空、指针回卷、并发读写</w:t>
            </w:r>
          </w:p>
        </w:tc>
        <w:tc>
          <w:tcPr>
            <w:tcW w:w="2880" w:type="dxa"/>
            <w:vAlign w:val="center"/>
          </w:tcPr>
          <w:p w14:paraId="583EA1E3">
            <w:pPr>
              <w:spacing w:after="40"/>
            </w:pPr>
            <w:r>
              <w:rPr>
                <w:sz w:val="17"/>
              </w:rPr>
              <w:t>复用可靠存储控制骨架</w:t>
            </w:r>
          </w:p>
        </w:tc>
      </w:tr>
      <w:tr w14:paraId="3FEE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5F7F5"/>
            <w:vAlign w:val="center"/>
          </w:tcPr>
          <w:p w14:paraId="3976ECB3">
            <w:pPr>
              <w:spacing w:after="40"/>
            </w:pPr>
            <w:r>
              <w:rPr>
                <w:sz w:val="17"/>
              </w:rPr>
              <w:t>协议控制器</w:t>
            </w:r>
          </w:p>
        </w:tc>
        <w:tc>
          <w:tcPr>
            <w:tcW w:w="2160" w:type="dxa"/>
            <w:shd w:val="clear" w:color="auto" w:fill="F5F7F5"/>
            <w:vAlign w:val="center"/>
          </w:tcPr>
          <w:p w14:paraId="02D0B7E5">
            <w:pPr>
              <w:spacing w:after="40"/>
            </w:pPr>
            <w:r>
              <w:rPr>
                <w:sz w:val="17"/>
              </w:rPr>
              <w:t>数据宽度、采样沿、帧格式</w:t>
            </w:r>
          </w:p>
        </w:tc>
        <w:tc>
          <w:tcPr>
            <w:tcW w:w="3168" w:type="dxa"/>
            <w:shd w:val="clear" w:color="auto" w:fill="F5F7F5"/>
            <w:vAlign w:val="center"/>
          </w:tcPr>
          <w:p w14:paraId="4580FE30">
            <w:pPr>
              <w:spacing w:after="40"/>
            </w:pPr>
            <w:r>
              <w:rPr>
                <w:sz w:val="17"/>
              </w:rPr>
              <w:t>握手保持、位计数、帧边界</w:t>
            </w:r>
          </w:p>
        </w:tc>
        <w:tc>
          <w:tcPr>
            <w:tcW w:w="2880" w:type="dxa"/>
            <w:shd w:val="clear" w:color="auto" w:fill="F5F7F5"/>
            <w:vAlign w:val="center"/>
          </w:tcPr>
          <w:p w14:paraId="7C3F0F80">
            <w:pPr>
              <w:spacing w:after="40"/>
            </w:pPr>
            <w:r>
              <w:rPr>
                <w:sz w:val="17"/>
              </w:rPr>
              <w:t>复用协议时序模式</w:t>
            </w:r>
          </w:p>
        </w:tc>
      </w:tr>
      <w:tr w14:paraId="7C32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47F42388">
            <w:pPr>
              <w:spacing w:after="40"/>
            </w:pPr>
            <w:r>
              <w:rPr>
                <w:sz w:val="17"/>
              </w:rPr>
              <w:t>修复任务</w:t>
            </w:r>
          </w:p>
        </w:tc>
        <w:tc>
          <w:tcPr>
            <w:tcW w:w="2160" w:type="dxa"/>
            <w:vAlign w:val="center"/>
          </w:tcPr>
          <w:p w14:paraId="6BB61E7B">
            <w:pPr>
              <w:spacing w:after="40"/>
            </w:pPr>
            <w:r>
              <w:rPr>
                <w:sz w:val="17"/>
              </w:rPr>
              <w:t>故障类型、目标约束</w:t>
            </w:r>
          </w:p>
        </w:tc>
        <w:tc>
          <w:tcPr>
            <w:tcW w:w="3168" w:type="dxa"/>
            <w:vAlign w:val="center"/>
          </w:tcPr>
          <w:p w14:paraId="3300CB5E">
            <w:pPr>
              <w:spacing w:after="40"/>
            </w:pPr>
            <w:r>
              <w:rPr>
                <w:sz w:val="17"/>
              </w:rPr>
              <w:t>修复前后差异、回归</w:t>
            </w:r>
          </w:p>
        </w:tc>
        <w:tc>
          <w:tcPr>
            <w:tcW w:w="2880" w:type="dxa"/>
            <w:vAlign w:val="center"/>
          </w:tcPr>
          <w:p w14:paraId="0F36E988">
            <w:pPr>
              <w:spacing w:after="40"/>
            </w:pPr>
            <w:r>
              <w:rPr>
                <w:sz w:val="17"/>
              </w:rPr>
              <w:t>把常见错误变为可复核补丁</w:t>
            </w:r>
          </w:p>
        </w:tc>
      </w:tr>
    </w:tbl>
    <w:p w14:paraId="747DB9A3"/>
    <w:p w14:paraId="3AD812C2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65" w:name="H_34"/>
      <w:bookmarkEnd w:id="65"/>
      <w:bookmarkStart w:id="66" w:name="_Toc28147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7.2 个人模板入库流程</w:t>
      </w:r>
      <w:bookmarkEnd w:id="66"/>
    </w:p>
    <w:p w14:paraId="4A27D6EB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用户在工作台选择一个已通过的运行结果，系统提取 RTL/TB、接口契约和参数候选，要求填写模板名称、用途和适用边界。入库前重新执行独立 EDA；保存时记录来源任务、工具版本、通过时间和内容哈希。调用时只替换声明的参数，不允许字符串任意拼接改变结构；实例化结果进入新任务目录并再次仿真与综合。未来还应增加模板版本、废弃标记、团队审核和签名。</w:t>
      </w:r>
    </w:p>
    <w:p w14:paraId="4DD549F9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模板路线的直接收益是降低延迟、token 消耗和供应商故障影响；更深层价值是让 Agent 从公共大模型变为具有个人工作场景记忆的工程助手。其创新点不在于保存代码片段，而在于把代码、参数、契约、验证与来源绑定成可治理资产。</w:t>
      </w:r>
    </w:p>
    <w:p w14:paraId="4F9C9519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67" w:name="H_35"/>
      <w:bookmarkEnd w:id="67"/>
      <w:bookmarkStart w:id="68" w:name="_Toc31223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8 EDA 闭环与质量门禁</w:t>
      </w:r>
      <w:bookmarkEnd w:id="68"/>
    </w:p>
    <w:p w14:paraId="1CD8C149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69" w:name="H_36"/>
      <w:bookmarkEnd w:id="69"/>
      <w:bookmarkStart w:id="70" w:name="_Toc13571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8.1 分级门禁</w:t>
      </w:r>
      <w:bookmarkEnd w:id="70"/>
    </w:p>
    <w:p w14:paraId="3BCA84D8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质量门禁由低成本到高成本逐级执行。第一层检查文件存在、模块唯一性、端口、未定义模块、明显测试注入和不可综合结构；第二层编译与 elaboration；第三层运行自检 TB；第四层综合并检查 latch、multiple driver 或工具错误；第五层生成审阅摘要。任何层失败都产生结构化诊断，只有全部满足任务目标才标记 overall_pass。</w:t>
      </w:r>
    </w:p>
    <w:p w14:paraId="14197E8B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71" w:name="H_37"/>
      <w:bookmarkEnd w:id="71"/>
      <w:bookmarkStart w:id="72" w:name="_Toc21387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8.2 工具链</w:t>
      </w:r>
      <w:bookmarkEnd w:id="72"/>
    </w:p>
    <w:p w14:paraId="717C6C37">
      <w:pPr>
        <w:spacing w:line="360" w:lineRule="auto"/>
      </w:pPr>
      <w:r>
        <w:rPr>
          <w:rFonts w:hint="eastAsia" w:ascii="Times New Roman" w:hAnsi="Times New Roman" w:eastAsia="宋体" w:cs="宋体"/>
          <w:sz w:val="24"/>
          <w:szCs w:val="24"/>
        </w:rPr>
        <w:t>Windows 开发环境可使用 Icarus Verilog/vvp 进行快速仿真，以 Yosys 或 yowasp-yosys 进行开源综合；项目也已经在 66×66 乘法器案例中使用 Vivado 仿真日志作为附加证据。服务器迁移后保持同一抽象接口，可接入容器内工具，后续扩展 Verilator、Surelog、lint、formal、coverage、STA 与厂商综合。工具后端、版本和命令必须写入报告，避免不同机器上的“通过”含义不一致。</w:t>
      </w:r>
    </w:p>
    <w:p w14:paraId="6DF4935B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73" w:name="H_38"/>
      <w:bookmarkEnd w:id="73"/>
      <w:bookmarkStart w:id="74" w:name="_Toc540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8.3 输出目录</w:t>
      </w:r>
      <w:bookmarkEnd w:id="7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4320"/>
        <w:gridCol w:w="3312"/>
      </w:tblGrid>
      <w:tr w14:paraId="539B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17221B"/>
            <w:vAlign w:val="center"/>
          </w:tcPr>
          <w:p w14:paraId="38CCE3E8">
            <w:r>
              <w:rPr>
                <w:b/>
                <w:color w:val="FFFFFF"/>
                <w:sz w:val="18"/>
              </w:rPr>
              <w:t>目录/文件</w:t>
            </w:r>
          </w:p>
        </w:tc>
        <w:tc>
          <w:tcPr>
            <w:tcW w:w="4320" w:type="dxa"/>
            <w:shd w:val="clear" w:color="auto" w:fill="17221B"/>
            <w:vAlign w:val="center"/>
          </w:tcPr>
          <w:p w14:paraId="4FCC82A5"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312" w:type="dxa"/>
            <w:shd w:val="clear" w:color="auto" w:fill="17221B"/>
            <w:vAlign w:val="center"/>
          </w:tcPr>
          <w:p w14:paraId="71FABD7B">
            <w:r>
              <w:rPr>
                <w:b/>
                <w:color w:val="FFFFFF"/>
                <w:sz w:val="18"/>
              </w:rPr>
              <w:t>审阅价值</w:t>
            </w:r>
          </w:p>
        </w:tc>
      </w:tr>
      <w:tr w14:paraId="22760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7DCF4AE9">
            <w:pPr>
              <w:spacing w:after="40"/>
            </w:pPr>
            <w:r>
              <w:rPr>
                <w:sz w:val="17"/>
              </w:rPr>
              <w:t>rtl/</w:t>
            </w:r>
          </w:p>
        </w:tc>
        <w:tc>
          <w:tcPr>
            <w:tcW w:w="4320" w:type="dxa"/>
            <w:vAlign w:val="center"/>
          </w:tcPr>
          <w:p w14:paraId="2AE7E05F">
            <w:pPr>
              <w:spacing w:after="40"/>
            </w:pPr>
            <w:r>
              <w:rPr>
                <w:sz w:val="17"/>
              </w:rPr>
              <w:t>DUT 与必要 helper 模块</w:t>
            </w:r>
          </w:p>
        </w:tc>
        <w:tc>
          <w:tcPr>
            <w:tcW w:w="3312" w:type="dxa"/>
            <w:vAlign w:val="center"/>
          </w:tcPr>
          <w:p w14:paraId="60D1D4E3">
            <w:pPr>
              <w:spacing w:after="40"/>
            </w:pPr>
            <w:r>
              <w:rPr>
                <w:sz w:val="17"/>
              </w:rPr>
              <w:t>查看可综合实现</w:t>
            </w:r>
          </w:p>
        </w:tc>
      </w:tr>
      <w:tr w14:paraId="4A0D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5F7F5"/>
            <w:vAlign w:val="center"/>
          </w:tcPr>
          <w:p w14:paraId="39A3E44F">
            <w:pPr>
              <w:spacing w:after="40"/>
            </w:pPr>
            <w:r>
              <w:rPr>
                <w:sz w:val="17"/>
              </w:rPr>
              <w:t>tb/</w:t>
            </w:r>
          </w:p>
        </w:tc>
        <w:tc>
          <w:tcPr>
            <w:tcW w:w="4320" w:type="dxa"/>
            <w:shd w:val="clear" w:color="auto" w:fill="F5F7F5"/>
            <w:vAlign w:val="center"/>
          </w:tcPr>
          <w:p w14:paraId="567901A3">
            <w:pPr>
              <w:spacing w:after="40"/>
            </w:pPr>
            <w:r>
              <w:rPr>
                <w:sz w:val="17"/>
              </w:rPr>
              <w:t>自检 testbench、可选 oracle</w:t>
            </w:r>
          </w:p>
        </w:tc>
        <w:tc>
          <w:tcPr>
            <w:tcW w:w="3312" w:type="dxa"/>
            <w:shd w:val="clear" w:color="auto" w:fill="F5F7F5"/>
            <w:vAlign w:val="center"/>
          </w:tcPr>
          <w:p w14:paraId="2AFF2057">
            <w:pPr>
              <w:spacing w:after="40"/>
            </w:pPr>
            <w:r>
              <w:rPr>
                <w:sz w:val="17"/>
              </w:rPr>
              <w:t>审查刺激与判据</w:t>
            </w:r>
          </w:p>
        </w:tc>
      </w:tr>
      <w:tr w14:paraId="1D79E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5ABF56BD">
            <w:pPr>
              <w:spacing w:after="40"/>
            </w:pPr>
            <w:r>
              <w:rPr>
                <w:sz w:val="17"/>
              </w:rPr>
              <w:t>doc/</w:t>
            </w:r>
          </w:p>
        </w:tc>
        <w:tc>
          <w:tcPr>
            <w:tcW w:w="4320" w:type="dxa"/>
            <w:vAlign w:val="center"/>
          </w:tcPr>
          <w:p w14:paraId="4A1CAB9D">
            <w:pPr>
              <w:spacing w:after="40"/>
            </w:pPr>
            <w:r>
              <w:rPr>
                <w:sz w:val="17"/>
              </w:rPr>
              <w:t>规格、接口表、设计说明、最终报告</w:t>
            </w:r>
          </w:p>
        </w:tc>
        <w:tc>
          <w:tcPr>
            <w:tcW w:w="3312" w:type="dxa"/>
            <w:vAlign w:val="center"/>
          </w:tcPr>
          <w:p w14:paraId="012BDA4E">
            <w:pPr>
              <w:spacing w:after="40"/>
            </w:pPr>
            <w:r>
              <w:rPr>
                <w:sz w:val="17"/>
              </w:rPr>
              <w:t>理解设计意图与边界</w:t>
            </w:r>
          </w:p>
        </w:tc>
      </w:tr>
      <w:tr w14:paraId="7BDCE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5F7F5"/>
            <w:vAlign w:val="center"/>
          </w:tcPr>
          <w:p w14:paraId="65A788D2">
            <w:pPr>
              <w:spacing w:after="40"/>
            </w:pPr>
            <w:r>
              <w:rPr>
                <w:sz w:val="17"/>
              </w:rPr>
              <w:t>logs/</w:t>
            </w:r>
          </w:p>
        </w:tc>
        <w:tc>
          <w:tcPr>
            <w:tcW w:w="4320" w:type="dxa"/>
            <w:shd w:val="clear" w:color="auto" w:fill="F5F7F5"/>
            <w:vAlign w:val="center"/>
          </w:tcPr>
          <w:p w14:paraId="71A9E930">
            <w:pPr>
              <w:spacing w:after="40"/>
            </w:pPr>
            <w:r>
              <w:rPr>
                <w:sz w:val="17"/>
              </w:rPr>
              <w:t>模型与 EDA 日志</w:t>
            </w:r>
          </w:p>
        </w:tc>
        <w:tc>
          <w:tcPr>
            <w:tcW w:w="3312" w:type="dxa"/>
            <w:shd w:val="clear" w:color="auto" w:fill="F5F7F5"/>
            <w:vAlign w:val="center"/>
          </w:tcPr>
          <w:p w14:paraId="58C3C478">
            <w:pPr>
              <w:spacing w:after="40"/>
            </w:pPr>
            <w:r>
              <w:rPr>
                <w:sz w:val="17"/>
              </w:rPr>
              <w:t>定位失败和复现</w:t>
            </w:r>
          </w:p>
        </w:tc>
      </w:tr>
      <w:tr w14:paraId="32655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423B6F94">
            <w:pPr>
              <w:spacing w:after="40"/>
            </w:pPr>
            <w:r>
              <w:rPr>
                <w:sz w:val="17"/>
              </w:rPr>
              <w:t>reports/</w:t>
            </w:r>
          </w:p>
        </w:tc>
        <w:tc>
          <w:tcPr>
            <w:tcW w:w="4320" w:type="dxa"/>
            <w:vAlign w:val="center"/>
          </w:tcPr>
          <w:p w14:paraId="1D986FE8">
            <w:pPr>
              <w:spacing w:after="40"/>
            </w:pPr>
            <w:r>
              <w:rPr>
                <w:sz w:val="17"/>
              </w:rPr>
              <w:t>仿真、综合、盲测与质量摘要</w:t>
            </w:r>
          </w:p>
        </w:tc>
        <w:tc>
          <w:tcPr>
            <w:tcW w:w="3312" w:type="dxa"/>
            <w:vAlign w:val="center"/>
          </w:tcPr>
          <w:p w14:paraId="7171FA00">
            <w:pPr>
              <w:spacing w:after="40"/>
            </w:pPr>
            <w:r>
              <w:rPr>
                <w:sz w:val="17"/>
              </w:rPr>
              <w:t>快速判断通过状态</w:t>
            </w:r>
          </w:p>
        </w:tc>
      </w:tr>
      <w:tr w14:paraId="59C93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5F7F5"/>
            <w:vAlign w:val="center"/>
          </w:tcPr>
          <w:p w14:paraId="097FEBF1">
            <w:pPr>
              <w:spacing w:after="40"/>
            </w:pPr>
            <w:r>
              <w:rPr>
                <w:sz w:val="17"/>
              </w:rPr>
              <w:t>manifest.json</w:t>
            </w:r>
          </w:p>
        </w:tc>
        <w:tc>
          <w:tcPr>
            <w:tcW w:w="4320" w:type="dxa"/>
            <w:shd w:val="clear" w:color="auto" w:fill="F5F7F5"/>
            <w:vAlign w:val="center"/>
          </w:tcPr>
          <w:p w14:paraId="7C087E94">
            <w:pPr>
              <w:spacing w:after="40"/>
            </w:pPr>
            <w:r>
              <w:rPr>
                <w:sz w:val="17"/>
              </w:rPr>
              <w:t>文件索引、来源、哈希与元数据</w:t>
            </w:r>
          </w:p>
        </w:tc>
        <w:tc>
          <w:tcPr>
            <w:tcW w:w="3312" w:type="dxa"/>
            <w:shd w:val="clear" w:color="auto" w:fill="F5F7F5"/>
            <w:vAlign w:val="center"/>
          </w:tcPr>
          <w:p w14:paraId="3ADC0A9B">
            <w:pPr>
              <w:spacing w:after="40"/>
            </w:pPr>
            <w:r>
              <w:rPr>
                <w:sz w:val="17"/>
              </w:rPr>
              <w:t>追溯完整性</w:t>
            </w:r>
          </w:p>
        </w:tc>
      </w:tr>
    </w:tbl>
    <w:p w14:paraId="155225ED"/>
    <w:p w14:paraId="0F3E4824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75" w:name="H_39"/>
      <w:bookmarkEnd w:id="75"/>
      <w:bookmarkStart w:id="76" w:name="_Toc11354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8.4 修复策略</w:t>
      </w:r>
      <w:bookmarkEnd w:id="76"/>
    </w:p>
    <w:p w14:paraId="2FE09012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修复 prompt 只接收冻结契约、当前 RTL/TB 的必要片段和规范化错误，要求输出最小修改。若错误来自 TB，禁止通过修改 DUT 迎合错误期望；若错误来自接口契约，必须回到需求阶段而非在 RTL 中隐式改口。修复完成后重新走预检、编译、仿真和综合，并在 repair_history 中记录轮次、根因、补丁和结果。</w:t>
      </w:r>
    </w:p>
    <w:p w14:paraId="29D67F14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77" w:name="H_40"/>
      <w:bookmarkEnd w:id="77"/>
      <w:bookmarkStart w:id="78" w:name="_Toc20094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9 安全治理与 Verified Skills 对齐</w:t>
      </w:r>
      <w:bookmarkEnd w:id="78"/>
    </w:p>
    <w:p w14:paraId="25DDDE7D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NVIDIA Skills 文档把技能视为可移植的指令与能力封装，Verified Skills 的价值不是给 prompt 加一个“安全”标签，而是让能力经过目录化、扫描、独立评测、签名和技能卡说明，从而把主观声明转化为可验证证据[7–9]。对于能执行 EDA、写文件和调用外部模型的 Agent，这种治理尤其重要：错误或恶意技能可能读取密钥、越权写目录、执行需求中的命令，或者以看似合理的报告掩盖失败。</w:t>
      </w:r>
    </w:p>
    <w:p w14:paraId="0557A52E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79" w:name="H_41"/>
      <w:bookmarkEnd w:id="79"/>
      <w:bookmarkStart w:id="80" w:name="_Toc32106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9.1 三层安全模型</w:t>
      </w:r>
      <w:bookmarkEnd w:id="80"/>
    </w:p>
    <w:p w14:paraId="0AB01201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模型层控制模型来源、系统指令和供应商边界；运行层限制文件系统、网络、进程和资源；能力层治理 Skill、模板、工具白名单和版本。三层不可互相替代：安全模型不能阻止一个被允许的危险 shell 命令，沙箱也不能保证技能在功能上有效，签名只能证明来源与完整性而不能证明质量。</w:t>
      </w:r>
    </w:p>
    <w:p w14:paraId="4A356EE6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81" w:name="H_42"/>
      <w:bookmarkEnd w:id="81"/>
      <w:bookmarkStart w:id="82" w:name="_Toc2252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9.2 当前项目的对齐情况</w:t>
      </w:r>
      <w:bookmarkEnd w:id="8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888"/>
        <w:gridCol w:w="1440"/>
        <w:gridCol w:w="2880"/>
      </w:tblGrid>
      <w:tr w14:paraId="3963A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17221B"/>
            <w:vAlign w:val="center"/>
          </w:tcPr>
          <w:p w14:paraId="550E5351">
            <w:r>
              <w:rPr>
                <w:b/>
                <w:color w:val="FFFFFF"/>
                <w:sz w:val="18"/>
              </w:rPr>
              <w:t>治理要素</w:t>
            </w:r>
          </w:p>
        </w:tc>
        <w:tc>
          <w:tcPr>
            <w:tcW w:w="3888" w:type="dxa"/>
            <w:shd w:val="clear" w:color="auto" w:fill="17221B"/>
            <w:vAlign w:val="center"/>
          </w:tcPr>
          <w:p w14:paraId="1EB23ADA">
            <w:r>
              <w:rPr>
                <w:b/>
                <w:color w:val="FFFFFF"/>
                <w:sz w:val="18"/>
              </w:rPr>
              <w:t>当前实现</w:t>
            </w:r>
          </w:p>
        </w:tc>
        <w:tc>
          <w:tcPr>
            <w:tcW w:w="1440" w:type="dxa"/>
            <w:shd w:val="clear" w:color="auto" w:fill="17221B"/>
            <w:vAlign w:val="center"/>
          </w:tcPr>
          <w:p w14:paraId="4F850259"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2880" w:type="dxa"/>
            <w:shd w:val="clear" w:color="auto" w:fill="17221B"/>
            <w:vAlign w:val="center"/>
          </w:tcPr>
          <w:p w14:paraId="3D95105A">
            <w:r>
              <w:rPr>
                <w:b/>
                <w:color w:val="FFFFFF"/>
                <w:sz w:val="18"/>
              </w:rPr>
              <w:t>下一步</w:t>
            </w:r>
          </w:p>
        </w:tc>
      </w:tr>
      <w:tr w14:paraId="0820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58F5E3CA">
            <w:pPr>
              <w:spacing w:after="40"/>
            </w:pPr>
            <w:r>
              <w:rPr>
                <w:sz w:val="17"/>
              </w:rPr>
              <w:t>目录化</w:t>
            </w:r>
          </w:p>
        </w:tc>
        <w:tc>
          <w:tcPr>
            <w:tcW w:w="3888" w:type="dxa"/>
            <w:vAlign w:val="center"/>
          </w:tcPr>
          <w:p w14:paraId="40A46FDF">
            <w:pPr>
              <w:spacing w:after="40"/>
            </w:pPr>
            <w:r>
              <w:rPr>
                <w:sz w:val="17"/>
              </w:rPr>
              <w:t>独立 digital-ic Skill、规则和版本化工程</w:t>
            </w:r>
          </w:p>
        </w:tc>
        <w:tc>
          <w:tcPr>
            <w:tcW w:w="1440" w:type="dxa"/>
            <w:vAlign w:val="center"/>
          </w:tcPr>
          <w:p w14:paraId="5F4783DF">
            <w:pPr>
              <w:spacing w:after="40"/>
            </w:pPr>
            <w:r>
              <w:rPr>
                <w:sz w:val="17"/>
              </w:rPr>
              <w:t>已具备</w:t>
            </w:r>
          </w:p>
        </w:tc>
        <w:tc>
          <w:tcPr>
            <w:tcW w:w="2880" w:type="dxa"/>
            <w:vAlign w:val="center"/>
          </w:tcPr>
          <w:p w14:paraId="2ADFF76D">
            <w:pPr>
              <w:spacing w:after="40"/>
            </w:pPr>
            <w:r>
              <w:rPr>
                <w:sz w:val="17"/>
              </w:rPr>
              <w:t>生成正式技能卡</w:t>
            </w:r>
          </w:p>
        </w:tc>
      </w:tr>
      <w:tr w14:paraId="000E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5F7F5"/>
            <w:vAlign w:val="center"/>
          </w:tcPr>
          <w:p w14:paraId="3A4E8076">
            <w:pPr>
              <w:spacing w:after="40"/>
            </w:pPr>
            <w:r>
              <w:rPr>
                <w:sz w:val="17"/>
              </w:rPr>
              <w:t>扫描</w:t>
            </w:r>
          </w:p>
        </w:tc>
        <w:tc>
          <w:tcPr>
            <w:tcW w:w="3888" w:type="dxa"/>
            <w:shd w:val="clear" w:color="auto" w:fill="F5F7F5"/>
            <w:vAlign w:val="center"/>
          </w:tcPr>
          <w:p w14:paraId="1DB6B2C7">
            <w:pPr>
              <w:spacing w:after="40"/>
            </w:pPr>
            <w:r>
              <w:rPr>
                <w:sz w:val="17"/>
              </w:rPr>
              <w:t>任务目录约束、凭据排除、命令白名单与静态检查</w:t>
            </w:r>
          </w:p>
        </w:tc>
        <w:tc>
          <w:tcPr>
            <w:tcW w:w="1440" w:type="dxa"/>
            <w:shd w:val="clear" w:color="auto" w:fill="F5F7F5"/>
            <w:vAlign w:val="center"/>
          </w:tcPr>
          <w:p w14:paraId="0BA99D70">
            <w:pPr>
              <w:spacing w:after="40"/>
            </w:pPr>
            <w:r>
              <w:rPr>
                <w:sz w:val="17"/>
              </w:rPr>
              <w:t>部分具备</w:t>
            </w:r>
          </w:p>
        </w:tc>
        <w:tc>
          <w:tcPr>
            <w:tcW w:w="2880" w:type="dxa"/>
            <w:shd w:val="clear" w:color="auto" w:fill="F5F7F5"/>
            <w:vAlign w:val="center"/>
          </w:tcPr>
          <w:p w14:paraId="2CA508B1">
            <w:pPr>
              <w:spacing w:after="40"/>
            </w:pPr>
            <w:r>
              <w:rPr>
                <w:sz w:val="17"/>
              </w:rPr>
              <w:t>接入官方 SkillSpector/等价扫描</w:t>
            </w:r>
          </w:p>
        </w:tc>
      </w:tr>
      <w:tr w14:paraId="53655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2AEDB46E">
            <w:pPr>
              <w:spacing w:after="40"/>
            </w:pPr>
            <w:r>
              <w:rPr>
                <w:sz w:val="17"/>
              </w:rPr>
              <w:t>评测</w:t>
            </w:r>
          </w:p>
        </w:tc>
        <w:tc>
          <w:tcPr>
            <w:tcW w:w="3888" w:type="dxa"/>
            <w:vAlign w:val="center"/>
          </w:tcPr>
          <w:p w14:paraId="758A79E2">
            <w:pPr>
              <w:spacing w:after="40"/>
            </w:pPr>
            <w:r>
              <w:rPr>
                <w:sz w:val="17"/>
              </w:rPr>
              <w:t>五类盲测、隐藏 oracle、EDA 报告</w:t>
            </w:r>
          </w:p>
        </w:tc>
        <w:tc>
          <w:tcPr>
            <w:tcW w:w="1440" w:type="dxa"/>
            <w:vAlign w:val="center"/>
          </w:tcPr>
          <w:p w14:paraId="67604536">
            <w:pPr>
              <w:spacing w:after="40"/>
            </w:pPr>
            <w:r>
              <w:rPr>
                <w:sz w:val="17"/>
              </w:rPr>
              <w:t>已具备基础</w:t>
            </w:r>
          </w:p>
        </w:tc>
        <w:tc>
          <w:tcPr>
            <w:tcW w:w="2880" w:type="dxa"/>
            <w:vAlign w:val="center"/>
          </w:tcPr>
          <w:p w14:paraId="3FC94C2C">
            <w:pPr>
              <w:spacing w:after="40"/>
            </w:pPr>
            <w:r>
              <w:rPr>
                <w:sz w:val="17"/>
              </w:rPr>
              <w:t>扩充规模并做有/无 Skill 对照</w:t>
            </w:r>
          </w:p>
        </w:tc>
      </w:tr>
      <w:tr w14:paraId="3B3E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5F7F5"/>
            <w:vAlign w:val="center"/>
          </w:tcPr>
          <w:p w14:paraId="65C2D0B3">
            <w:pPr>
              <w:spacing w:after="40"/>
            </w:pPr>
            <w:r>
              <w:rPr>
                <w:sz w:val="17"/>
              </w:rPr>
              <w:t>签名</w:t>
            </w:r>
          </w:p>
        </w:tc>
        <w:tc>
          <w:tcPr>
            <w:tcW w:w="3888" w:type="dxa"/>
            <w:shd w:val="clear" w:color="auto" w:fill="F5F7F5"/>
            <w:vAlign w:val="center"/>
          </w:tcPr>
          <w:p w14:paraId="1C3FED09">
            <w:pPr>
              <w:spacing w:after="40"/>
            </w:pPr>
            <w:r>
              <w:rPr>
                <w:sz w:val="17"/>
              </w:rPr>
              <w:t>尚未生成官方 detached OMS signature</w:t>
            </w:r>
          </w:p>
        </w:tc>
        <w:tc>
          <w:tcPr>
            <w:tcW w:w="1440" w:type="dxa"/>
            <w:shd w:val="clear" w:color="auto" w:fill="F5F7F5"/>
            <w:vAlign w:val="center"/>
          </w:tcPr>
          <w:p w14:paraId="7860585F">
            <w:pPr>
              <w:spacing w:after="40"/>
            </w:pPr>
            <w:r>
              <w:rPr>
                <w:sz w:val="17"/>
              </w:rPr>
              <w:t>未完成</w:t>
            </w:r>
          </w:p>
        </w:tc>
        <w:tc>
          <w:tcPr>
            <w:tcW w:w="2880" w:type="dxa"/>
            <w:shd w:val="clear" w:color="auto" w:fill="F5F7F5"/>
            <w:vAlign w:val="center"/>
          </w:tcPr>
          <w:p w14:paraId="5D04EE94">
            <w:pPr>
              <w:spacing w:after="40"/>
            </w:pPr>
            <w:r>
              <w:rPr>
                <w:sz w:val="17"/>
              </w:rPr>
              <w:t>服务器发布阶段签名与验签</w:t>
            </w:r>
          </w:p>
        </w:tc>
      </w:tr>
      <w:tr w14:paraId="18F99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vAlign w:val="center"/>
          </w:tcPr>
          <w:p w14:paraId="4C7A71D3">
            <w:pPr>
              <w:spacing w:after="40"/>
            </w:pPr>
            <w:r>
              <w:rPr>
                <w:sz w:val="17"/>
              </w:rPr>
              <w:t>文档</w:t>
            </w:r>
          </w:p>
        </w:tc>
        <w:tc>
          <w:tcPr>
            <w:tcW w:w="3888" w:type="dxa"/>
            <w:vAlign w:val="center"/>
          </w:tcPr>
          <w:p w14:paraId="4DBC6193">
            <w:pPr>
              <w:spacing w:after="40"/>
            </w:pPr>
            <w:r>
              <w:rPr>
                <w:sz w:val="17"/>
              </w:rPr>
              <w:t>功能边界、用户说明、迁移说明、本文档</w:t>
            </w:r>
          </w:p>
        </w:tc>
        <w:tc>
          <w:tcPr>
            <w:tcW w:w="1440" w:type="dxa"/>
            <w:vAlign w:val="center"/>
          </w:tcPr>
          <w:p w14:paraId="0005CD1F">
            <w:pPr>
              <w:spacing w:after="40"/>
            </w:pPr>
            <w:r>
              <w:rPr>
                <w:sz w:val="17"/>
              </w:rPr>
              <w:t>已具备</w:t>
            </w:r>
          </w:p>
        </w:tc>
        <w:tc>
          <w:tcPr>
            <w:tcW w:w="2880" w:type="dxa"/>
            <w:vAlign w:val="center"/>
          </w:tcPr>
          <w:p w14:paraId="5A82AEDF">
            <w:pPr>
              <w:spacing w:after="40"/>
            </w:pPr>
            <w:r>
              <w:rPr>
                <w:sz w:val="17"/>
              </w:rPr>
              <w:t>自动绑定哈希与版本</w:t>
            </w:r>
          </w:p>
        </w:tc>
      </w:tr>
    </w:tbl>
    <w:p w14:paraId="5E93C952"/>
    <w:p w14:paraId="483F4544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83" w:name="H_43"/>
      <w:bookmarkEnd w:id="83"/>
      <w:bookmarkStart w:id="84" w:name="_Toc21920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9.3 采用该架构的实际区别</w:t>
      </w:r>
      <w:bookmarkEnd w:id="84"/>
    </w:p>
    <w:p w14:paraId="51897378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不用治理框架时，任何人都可以复制一个 prompt 并声称“适用于数字 IC”，用户无法知道它读写了什么、是否跑过测试、何时更新、是否被篡改；采用后，每个 Skill 有明确权限、输入输出、评测基线和版本证据，更新必须重新扫描和评测。对本项目而言，这会把参赛作品从“能演示的 Agent”推进到“可在实验室共享和迭代的工程能力包”。当前报告只声明对齐路线，不宣称已经获得 NVIDIA 官方 Verified 标识。</w:t>
      </w:r>
    </w:p>
    <w:p w14:paraId="5731EF00">
      <w:pPr>
        <w:jc w:val="center"/>
      </w:pPr>
      <w:r>
        <w:rPr>
          <w:rFonts w:eastAsia="微软雅黑"/>
        </w:rPr>
        <w:drawing>
          <wp:inline distT="0" distB="0" distL="114300" distR="114300">
            <wp:extent cx="6309360" cy="2172970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7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AE2A">
      <w:pPr>
        <w:pStyle w:val="15"/>
        <w:jc w:val="center"/>
      </w:pPr>
      <w:r>
        <w:rPr>
          <w:rFonts w:eastAsia="微软雅黑"/>
        </w:rPr>
        <w:t>图 4  Verified Skills 治理路径及本项目演进方向</w:t>
      </w:r>
    </w:p>
    <w:p w14:paraId="31605475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85" w:name="H_44"/>
      <w:bookmarkEnd w:id="85"/>
      <w:bookmarkStart w:id="86" w:name="_Toc15333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10 实验设计与结果</w:t>
      </w:r>
      <w:bookmarkEnd w:id="86"/>
    </w:p>
    <w:p w14:paraId="32ECA6D1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87" w:name="H_45"/>
      <w:bookmarkEnd w:id="87"/>
      <w:bookmarkStart w:id="88" w:name="_Toc5575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10.1 实验原则</w:t>
      </w:r>
      <w:bookmarkEnd w:id="88"/>
    </w:p>
    <w:p w14:paraId="2D7689D2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实验区分确定性基线、真实模型端到端任务、模板回归和隐藏 oracle 盲测。指标至少包括任务成功、仿真、综合、overall_pass、修复轮数、必需产物和独立 oracle；后续还应加入 Pass@1、修复后通过率、平均时延、token、失败类型、PPA 与跨模型方差。报告保留失败，不通过手工改代码后只展示成功结果。</w:t>
      </w:r>
    </w:p>
    <w:p w14:paraId="185A86B1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89" w:name="H_46"/>
      <w:bookmarkEnd w:id="89"/>
      <w:bookmarkStart w:id="90" w:name="_Toc18751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10.2 当前可复现实测</w:t>
      </w:r>
      <w:bookmarkEnd w:id="9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160"/>
        <w:gridCol w:w="2088"/>
        <w:gridCol w:w="3528"/>
      </w:tblGrid>
      <w:tr w14:paraId="6F51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17221B"/>
            <w:vAlign w:val="center"/>
          </w:tcPr>
          <w:p w14:paraId="7E9C0362">
            <w:r>
              <w:rPr>
                <w:b/>
                <w:color w:val="FFFFFF"/>
                <w:sz w:val="18"/>
              </w:rPr>
              <w:t>实验</w:t>
            </w:r>
          </w:p>
        </w:tc>
        <w:tc>
          <w:tcPr>
            <w:tcW w:w="2160" w:type="dxa"/>
            <w:shd w:val="clear" w:color="auto" w:fill="17221B"/>
            <w:vAlign w:val="center"/>
          </w:tcPr>
          <w:p w14:paraId="41B995C1">
            <w:r>
              <w:rPr>
                <w:b/>
                <w:color w:val="FFFFFF"/>
                <w:sz w:val="18"/>
              </w:rPr>
              <w:t>规模/对象</w:t>
            </w:r>
          </w:p>
        </w:tc>
        <w:tc>
          <w:tcPr>
            <w:tcW w:w="2088" w:type="dxa"/>
            <w:shd w:val="clear" w:color="auto" w:fill="17221B"/>
            <w:vAlign w:val="center"/>
          </w:tcPr>
          <w:p w14:paraId="35238432"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3528" w:type="dxa"/>
            <w:shd w:val="clear" w:color="auto" w:fill="17221B"/>
            <w:vAlign w:val="center"/>
          </w:tcPr>
          <w:p w14:paraId="5C184090">
            <w:r>
              <w:rPr>
                <w:b/>
                <w:color w:val="FFFFFF"/>
                <w:sz w:val="18"/>
              </w:rPr>
              <w:t>证据解释</w:t>
            </w:r>
          </w:p>
        </w:tc>
      </w:tr>
      <w:tr w14:paraId="44251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vAlign w:val="center"/>
          </w:tcPr>
          <w:p w14:paraId="4A62B9BC">
            <w:pPr>
              <w:spacing w:after="40"/>
            </w:pPr>
            <w:r>
              <w:rPr>
                <w:sz w:val="17"/>
              </w:rPr>
              <w:t>阶段一基线</w:t>
            </w:r>
          </w:p>
        </w:tc>
        <w:tc>
          <w:tcPr>
            <w:tcW w:w="2160" w:type="dxa"/>
            <w:vAlign w:val="center"/>
          </w:tcPr>
          <w:p w14:paraId="462EC7EC">
            <w:pPr>
              <w:spacing w:after="40"/>
            </w:pPr>
            <w:r>
              <w:rPr>
                <w:sz w:val="17"/>
              </w:rPr>
              <w:t>加法、握手 FSM、同步 FIFO 共 3 项</w:t>
            </w:r>
          </w:p>
        </w:tc>
        <w:tc>
          <w:tcPr>
            <w:tcW w:w="2088" w:type="dxa"/>
            <w:vAlign w:val="center"/>
          </w:tcPr>
          <w:p w14:paraId="2B784839">
            <w:pPr>
              <w:spacing w:after="40"/>
            </w:pPr>
            <w:r>
              <w:rPr>
                <w:sz w:val="17"/>
              </w:rPr>
              <w:t>3/3 通过，平均 100 分</w:t>
            </w:r>
          </w:p>
        </w:tc>
        <w:tc>
          <w:tcPr>
            <w:tcW w:w="3528" w:type="dxa"/>
            <w:vAlign w:val="center"/>
          </w:tcPr>
          <w:p w14:paraId="75CF7450">
            <w:pPr>
              <w:spacing w:after="40"/>
            </w:pPr>
            <w:r>
              <w:rPr>
                <w:sz w:val="17"/>
              </w:rPr>
              <w:t>仿真与综合均通过</w:t>
            </w:r>
          </w:p>
        </w:tc>
      </w:tr>
      <w:tr w14:paraId="08E09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5F7F5"/>
            <w:vAlign w:val="center"/>
          </w:tcPr>
          <w:p w14:paraId="2ED0C1D9">
            <w:pPr>
              <w:spacing w:after="40"/>
            </w:pPr>
            <w:r>
              <w:rPr>
                <w:sz w:val="17"/>
              </w:rPr>
              <w:t>66×66 乘法器</w:t>
            </w:r>
          </w:p>
        </w:tc>
        <w:tc>
          <w:tcPr>
            <w:tcW w:w="2160" w:type="dxa"/>
            <w:shd w:val="clear" w:color="auto" w:fill="F5F7F5"/>
            <w:vAlign w:val="center"/>
          </w:tcPr>
          <w:p w14:paraId="433ED339">
            <w:pPr>
              <w:spacing w:after="40"/>
            </w:pPr>
            <w:r>
              <w:rPr>
                <w:sz w:val="17"/>
              </w:rPr>
              <w:t>mult66x66 端到端运行</w:t>
            </w:r>
          </w:p>
        </w:tc>
        <w:tc>
          <w:tcPr>
            <w:tcW w:w="2088" w:type="dxa"/>
            <w:shd w:val="clear" w:color="auto" w:fill="F5F7F5"/>
            <w:vAlign w:val="center"/>
          </w:tcPr>
          <w:p w14:paraId="3916FA40">
            <w:pPr>
              <w:spacing w:after="40"/>
            </w:pPr>
            <w:r>
              <w:rPr>
                <w:sz w:val="17"/>
              </w:rPr>
              <w:t>overall_pass=true</w:t>
            </w:r>
          </w:p>
        </w:tc>
        <w:tc>
          <w:tcPr>
            <w:tcW w:w="3528" w:type="dxa"/>
            <w:shd w:val="clear" w:color="auto" w:fill="F5F7F5"/>
            <w:vAlign w:val="center"/>
          </w:tcPr>
          <w:p w14:paraId="1091E278">
            <w:pPr>
              <w:spacing w:after="40"/>
            </w:pPr>
            <w:r>
              <w:rPr>
                <w:sz w:val="17"/>
              </w:rPr>
              <w:t>Vivado 仿真 TEST_PASS，Yosys 综合通过</w:t>
            </w:r>
          </w:p>
        </w:tc>
      </w:tr>
      <w:tr w14:paraId="65CE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vAlign w:val="center"/>
          </w:tcPr>
          <w:p w14:paraId="0AB01B8E">
            <w:pPr>
              <w:spacing w:after="40"/>
            </w:pPr>
            <w:r>
              <w:rPr>
                <w:sz w:val="17"/>
              </w:rPr>
              <w:t>五类内置模板</w:t>
            </w:r>
          </w:p>
        </w:tc>
        <w:tc>
          <w:tcPr>
            <w:tcW w:w="2160" w:type="dxa"/>
            <w:vAlign w:val="center"/>
          </w:tcPr>
          <w:p w14:paraId="18FB1441">
            <w:pPr>
              <w:spacing w:after="40"/>
            </w:pPr>
            <w:r>
              <w:rPr>
                <w:sz w:val="17"/>
              </w:rPr>
              <w:t>组合、FSM、FIFO、协议、修复</w:t>
            </w:r>
          </w:p>
        </w:tc>
        <w:tc>
          <w:tcPr>
            <w:tcW w:w="2088" w:type="dxa"/>
            <w:vAlign w:val="center"/>
          </w:tcPr>
          <w:p w14:paraId="129DFC26">
            <w:pPr>
              <w:spacing w:after="40"/>
            </w:pPr>
            <w:r>
              <w:rPr>
                <w:sz w:val="17"/>
              </w:rPr>
              <w:t>本轮独立 EDA 回归均通过</w:t>
            </w:r>
          </w:p>
        </w:tc>
        <w:tc>
          <w:tcPr>
            <w:tcW w:w="3528" w:type="dxa"/>
            <w:vAlign w:val="center"/>
          </w:tcPr>
          <w:p w14:paraId="159807AB">
            <w:pPr>
              <w:spacing w:after="40"/>
            </w:pPr>
            <w:r>
              <w:rPr>
                <w:sz w:val="17"/>
              </w:rPr>
              <w:t>说明常见任务可零 token 实例化后验证</w:t>
            </w:r>
          </w:p>
        </w:tc>
      </w:tr>
      <w:tr w14:paraId="070F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5F7F5"/>
            <w:vAlign w:val="center"/>
          </w:tcPr>
          <w:p w14:paraId="46623412">
            <w:pPr>
              <w:spacing w:after="40"/>
            </w:pPr>
            <w:r>
              <w:rPr>
                <w:sz w:val="17"/>
              </w:rPr>
              <w:t>五类首轮盲测</w:t>
            </w:r>
          </w:p>
        </w:tc>
        <w:tc>
          <w:tcPr>
            <w:tcW w:w="2160" w:type="dxa"/>
            <w:shd w:val="clear" w:color="auto" w:fill="F5F7F5"/>
            <w:vAlign w:val="center"/>
          </w:tcPr>
          <w:p w14:paraId="647E922D">
            <w:pPr>
              <w:spacing w:after="40"/>
            </w:pPr>
            <w:r>
              <w:rPr>
                <w:sz w:val="17"/>
              </w:rPr>
              <w:t>ALU、FSM、FIFO、SPI、修复</w:t>
            </w:r>
          </w:p>
        </w:tc>
        <w:tc>
          <w:tcPr>
            <w:tcW w:w="2088" w:type="dxa"/>
            <w:shd w:val="clear" w:color="auto" w:fill="F5F7F5"/>
            <w:vAlign w:val="center"/>
          </w:tcPr>
          <w:p w14:paraId="60A85879">
            <w:pPr>
              <w:spacing w:after="40"/>
            </w:pPr>
            <w:r>
              <w:rPr>
                <w:sz w:val="17"/>
              </w:rPr>
              <w:t>1/5，通过率 20%，平均 28 分</w:t>
            </w:r>
          </w:p>
        </w:tc>
        <w:tc>
          <w:tcPr>
            <w:tcW w:w="3528" w:type="dxa"/>
            <w:shd w:val="clear" w:color="auto" w:fill="F5F7F5"/>
            <w:vAlign w:val="center"/>
          </w:tcPr>
          <w:p w14:paraId="15E4ED27">
            <w:pPr>
              <w:spacing w:after="40"/>
            </w:pPr>
            <w:r>
              <w:rPr>
                <w:sz w:val="17"/>
              </w:rPr>
              <w:t>ALU 100；其余多因 Connection error 与产物缺失</w:t>
            </w:r>
          </w:p>
        </w:tc>
      </w:tr>
      <w:tr w14:paraId="12D2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vAlign w:val="center"/>
          </w:tcPr>
          <w:p w14:paraId="4BA743D2">
            <w:pPr>
              <w:spacing w:after="40"/>
            </w:pPr>
            <w:r>
              <w:rPr>
                <w:sz w:val="17"/>
              </w:rPr>
              <w:t>自动化测试</w:t>
            </w:r>
          </w:p>
        </w:tc>
        <w:tc>
          <w:tcPr>
            <w:tcW w:w="2160" w:type="dxa"/>
            <w:vAlign w:val="center"/>
          </w:tcPr>
          <w:p w14:paraId="33737CCB">
            <w:pPr>
              <w:spacing w:after="40"/>
            </w:pPr>
            <w:r>
              <w:rPr>
                <w:sz w:val="17"/>
              </w:rPr>
              <w:t>模板、提交契约、产物工作台</w:t>
            </w:r>
          </w:p>
        </w:tc>
        <w:tc>
          <w:tcPr>
            <w:tcW w:w="2088" w:type="dxa"/>
            <w:vAlign w:val="center"/>
          </w:tcPr>
          <w:p w14:paraId="311B94C3">
            <w:pPr>
              <w:spacing w:after="40"/>
            </w:pPr>
            <w:r>
              <w:rPr>
                <w:sz w:val="17"/>
              </w:rPr>
              <w:t>8 项测试通过</w:t>
            </w:r>
          </w:p>
        </w:tc>
        <w:tc>
          <w:tcPr>
            <w:tcW w:w="3528" w:type="dxa"/>
            <w:vAlign w:val="center"/>
          </w:tcPr>
          <w:p w14:paraId="65F0E9D3">
            <w:pPr>
              <w:spacing w:after="40"/>
            </w:pPr>
            <w:r>
              <w:rPr>
                <w:sz w:val="17"/>
              </w:rPr>
              <w:t>覆盖 API/目录/模板关键路径</w:t>
            </w:r>
          </w:p>
        </w:tc>
      </w:tr>
    </w:tbl>
    <w:p w14:paraId="1737F7CE"/>
    <w:p w14:paraId="4A3C3DD9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91" w:name="H_47"/>
      <w:bookmarkEnd w:id="91"/>
      <w:bookmarkStart w:id="92" w:name="_Toc30184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10.3 结果解读</w:t>
      </w:r>
      <w:bookmarkEnd w:id="92"/>
    </w:p>
    <w:p w14:paraId="79B554FD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三项基线、66×66 乘法器与五类模板回归说明工程主链路、EDA 集成和结构化交付已经可用。尤其 66×66 任务验证了用户只提供高层需求时，系统可以补全接口与测试并形成真实工具证据，而不是依赖手工填写接口契约。模板回归说明常见设计可通过参数化资产稳定复用。</w:t>
      </w:r>
    </w:p>
    <w:p w14:paraId="16780B02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首轮盲测的低通过率不能被简单解释为 RTL 能力不足：4 个失败记录的主要症状是模型服务 Connection error，随后缺少必需产物。它揭示的是产品级端到端可靠性短板——网络和模型服务也是系统的一部分。下一轮应在相同题集上比较阶跃星辰与双 H100 本地模型，分别统计模型错误、传输错误、验证错误和修复结果；同时把模板降级纳入故障注入测试。</w:t>
      </w:r>
    </w:p>
    <w:p w14:paraId="42270130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现有五个盲测案例用于建立类别覆盖和流水线回归，不能证明“这五类任意题目都能准确生成”。要形成论文级结论，需要每类扩展到至少数十个不同接口、位宽和边界条件的保留测试集，固定随机种子，报告置信区间，并设置无 Skill、仅 prompt、完整闭环、模板增强等消融组。</w:t>
      </w:r>
    </w:p>
    <w:p w14:paraId="578BA3C9">
      <w:pPr>
        <w:jc w:val="center"/>
      </w:pPr>
      <w:r>
        <w:rPr>
          <w:rFonts w:eastAsia="微软雅黑"/>
        </w:rPr>
        <w:drawing>
          <wp:inline distT="0" distB="0" distL="114300" distR="114300">
            <wp:extent cx="6309360" cy="3549015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6C49">
      <w:pPr>
        <w:pStyle w:val="15"/>
        <w:jc w:val="center"/>
      </w:pPr>
      <w:r>
        <w:rPr>
          <w:rFonts w:eastAsia="微软雅黑"/>
        </w:rPr>
        <w:t>图 5  工作台中的质量与验证视图</w:t>
      </w:r>
    </w:p>
    <w:p w14:paraId="543AD1DA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93" w:name="H_48"/>
      <w:bookmarkEnd w:id="93"/>
      <w:bookmarkStart w:id="94" w:name="_Toc15212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11 Windows 产品化与双 H100 迁移</w:t>
      </w:r>
      <w:bookmarkEnd w:id="94"/>
    </w:p>
    <w:p w14:paraId="18BAE37D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95" w:name="H_49"/>
      <w:bookmarkEnd w:id="95"/>
      <w:bookmarkStart w:id="96" w:name="_Toc26196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11.1 Windows 先行的合理性</w:t>
      </w:r>
      <w:bookmarkEnd w:id="96"/>
    </w:p>
    <w:p w14:paraId="1B52565A">
      <w:pPr>
        <w:spacing w:line="360" w:lineRule="auto"/>
      </w:pPr>
      <w:r>
        <w:rPr>
          <w:rFonts w:hint="eastAsia" w:ascii="Times New Roman" w:hAnsi="Times New Roman" w:eastAsia="宋体" w:cs="宋体"/>
          <w:sz w:val="24"/>
          <w:szCs w:val="24"/>
        </w:rPr>
        <w:t>当前阶段优先在 Windows 把交互、任务契约、EDA、目录、报告和回归测试跑通，可以缩短产品迭代反馈。用户电脑没有适合部署大规模本地模型的 GPU 并不妨碍开发：模型可通过阶跃星辰等兼容 API 远程调用，RTL 仿真与小规模综合由本机 CPU/工具完成。密钥只存环境变量，不写入源码、文档和迁移包。</w:t>
      </w:r>
    </w:p>
    <w:p w14:paraId="77806964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97" w:name="H_50"/>
      <w:bookmarkEnd w:id="97"/>
      <w:bookmarkStart w:id="98" w:name="_Toc6512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11.2 可移植设计</w:t>
      </w:r>
      <w:bookmarkEnd w:id="98"/>
    </w:p>
    <w:p w14:paraId="2E293418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项目代码不依赖固定盘符；模型、base URL、transport、超时、温度和访问口令均环境化；历史 runs、虚拟环境、个人密钥和 Windows EDA 套件从压缩包排除。Docker Compose 负责 Linux 服务，统一 HTTP API 和 OpenAI-compatible 模型接口使前端与工作流无需因模型迁移而改写。Windows 打包脚本生成 ZIP 与 SHA256，便于把同一版本发送到服务器。</w:t>
      </w:r>
    </w:p>
    <w:p w14:paraId="2D67D225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99" w:name="H_51"/>
      <w:bookmarkEnd w:id="99"/>
      <w:bookmarkStart w:id="100" w:name="_Toc12815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11.3 双 H100 方案</w:t>
      </w:r>
      <w:bookmarkEnd w:id="100"/>
    </w:p>
    <w:p w14:paraId="4C1DA450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服务器安装 NVIDIA 驱动、Docker 与 NVIDIA Container Toolkit 后，以 vLLM 或同类推理服务暴露 OpenAI-compatible API，使用 tensor parallel size=2 分布到两张 H100。模型应实际承担 RTL/TB 生成、诊断或修复，并在运行报告中记录模型名、GPU、并行参数、时延和盲测结果，才能形成有意义的 NVIDIA 平台适配证据。若选择 30B–70B 级代码模型，应根据显存、上下文和并发设置精度、KV cache 与最大序列长度，而不是只追求参数量。</w:t>
      </w:r>
    </w:p>
    <w:p w14:paraId="165F6FCE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01" w:name="H_52"/>
      <w:bookmarkEnd w:id="101"/>
      <w:bookmarkStart w:id="102" w:name="_Toc10763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11.4 迁移验收</w:t>
      </w:r>
      <w:bookmarkEnd w:id="102"/>
    </w:p>
    <w:p w14:paraId="52E29FA5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/api/runtime 能识别 Linux、两张 H100、Icarus Verilog 与 Yosys。</w:t>
      </w:r>
    </w:p>
    <w:p w14:paraId="7B5361BE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阶段一确定性基线保持 3/3 通过。</w:t>
      </w:r>
    </w:p>
    <w:p w14:paraId="6FE47EF2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同一盲测集分别运行远程 StepFun 与本地模型，保存可比报告。</w:t>
      </w:r>
    </w:p>
    <w:p w14:paraId="4362D984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验证断网时模板与本地模型降级，验证超时、重试、取消和恢复。</w:t>
      </w:r>
    </w:p>
    <w:p w14:paraId="79E735FB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确认容器只挂载任务目录，密钥不进入镜像与日志，发布包哈希可复核。</w:t>
      </w:r>
    </w:p>
    <w:p w14:paraId="34D9FFCF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103" w:name="H_53"/>
      <w:bookmarkEnd w:id="103"/>
      <w:bookmarkStart w:id="104" w:name="_Toc13692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12 竞赛得分映射与演示方案</w:t>
      </w:r>
      <w:bookmarkEnd w:id="104"/>
    </w:p>
    <w:p w14:paraId="5F61E70D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作品展示采用“痛点—一键功能—架构原理—研究依据—量化结果—平台迁移”的叙事。痛点回答为什么需要产品；完整屏幕录制证明 GUI 可操作；架构与闭环体现技术深度；参考文献说明设计不是任意堆叠；成功和失败数据体现严谨；双 H100 路线与 Verified Skills 对齐回应 NVIDIA 平台价值。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536"/>
        <w:gridCol w:w="3384"/>
      </w:tblGrid>
      <w:tr w14:paraId="7F889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17221B"/>
            <w:vAlign w:val="center"/>
          </w:tcPr>
          <w:p w14:paraId="68A4F081">
            <w:r>
              <w:rPr>
                <w:b/>
                <w:color w:val="FFFFFF"/>
                <w:sz w:val="18"/>
              </w:rPr>
              <w:t>评分维度</w:t>
            </w:r>
          </w:p>
        </w:tc>
        <w:tc>
          <w:tcPr>
            <w:tcW w:w="4536" w:type="dxa"/>
            <w:shd w:val="clear" w:color="auto" w:fill="17221B"/>
            <w:vAlign w:val="center"/>
          </w:tcPr>
          <w:p w14:paraId="14FD6BDA">
            <w:r>
              <w:rPr>
                <w:b/>
                <w:color w:val="FFFFFF"/>
                <w:sz w:val="18"/>
              </w:rPr>
              <w:t>项目证据</w:t>
            </w:r>
          </w:p>
        </w:tc>
        <w:tc>
          <w:tcPr>
            <w:tcW w:w="3384" w:type="dxa"/>
            <w:shd w:val="clear" w:color="auto" w:fill="17221B"/>
            <w:vAlign w:val="center"/>
          </w:tcPr>
          <w:p w14:paraId="3E9EB296">
            <w:r>
              <w:rPr>
                <w:b/>
                <w:color w:val="FFFFFF"/>
                <w:sz w:val="18"/>
              </w:rPr>
              <w:t>演示重点</w:t>
            </w:r>
          </w:p>
        </w:tc>
      </w:tr>
      <w:tr w14:paraId="78006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FEE569F">
            <w:pPr>
              <w:spacing w:after="40"/>
            </w:pPr>
            <w:r>
              <w:rPr>
                <w:sz w:val="17"/>
              </w:rPr>
              <w:t>实用性与创新性</w:t>
            </w:r>
          </w:p>
        </w:tc>
        <w:tc>
          <w:tcPr>
            <w:tcW w:w="4536" w:type="dxa"/>
            <w:vAlign w:val="center"/>
          </w:tcPr>
          <w:p w14:paraId="3175A1D1">
            <w:pPr>
              <w:spacing w:after="40"/>
            </w:pPr>
            <w:r>
              <w:rPr>
                <w:sz w:val="17"/>
              </w:rPr>
              <w:t>自然语言到工程包、模板个人库、零 token 路由</w:t>
            </w:r>
          </w:p>
        </w:tc>
        <w:tc>
          <w:tcPr>
            <w:tcW w:w="3384" w:type="dxa"/>
            <w:vAlign w:val="center"/>
          </w:tcPr>
          <w:p w14:paraId="3509A139">
            <w:pPr>
              <w:spacing w:after="40"/>
            </w:pPr>
            <w:r>
              <w:rPr>
                <w:sz w:val="17"/>
              </w:rPr>
              <w:t>66×66 一键生成与下载</w:t>
            </w:r>
          </w:p>
        </w:tc>
      </w:tr>
      <w:tr w14:paraId="1ACE8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5F7F5"/>
            <w:vAlign w:val="center"/>
          </w:tcPr>
          <w:p w14:paraId="7F4FB4E5">
            <w:pPr>
              <w:spacing w:after="40"/>
            </w:pPr>
            <w:r>
              <w:rPr>
                <w:sz w:val="17"/>
              </w:rPr>
              <w:t>技术深度</w:t>
            </w:r>
          </w:p>
        </w:tc>
        <w:tc>
          <w:tcPr>
            <w:tcW w:w="4536" w:type="dxa"/>
            <w:shd w:val="clear" w:color="auto" w:fill="F5F7F5"/>
            <w:vAlign w:val="center"/>
          </w:tcPr>
          <w:p w14:paraId="362284CE">
            <w:pPr>
              <w:spacing w:after="40"/>
            </w:pPr>
            <w:r>
              <w:rPr>
                <w:sz w:val="17"/>
              </w:rPr>
              <w:t>契约优先、独立验证、真实 EDA、有界修复</w:t>
            </w:r>
          </w:p>
        </w:tc>
        <w:tc>
          <w:tcPr>
            <w:tcW w:w="3384" w:type="dxa"/>
            <w:shd w:val="clear" w:color="auto" w:fill="F5F7F5"/>
            <w:vAlign w:val="center"/>
          </w:tcPr>
          <w:p w14:paraId="45FB1A23">
            <w:pPr>
              <w:spacing w:after="40"/>
            </w:pPr>
            <w:r>
              <w:rPr>
                <w:sz w:val="17"/>
              </w:rPr>
              <w:t>展示日志、repair 与架构图</w:t>
            </w:r>
          </w:p>
        </w:tc>
      </w:tr>
      <w:tr w14:paraId="054B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D0449D0">
            <w:pPr>
              <w:spacing w:after="40"/>
            </w:pPr>
            <w:r>
              <w:rPr>
                <w:sz w:val="17"/>
              </w:rPr>
              <w:t>完整性</w:t>
            </w:r>
          </w:p>
        </w:tc>
        <w:tc>
          <w:tcPr>
            <w:tcW w:w="4536" w:type="dxa"/>
            <w:vAlign w:val="center"/>
          </w:tcPr>
          <w:p w14:paraId="111B3E5B">
            <w:pPr>
              <w:spacing w:after="40"/>
            </w:pPr>
            <w:r>
              <w:rPr>
                <w:sz w:val="17"/>
              </w:rPr>
              <w:t>中文 GUI、任务服务、目录、报告、打包迁移</w:t>
            </w:r>
          </w:p>
        </w:tc>
        <w:tc>
          <w:tcPr>
            <w:tcW w:w="3384" w:type="dxa"/>
            <w:vAlign w:val="center"/>
          </w:tcPr>
          <w:p w14:paraId="3737D40E">
            <w:pPr>
              <w:spacing w:after="40"/>
            </w:pPr>
            <w:r>
              <w:rPr>
                <w:sz w:val="17"/>
              </w:rPr>
              <w:t>从输入到工作台闭环</w:t>
            </w:r>
          </w:p>
        </w:tc>
      </w:tr>
      <w:tr w14:paraId="2A9C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5F7F5"/>
            <w:vAlign w:val="center"/>
          </w:tcPr>
          <w:p w14:paraId="278E7483">
            <w:pPr>
              <w:spacing w:after="40"/>
            </w:pPr>
            <w:r>
              <w:rPr>
                <w:sz w:val="17"/>
              </w:rPr>
              <w:t>平台适配</w:t>
            </w:r>
          </w:p>
        </w:tc>
        <w:tc>
          <w:tcPr>
            <w:tcW w:w="4536" w:type="dxa"/>
            <w:shd w:val="clear" w:color="auto" w:fill="F5F7F5"/>
            <w:vAlign w:val="center"/>
          </w:tcPr>
          <w:p w14:paraId="59EC324D">
            <w:pPr>
              <w:spacing w:after="40"/>
            </w:pPr>
            <w:r>
              <w:rPr>
                <w:sz w:val="17"/>
              </w:rPr>
              <w:t>Verified Skills 对齐、Docker、双 H100 本地模型路线</w:t>
            </w:r>
          </w:p>
        </w:tc>
        <w:tc>
          <w:tcPr>
            <w:tcW w:w="3384" w:type="dxa"/>
            <w:shd w:val="clear" w:color="auto" w:fill="F5F7F5"/>
            <w:vAlign w:val="center"/>
          </w:tcPr>
          <w:p w14:paraId="173C4B38">
            <w:pPr>
              <w:spacing w:after="40"/>
            </w:pPr>
            <w:r>
              <w:rPr>
                <w:sz w:val="17"/>
              </w:rPr>
              <w:t>展示 runtime 与模型对照实验</w:t>
            </w:r>
          </w:p>
        </w:tc>
      </w:tr>
      <w:tr w14:paraId="7E659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5B780704">
            <w:pPr>
              <w:spacing w:after="40"/>
            </w:pPr>
            <w:r>
              <w:rPr>
                <w:sz w:val="17"/>
              </w:rPr>
              <w:t>演示效果</w:t>
            </w:r>
          </w:p>
        </w:tc>
        <w:tc>
          <w:tcPr>
            <w:tcW w:w="4536" w:type="dxa"/>
            <w:vAlign w:val="center"/>
          </w:tcPr>
          <w:p w14:paraId="0100FEB4">
            <w:pPr>
              <w:spacing w:after="40"/>
            </w:pPr>
            <w:r>
              <w:rPr>
                <w:sz w:val="17"/>
              </w:rPr>
              <w:t>全屏无变形录制、真实交互、关键数据字幕</w:t>
            </w:r>
          </w:p>
        </w:tc>
        <w:tc>
          <w:tcPr>
            <w:tcW w:w="3384" w:type="dxa"/>
            <w:vAlign w:val="center"/>
          </w:tcPr>
          <w:p w14:paraId="0757ACE2">
            <w:pPr>
              <w:spacing w:after="40"/>
            </w:pPr>
            <w:r>
              <w:rPr>
                <w:sz w:val="17"/>
              </w:rPr>
              <w:t>不使用伪造进度与挑选截图</w:t>
            </w:r>
          </w:p>
        </w:tc>
      </w:tr>
      <w:tr w14:paraId="4C32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5F7F5"/>
            <w:vAlign w:val="center"/>
          </w:tcPr>
          <w:p w14:paraId="1DAAF922">
            <w:pPr>
              <w:spacing w:after="40"/>
            </w:pPr>
            <w:r>
              <w:rPr>
                <w:sz w:val="17"/>
              </w:rPr>
              <w:t>技术文章</w:t>
            </w:r>
          </w:p>
        </w:tc>
        <w:tc>
          <w:tcPr>
            <w:tcW w:w="4536" w:type="dxa"/>
            <w:shd w:val="clear" w:color="auto" w:fill="F5F7F5"/>
            <w:vAlign w:val="center"/>
          </w:tcPr>
          <w:p w14:paraId="40DB58D0">
            <w:pPr>
              <w:spacing w:after="40"/>
            </w:pPr>
            <w:r>
              <w:rPr>
                <w:sz w:val="17"/>
              </w:rPr>
              <w:t>本报告、开发日志、引用与复现步骤</w:t>
            </w:r>
          </w:p>
        </w:tc>
        <w:tc>
          <w:tcPr>
            <w:tcW w:w="3384" w:type="dxa"/>
            <w:shd w:val="clear" w:color="auto" w:fill="F5F7F5"/>
            <w:vAlign w:val="center"/>
          </w:tcPr>
          <w:p w14:paraId="3386744D">
            <w:pPr>
              <w:spacing w:after="40"/>
            </w:pPr>
            <w:r>
              <w:rPr>
                <w:sz w:val="17"/>
              </w:rPr>
              <w:t>提供文档与代码链接</w:t>
            </w:r>
          </w:p>
        </w:tc>
      </w:tr>
    </w:tbl>
    <w:p w14:paraId="6AEDEB0E"/>
    <w:p w14:paraId="4E57EC40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05" w:name="H_54"/>
      <w:bookmarkEnd w:id="105"/>
      <w:bookmarkStart w:id="106" w:name="_Toc20014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12.1 推荐现场流程</w:t>
      </w:r>
      <w:bookmarkEnd w:id="106"/>
    </w:p>
    <w:p w14:paraId="105853C4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第一分钟用一个失败案例说明普通聊天生成的痛点；第二至四分钟在 GUI 输入“设计一个无符号 66×66 乘法器”，展示 Agent 自动补全接口、执行阶段进度和真实 EDA；第五分钟打开工作台，查看 rtl、tb、doc 与日志，编辑一行并重新验证；第六分钟打开模板库，说明五类模板和个人入库；第七分钟展示基线、盲测和错误分类；最后用架构图、Verified Skills 映射和双 H100 对照实验收束。现场必须准备离线模板演示和预生成结果，以防外部模型连接异常，同时明确标注哪些是实时运行、哪些是历史证据。</w:t>
      </w:r>
    </w:p>
    <w:p w14:paraId="7661BCD1">
      <w:r>
        <w:rPr>
          <w:rFonts w:eastAsia="微软雅黑"/>
        </w:rPr>
        <w:br w:type="page"/>
      </w:r>
    </w:p>
    <w:p w14:paraId="1EFE313F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107" w:name="H_55"/>
      <w:bookmarkEnd w:id="107"/>
      <w:bookmarkStart w:id="108" w:name="_Toc21366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13 创新性、对比与论文可行性</w:t>
      </w:r>
      <w:bookmarkEnd w:id="108"/>
    </w:p>
    <w:p w14:paraId="1C612BDC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09" w:name="H_56"/>
      <w:bookmarkEnd w:id="109"/>
      <w:bookmarkStart w:id="110" w:name="_Toc5167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13.1 与已有路线的差异</w:t>
      </w:r>
      <w:bookmarkEnd w:id="1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2376"/>
        <w:gridCol w:w="2664"/>
        <w:gridCol w:w="3024"/>
      </w:tblGrid>
      <w:tr w14:paraId="2930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17221B"/>
            <w:vAlign w:val="center"/>
          </w:tcPr>
          <w:p w14:paraId="08402E74">
            <w:r>
              <w:rPr>
                <w:b/>
                <w:color w:val="FFFFFF"/>
                <w:sz w:val="18"/>
              </w:rPr>
              <w:t>路线</w:t>
            </w:r>
          </w:p>
        </w:tc>
        <w:tc>
          <w:tcPr>
            <w:tcW w:w="2376" w:type="dxa"/>
            <w:shd w:val="clear" w:color="auto" w:fill="17221B"/>
            <w:vAlign w:val="center"/>
          </w:tcPr>
          <w:p w14:paraId="3D67A076">
            <w:r>
              <w:rPr>
                <w:b/>
                <w:color w:val="FFFFFF"/>
                <w:sz w:val="18"/>
              </w:rPr>
              <w:t>优势</w:t>
            </w:r>
          </w:p>
        </w:tc>
        <w:tc>
          <w:tcPr>
            <w:tcW w:w="2664" w:type="dxa"/>
            <w:shd w:val="clear" w:color="auto" w:fill="17221B"/>
            <w:vAlign w:val="center"/>
          </w:tcPr>
          <w:p w14:paraId="093BFF38">
            <w:r>
              <w:rPr>
                <w:b/>
                <w:color w:val="FFFFFF"/>
                <w:sz w:val="18"/>
              </w:rPr>
              <w:t>不足</w:t>
            </w:r>
          </w:p>
        </w:tc>
        <w:tc>
          <w:tcPr>
            <w:tcW w:w="3024" w:type="dxa"/>
            <w:shd w:val="clear" w:color="auto" w:fill="17221B"/>
            <w:vAlign w:val="center"/>
          </w:tcPr>
          <w:p w14:paraId="7A8B0B8A">
            <w:r>
              <w:rPr>
                <w:b/>
                <w:color w:val="FFFFFF"/>
                <w:sz w:val="18"/>
              </w:rPr>
              <w:t>SiliconForge 的吸收与扩展</w:t>
            </w:r>
          </w:p>
        </w:tc>
      </w:tr>
      <w:tr w14:paraId="76E03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vAlign w:val="center"/>
          </w:tcPr>
          <w:p w14:paraId="5E3BA5A6">
            <w:pPr>
              <w:spacing w:after="40"/>
            </w:pPr>
            <w:r>
              <w:rPr>
                <w:sz w:val="17"/>
              </w:rPr>
              <w:t>通用对话助手</w:t>
            </w:r>
          </w:p>
        </w:tc>
        <w:tc>
          <w:tcPr>
            <w:tcW w:w="2376" w:type="dxa"/>
            <w:vAlign w:val="center"/>
          </w:tcPr>
          <w:p w14:paraId="0687C0B1">
            <w:pPr>
              <w:spacing w:after="40"/>
            </w:pPr>
            <w:r>
              <w:rPr>
                <w:sz w:val="17"/>
              </w:rPr>
              <w:t>交互自然、覆盖面广</w:t>
            </w:r>
          </w:p>
        </w:tc>
        <w:tc>
          <w:tcPr>
            <w:tcW w:w="2664" w:type="dxa"/>
            <w:vAlign w:val="center"/>
          </w:tcPr>
          <w:p w14:paraId="05124CAA">
            <w:pPr>
              <w:spacing w:after="40"/>
            </w:pPr>
            <w:r>
              <w:rPr>
                <w:sz w:val="17"/>
              </w:rPr>
              <w:t>无固定契约、EDA 与产物治理</w:t>
            </w:r>
          </w:p>
        </w:tc>
        <w:tc>
          <w:tcPr>
            <w:tcW w:w="3024" w:type="dxa"/>
            <w:vAlign w:val="center"/>
          </w:tcPr>
          <w:p w14:paraId="3168EB6C">
            <w:pPr>
              <w:spacing w:after="40"/>
            </w:pPr>
            <w:r>
              <w:rPr>
                <w:sz w:val="17"/>
              </w:rPr>
              <w:t>保留自然语言入口，增加工程闭环</w:t>
            </w:r>
          </w:p>
        </w:tc>
      </w:tr>
      <w:tr w14:paraId="4672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5F7F5"/>
            <w:vAlign w:val="center"/>
          </w:tcPr>
          <w:p w14:paraId="3B915414">
            <w:pPr>
              <w:spacing w:after="40"/>
            </w:pPr>
            <w:r>
              <w:rPr>
                <w:sz w:val="17"/>
              </w:rPr>
              <w:t>VerilogEval/RTLLM</w:t>
            </w:r>
          </w:p>
        </w:tc>
        <w:tc>
          <w:tcPr>
            <w:tcW w:w="2376" w:type="dxa"/>
            <w:shd w:val="clear" w:color="auto" w:fill="F5F7F5"/>
            <w:vAlign w:val="center"/>
          </w:tcPr>
          <w:p w14:paraId="1AE25747">
            <w:pPr>
              <w:spacing w:after="40"/>
            </w:pPr>
            <w:r>
              <w:rPr>
                <w:sz w:val="17"/>
              </w:rPr>
              <w:t>评测可重复、关注 RTL 质量</w:t>
            </w:r>
          </w:p>
        </w:tc>
        <w:tc>
          <w:tcPr>
            <w:tcW w:w="2664" w:type="dxa"/>
            <w:shd w:val="clear" w:color="auto" w:fill="F5F7F5"/>
            <w:vAlign w:val="center"/>
          </w:tcPr>
          <w:p w14:paraId="3DF5533E">
            <w:pPr>
              <w:spacing w:after="40"/>
            </w:pPr>
            <w:r>
              <w:rPr>
                <w:sz w:val="17"/>
              </w:rPr>
              <w:t>主要是基准或生成研究</w:t>
            </w:r>
          </w:p>
        </w:tc>
        <w:tc>
          <w:tcPr>
            <w:tcW w:w="3024" w:type="dxa"/>
            <w:shd w:val="clear" w:color="auto" w:fill="F5F7F5"/>
            <w:vAlign w:val="center"/>
          </w:tcPr>
          <w:p w14:paraId="4DCCA284">
            <w:pPr>
              <w:spacing w:after="40"/>
            </w:pPr>
            <w:r>
              <w:rPr>
                <w:sz w:val="17"/>
              </w:rPr>
              <w:t>引入生产式任务状态与交付工作台</w:t>
            </w:r>
          </w:p>
        </w:tc>
      </w:tr>
      <w:tr w14:paraId="53192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vAlign w:val="center"/>
          </w:tcPr>
          <w:p w14:paraId="70EAEBA9">
            <w:pPr>
              <w:spacing w:after="40"/>
            </w:pPr>
            <w:r>
              <w:rPr>
                <w:sz w:val="17"/>
              </w:rPr>
              <w:t>AutoChip</w:t>
            </w:r>
          </w:p>
        </w:tc>
        <w:tc>
          <w:tcPr>
            <w:tcW w:w="2376" w:type="dxa"/>
            <w:vAlign w:val="center"/>
          </w:tcPr>
          <w:p w14:paraId="2C4E1B57">
            <w:pPr>
              <w:spacing w:after="40"/>
            </w:pPr>
            <w:r>
              <w:rPr>
                <w:sz w:val="17"/>
              </w:rPr>
              <w:t>工具反馈修复有效</w:t>
            </w:r>
          </w:p>
        </w:tc>
        <w:tc>
          <w:tcPr>
            <w:tcW w:w="2664" w:type="dxa"/>
            <w:vAlign w:val="center"/>
          </w:tcPr>
          <w:p w14:paraId="692AA090">
            <w:pPr>
              <w:spacing w:after="40"/>
            </w:pPr>
            <w:r>
              <w:rPr>
                <w:sz w:val="17"/>
              </w:rPr>
              <w:t>个人资产与 GUI 不是重点</w:t>
            </w:r>
          </w:p>
        </w:tc>
        <w:tc>
          <w:tcPr>
            <w:tcW w:w="3024" w:type="dxa"/>
            <w:vAlign w:val="center"/>
          </w:tcPr>
          <w:p w14:paraId="352D793A">
            <w:pPr>
              <w:spacing w:after="40"/>
            </w:pPr>
            <w:r>
              <w:rPr>
                <w:sz w:val="17"/>
              </w:rPr>
              <w:t>加入有界修复、模板库和报告</w:t>
            </w:r>
          </w:p>
        </w:tc>
      </w:tr>
      <w:tr w14:paraId="60F71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5F7F5"/>
            <w:vAlign w:val="center"/>
          </w:tcPr>
          <w:p w14:paraId="39700F58">
            <w:pPr>
              <w:spacing w:after="40"/>
            </w:pPr>
            <w:r>
              <w:rPr>
                <w:sz w:val="17"/>
              </w:rPr>
              <w:t>ChatEDA</w:t>
            </w:r>
          </w:p>
        </w:tc>
        <w:tc>
          <w:tcPr>
            <w:tcW w:w="2376" w:type="dxa"/>
            <w:shd w:val="clear" w:color="auto" w:fill="F5F7F5"/>
            <w:vAlign w:val="center"/>
          </w:tcPr>
          <w:p w14:paraId="343B0D14">
            <w:pPr>
              <w:spacing w:after="40"/>
            </w:pPr>
            <w:r>
              <w:rPr>
                <w:sz w:val="17"/>
              </w:rPr>
              <w:t>LLM 与 EDA executor 协同</w:t>
            </w:r>
          </w:p>
        </w:tc>
        <w:tc>
          <w:tcPr>
            <w:tcW w:w="2664" w:type="dxa"/>
            <w:shd w:val="clear" w:color="auto" w:fill="F5F7F5"/>
            <w:vAlign w:val="center"/>
          </w:tcPr>
          <w:p w14:paraId="4BDCECD8">
            <w:pPr>
              <w:spacing w:after="40"/>
            </w:pPr>
            <w:r>
              <w:rPr>
                <w:sz w:val="17"/>
              </w:rPr>
              <w:t>更偏流程自动化研究</w:t>
            </w:r>
          </w:p>
        </w:tc>
        <w:tc>
          <w:tcPr>
            <w:tcW w:w="3024" w:type="dxa"/>
            <w:shd w:val="clear" w:color="auto" w:fill="F5F7F5"/>
            <w:vAlign w:val="center"/>
          </w:tcPr>
          <w:p w14:paraId="07A38B40">
            <w:pPr>
              <w:spacing w:after="40"/>
            </w:pPr>
            <w:r>
              <w:rPr>
                <w:sz w:val="17"/>
              </w:rPr>
              <w:t>扩展到需求—RTL—验证—文档闭环</w:t>
            </w:r>
          </w:p>
        </w:tc>
      </w:tr>
      <w:tr w14:paraId="0542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vAlign w:val="center"/>
          </w:tcPr>
          <w:p w14:paraId="3E8C571D">
            <w:pPr>
              <w:spacing w:after="40"/>
            </w:pPr>
            <w:r>
              <w:rPr>
                <w:sz w:val="17"/>
              </w:rPr>
              <w:t>Verified Skills</w:t>
            </w:r>
          </w:p>
        </w:tc>
        <w:tc>
          <w:tcPr>
            <w:tcW w:w="2376" w:type="dxa"/>
            <w:vAlign w:val="center"/>
          </w:tcPr>
          <w:p w14:paraId="1E18614C">
            <w:pPr>
              <w:spacing w:after="40"/>
            </w:pPr>
            <w:r>
              <w:rPr>
                <w:sz w:val="17"/>
              </w:rPr>
              <w:t>能力治理与可信发布</w:t>
            </w:r>
          </w:p>
        </w:tc>
        <w:tc>
          <w:tcPr>
            <w:tcW w:w="2664" w:type="dxa"/>
            <w:vAlign w:val="center"/>
          </w:tcPr>
          <w:p w14:paraId="52E58C87">
            <w:pPr>
              <w:spacing w:after="40"/>
            </w:pPr>
            <w:r>
              <w:rPr>
                <w:sz w:val="17"/>
              </w:rPr>
              <w:t>不直接解决 RTL 生成质量</w:t>
            </w:r>
          </w:p>
        </w:tc>
        <w:tc>
          <w:tcPr>
            <w:tcW w:w="3024" w:type="dxa"/>
            <w:vAlign w:val="center"/>
          </w:tcPr>
          <w:p w14:paraId="46DCC53A">
            <w:pPr>
              <w:spacing w:after="40"/>
            </w:pPr>
            <w:r>
              <w:rPr>
                <w:sz w:val="17"/>
              </w:rPr>
              <w:t>把数字 IC Skill、评测与签名路线结合</w:t>
            </w:r>
          </w:p>
        </w:tc>
      </w:tr>
    </w:tbl>
    <w:p w14:paraId="3C6E9C1E"/>
    <w:p w14:paraId="3C2DA8C9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111" w:name="H_57"/>
      <w:bookmarkEnd w:id="111"/>
      <w:bookmarkStart w:id="112" w:name="H_58"/>
      <w:bookmarkEnd w:id="112"/>
      <w:bookmarkStart w:id="113" w:name="_Toc25670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14 关键模块实现说明</w:t>
      </w:r>
      <w:bookmarkEnd w:id="113"/>
    </w:p>
    <w:p w14:paraId="6FA5A333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14" w:name="H_59"/>
      <w:bookmarkEnd w:id="114"/>
      <w:bookmarkStart w:id="115" w:name="_Toc29042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14.1 需求解析与规格冻结</w:t>
      </w:r>
      <w:bookmarkEnd w:id="115"/>
    </w:p>
    <w:p w14:paraId="390B9F45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需求解析器首先判断任务属于全新设计、局部修复还是既有工程分诊，并抽取功能、接口、时序、参数、复位、异常和交付约束。对于“设计一个 66×66 乘法器”这类简短输入，系统会推导两个 66 位无符号输入、132 位输出和纯组合实现作为默认方案，同时把“无流水、无符号、无时钟”写入假设列表；如果用户明确要求流水级数、吞吐或 signed，则覆盖默认值。所有推导都进入结构化规格，后续阶段只能引用而不能静默改变。这样既保留一键体验，又让隐含假设可被工程师检查。</w:t>
      </w:r>
    </w:p>
    <w:p w14:paraId="35D809FE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规格冻结并不意味着拒绝修正。若编译或用户审阅发现契约本身错误，系统会新建规格版本并使原 RTL/TB 失效，随后重新生成相关阶段；若只是实现错误，则保持契约版本不变并执行局部修复。版本关系让评审能够区分“需求发生改变”和“代码没有遵守需求”，也防止 Agent 在失败后通过改写验收条件自我证明。</w:t>
      </w:r>
    </w:p>
    <w:p w14:paraId="71684036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16" w:name="H_60"/>
      <w:bookmarkEnd w:id="116"/>
      <w:bookmarkStart w:id="117" w:name="_Toc29958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14.2 架构设计与任务规划</w:t>
      </w:r>
      <w:bookmarkEnd w:id="117"/>
    </w:p>
    <w:p w14:paraId="651C5894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架构阶段在写代码前决定组合或时序实现、数据通路与控制通路边界、存储结构、流水策略和参数推导。对简单组合模块，规划器遵循 keep simple：不引入无意义状态机和寄存器；对 FIFO，明确读写指针、计数器或额外相位位方案；对协议控制器，绘制帧状态与采样事件；对修复任务，先复现错误并冻结正确接口。RTLLM 的 self-planning 思路说明，先组织设计步骤有助于避免模型在长代码中失去整体约束[3]，本项目进一步要求规划产物能够被后续规则与报告直接消费。</w:t>
      </w:r>
    </w:p>
    <w:p w14:paraId="6F056F10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规划器还负责选择执行路径。若任务与受信模板的参数空间完全匹配，进入模板实例化；若匹配类别但结构有新要求，使用模板作为检索示例但仍由模型生成；若属于未知复杂任务，则进入通用多阶段工作流。路由结果、置信依据和降级原因写入运行记录，使低 token 的快速路径不会成为不可解释的黑箱。</w:t>
      </w:r>
    </w:p>
    <w:p w14:paraId="31C99C79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18" w:name="H_61"/>
      <w:bookmarkEnd w:id="118"/>
      <w:bookmarkStart w:id="119" w:name="_Toc16047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14.3 五类任务的领域策略</w:t>
      </w:r>
      <w:bookmarkEnd w:id="119"/>
    </w:p>
    <w:p w14:paraId="7E65D3B8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组合运算类重点处理位宽传播、截断、进位、符号扩展和默认分支。生成前按表达式计算中间结果宽度，避免 Verilog 上下文宽度导致高位丢失；测试同时覆盖零、最大值、交替位型和随机向量。对乘法器，结果宽度默认取两个操作数宽度之和，除非规格明确要求截断或饱和。</w:t>
      </w:r>
    </w:p>
    <w:p w14:paraId="618A68B1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FSM 类把状态、输入事件、输出语义和转移条件分表表示。Moore/Mealy 选择必须与输出时序一致，序列检测明确是否允许重叠，复位态和非法态回退必须存在。TB 不只走主路径，还注入中途复位、连续匹配、错误前缀和边界周期，防止“能看到一次正确波形”被误判为状态机正确。</w:t>
      </w:r>
    </w:p>
    <w:p w14:paraId="163EA98C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FIFO 类的难点不是存储数组本身，而是满空判定、读写同周期语义和非 2 次幂深度。模板对 DEPTH 做参数约束，指针宽度与回卷逻辑显式计算；规格明确空读、满写是忽略、报错还是保持输出；scoreboard 维护软件队列并在每个有效读周期比较。若未来扩展异步 FIFO，还需加入跨时钟 Gray 指针、同步器和 CDC 验证，不能复用同步 FIFO 的通过结论。</w:t>
      </w:r>
    </w:p>
    <w:p w14:paraId="5B2CB759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协议控制器类把外部信号沿、帧边界、位序、握手保持和超时作为一级规格。例如 SPI 接收器必须明确 CPOL/CPHA、MSB/LSB first、片选行为和数据有效脉冲；ready/valid 控制器在 valid 已拉高而 ready 未到时必须保持 payload。模板仅覆盖声明的协议子集，未覆盖模式必须走模型生成和完整回归。</w:t>
      </w:r>
    </w:p>
    <w:p w14:paraId="10335F3C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修复任务类坚持先复现、再诊断、后修改。系统比较失败日志与冻结契约，判断根因属于 RTL、TB、接口还是环境；优先修改最小范围并保留 diff。典型可复用规则包括补全组合默认赋值、修复非阻塞赋值时序、纠正位宽截断、延长不足的仿真预算和移除伪 direct injection。任何修复都不能通过删除断言、缩小测试或硬编码测试向量来获得通过。</w:t>
      </w:r>
    </w:p>
    <w:p w14:paraId="7EDF4BAF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20" w:name="H_62"/>
      <w:bookmarkEnd w:id="120"/>
      <w:bookmarkStart w:id="121" w:name="_Toc9083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14.4 模型适配、重试与降级</w:t>
      </w:r>
      <w:bookmarkEnd w:id="121"/>
    </w:p>
    <w:p w14:paraId="795A6FE2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模型适配层把消息、温度、输出上限、超时和响应解析统一为内部请求。transport=chat 表示使用 chat/completions 风格的消息接口；在提供方支持时也可使用 Responses 等传输。选择 transport 只影响调用协议，不改变上层数字 IC 任务。系统对连接超时、读超时、限流、服务端错误和内容解析失败分别分类；只有幂等请求可自动重试，并使用带抖动的指数退避，避免瞬时故障造成并发雪崩。</w:t>
      </w:r>
    </w:p>
    <w:p w14:paraId="0D0A48F9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当重试耗尽时，降级顺序遵循可解释原则：精确命中受信模板则实例化并验证；已配置本地 H100 模型则切换兼容端点；否则生成失败报告并保留重试入口。系统不会在未知任务上悄悄返回与需求不符的占位代码。provider、尝试次数、各轮耗时和最终路径都会进入 metadata，使盲测可以把网络可靠性与 RTL 能力分开分析。</w:t>
      </w:r>
    </w:p>
    <w:p w14:paraId="73BC3A4B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22" w:name="H_63"/>
      <w:bookmarkEnd w:id="122"/>
      <w:bookmarkStart w:id="123" w:name="_Toc13040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14.5 产物报告与证据链</w:t>
      </w:r>
      <w:bookmarkEnd w:id="123"/>
    </w:p>
    <w:p w14:paraId="6EDAE589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最终中文报告由结构化阶段事实生成，而不是让大模型自由编写成功故事。接口表来自冻结契约，文件清单来自 manifest，仿真与综合状态来自工具退出码和解析结果，修复记录来自 repair_history，限制来自规划与审阅。模型可以帮助解释原因和形成可读摘要，但不能覆盖工具事实。若 overall_pass 为 false，报告标题和结论必须明确失败，并列出缺失文件与建议动作。</w:t>
      </w:r>
    </w:p>
    <w:p w14:paraId="02705C59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每个产物都应具有角色和来源：需求文件说明输入，spec 说明承诺，RTL 是实现，TB 是开发态验证，oracle 是独立评测，日志是原始证据，报告是视图，manifest 是索引。下载 ZIP 保留相对路径与元数据；在模板入库或服务器迁移时，可用哈希检查内容是否改变。后续接入签名后，技能包、模板包和竞赛发布包都可形成来源—版本—验证—签名的连续链。</w:t>
      </w:r>
    </w:p>
    <w:p w14:paraId="6F0534D5">
      <w:pPr>
        <w:pStyle w:val="4"/>
        <w:rPr>
          <w:rFonts w:ascii="Times New Roman" w:hAnsi="Times New Roman" w:eastAsia="宋体"/>
          <w:b/>
          <w:bCs/>
          <w:color w:val="auto"/>
          <w:sz w:val="28"/>
          <w:szCs w:val="28"/>
        </w:rPr>
      </w:pPr>
      <w:bookmarkStart w:id="124" w:name="H_64"/>
      <w:bookmarkEnd w:id="124"/>
      <w:bookmarkStart w:id="125" w:name="_Toc369"/>
      <w:r>
        <w:rPr>
          <w:rFonts w:ascii="Times New Roman" w:hAnsi="Times New Roman" w:eastAsia="宋体"/>
          <w:b/>
          <w:bCs/>
          <w:color w:val="auto"/>
          <w:sz w:val="28"/>
          <w:szCs w:val="28"/>
        </w:rPr>
        <w:t>14.6 可观测性与异常处理</w:t>
      </w:r>
      <w:bookmarkEnd w:id="125"/>
    </w:p>
    <w:p w14:paraId="1621900E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工程任务常常持续数分钟，用户需要知道系统究竟在分析、调用模型、运行仿真还是等待重试。服务层因此记录阶段开始、结束、进度、最近日志和取消标志；GUI 轮询或订阅状态并显示可理解的中文信息。取消操作在本地停止后续阶段，在提供方支持 request id cancel 时同时请求取消远端生成；已经写出的文件保留并标记未完成，便于问题定位。</w:t>
      </w:r>
    </w:p>
    <w:p w14:paraId="493237C1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错误信息面向两类读者：普通用户看到“模型连接失败，已重试三次，可使用模板或稍后重试”；工程师可展开查看异常类型、HTTP 状态、工具命令、退出码和日志路径。密钥、Authorization 头与敏感环境变量在日志中脱敏。异常处理的目标不是消灭失败，而是让失败有边界、可解释、可恢复。</w:t>
      </w:r>
    </w:p>
    <w:p w14:paraId="54362C1C">
      <w:pPr>
        <w:pStyle w:val="3"/>
        <w:rPr>
          <w:rFonts w:hint="eastAsia" w:ascii="Times New Roman" w:hAnsi="Times New Roman" w:eastAsia="宋体" w:cs="宋体"/>
          <w:b/>
          <w:bCs/>
          <w:sz w:val="30"/>
          <w:szCs w:val="30"/>
        </w:rPr>
      </w:pPr>
      <w:bookmarkStart w:id="126" w:name="H_65"/>
      <w:bookmarkEnd w:id="126"/>
      <w:bookmarkStart w:id="127" w:name="_Toc15361"/>
      <w:r>
        <w:rPr>
          <w:rFonts w:hint="eastAsia" w:ascii="Times New Roman" w:hAnsi="Times New Roman" w:eastAsia="宋体" w:cs="宋体"/>
          <w:b/>
          <w:bCs/>
          <w:sz w:val="30"/>
          <w:szCs w:val="30"/>
        </w:rPr>
        <w:t>15 结论</w:t>
      </w:r>
      <w:bookmarkEnd w:id="127"/>
    </w:p>
    <w:p w14:paraId="42710C08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S</w:t>
      </w:r>
      <w:r>
        <w:rPr>
          <w:rFonts w:hint="eastAsia" w:ascii="Times New Roman" w:hAnsi="Times New Roman" w:eastAsia="宋体" w:cs="宋体"/>
          <w:sz w:val="24"/>
          <w:szCs w:val="24"/>
        </w:rPr>
        <w:t>iliconForge 已经从早期的 Prompt 与脚本演进为可在浏览器操作的数字 IC 可信设计智能体。其核心贡献不是单次生成某个 Verilog，而是建立从赛题理解、接口冻结、RTL/TB 生成、真实 EDA、错误驱动修复到结构化报告的连续证据链；再通过参数化模板和个人库，把高频设计转化为可复用、低成本的工程资产；通过 Verified Skills 对齐和双 H100 迁移路线，为能力治理与本地部署预留可执行路径。</w:t>
      </w:r>
    </w:p>
    <w:p w14:paraId="6F29C68A">
      <w:pPr>
        <w:spacing w:line="360" w:lineRule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现有结果证明主链路可以交付，但首轮盲测也诚实暴露了外部模型连接与端到端可靠性的不足。比赛阶段的关键不应是继续堆砌功能名，而是把 H100 对照实验、盲测扩容、安全证据和现场演示做实。只要后续数据能够证明闭环、模板和反馈机制在正确率、成本与稳定性上的增益，本项目不仅具备线下展示价值，也具备围绕 RTL Agent 评测与可信工程化开展论文研究的可行性。</w:t>
      </w:r>
    </w:p>
    <w:p w14:paraId="6E84B8AE">
      <w:pPr>
        <w:pStyle w:val="3"/>
      </w:pPr>
      <w:bookmarkStart w:id="128" w:name="H_67"/>
      <w:bookmarkEnd w:id="128"/>
      <w:bookmarkStart w:id="129" w:name="_Toc1035"/>
      <w:r>
        <w:rPr>
          <w:rFonts w:eastAsia="微软雅黑"/>
        </w:rPr>
        <w:t>参考文献</w:t>
      </w:r>
      <w:bookmarkEnd w:id="129"/>
    </w:p>
    <w:p w14:paraId="2FDE9676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[1] Liu, M., Pinckney, N., Khailany, B. &amp; Ren, H. VerilogEval: Evaluating Large Language Models for Verilog Code Generation. ICCAD (2023). arXiv:2309.07544. https://arxiv.org/abs/2309.07544</w:t>
      </w:r>
    </w:p>
    <w:p w14:paraId="566458E8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[2] Thakur, S. et al. AutoChip: Automating HDL Generation Using LLM Feedback. arXiv:2311.04887 (2023). https://arxiv.org/abs/2311.04887</w:t>
      </w:r>
    </w:p>
    <w:p w14:paraId="349BFE05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[3] Lu, Y., Liu, S., Zhang, Q. &amp; Xie, Z. RTLLM: An Open-Source Benchmark for Design RTL Generation with Large Language Model. ASP-DAC (2024). arXiv:2308.05345. https://arxiv.org/abs/2308.05345</w:t>
      </w:r>
    </w:p>
    <w:p w14:paraId="3972EE82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[4] Liu, M. et al. ChipNeMo: Domain-Adapted LLMs for Chip Design. arXiv:2311.00176 (2023). https://arxiv.org/abs/2311.00176</w:t>
      </w:r>
    </w:p>
    <w:p w14:paraId="7027856C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[5] He, Z. et al. ChatEDA: A Large Language Model Powered Autonomous Agent for EDA. IEEE Transactions on Computer-Aided Design of Integrated Circuits and Systems (2024). doi:10.1109/TCAD.2024.3383347; arXiv:2308.10204.</w:t>
      </w:r>
    </w:p>
    <w:p w14:paraId="6B0B54F4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[6] Shinn, N. et al. Reflexion: Language Agents with Verbal Reinforcement Learning. arXiv:2303.11366 (2023). https://arxiv.org/abs/2303.11366</w:t>
      </w:r>
    </w:p>
    <w:p w14:paraId="0280F9F9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[7] NVIDIA. NVIDIA Skills Documentation. https://docs.nvidia.com/skills （访问日期：2026-09-28）.</w:t>
      </w:r>
    </w:p>
    <w:p w14:paraId="12D8024B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[8] NVIDIA. Agent Skill Trust Pipeline. https://docs.nvidia.com/skills/agent-skill-trust-pipeline （访问日期：2026-09-28）.</w:t>
      </w:r>
    </w:p>
    <w:p w14:paraId="035B2ACD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[9] NVIDIA. Scanning Agent Skills. https://docs.nvidia.com/skills/scanning-agent-skills （访问日期：2026-09-28）.</w:t>
      </w:r>
    </w:p>
    <w:p w14:paraId="2FF19F8D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[10] NVIDIA. Secure Agent Workspace Reference Design: Security and Governance Model. https://docs.nvidia.com/enterprise-reference-architectures/secure-agent-workspace-reference-design/latest/security-and-governance-model.html （访问日期：2026-09-28）.</w:t>
      </w:r>
    </w:p>
    <w:p w14:paraId="7407D1D3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[11] Wolf, C. et al. Yosys—A Free Verilog Synthesis Suite. Austrian Workshop on Microelectronics (2013). https://yosyshq.net/yosys/</w:t>
      </w:r>
    </w:p>
    <w:p w14:paraId="78A29C4F">
      <w:pPr>
        <w:spacing w:after="120"/>
        <w:ind w:left="36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</w:rPr>
        <w:t>[12] Icarus Verilog Project. Icarus Verilog Documentation. https://steveicarus.github.io/iverilog/ （访问日期：2026-09-28）.</w:t>
      </w:r>
    </w:p>
    <w:p w14:paraId="5B0A08B0">
      <w:pPr>
        <w:pStyle w:val="3"/>
      </w:pPr>
      <w:bookmarkStart w:id="130" w:name="H_68"/>
      <w:bookmarkEnd w:id="130"/>
      <w:bookmarkStart w:id="131" w:name="_Toc18156"/>
      <w:r>
        <w:rPr>
          <w:rFonts w:eastAsia="微软雅黑"/>
        </w:rPr>
        <w:t>附录 A 复现与验收清单</w:t>
      </w:r>
      <w:bookmarkEnd w:id="131"/>
    </w:p>
    <w:p w14:paraId="34231BE6">
      <w:pPr>
        <w:ind w:left="360" w:firstLine="0"/>
      </w:pPr>
      <w:r>
        <w:rPr>
          <w:rFonts w:eastAsia="微软雅黑"/>
        </w:rPr>
        <w:t>1.  在工程根目录创建虚拟环境并安装项目依赖。</w:t>
      </w:r>
    </w:p>
    <w:p w14:paraId="1BB0A583">
      <w:pPr>
        <w:ind w:left="360" w:firstLine="0"/>
      </w:pPr>
      <w:r>
        <w:rPr>
          <w:rFonts w:eastAsia="微软雅黑"/>
        </w:rPr>
        <w:t>2.  配置模型环境变量；API Key 只保存在本机环境文件。</w:t>
      </w:r>
    </w:p>
    <w:p w14:paraId="6A8408B5">
      <w:pPr>
        <w:ind w:left="360" w:firstLine="0"/>
      </w:pPr>
      <w:r>
        <w:rPr>
          <w:rFonts w:eastAsia="微软雅黑"/>
        </w:rPr>
        <w:t>3.  启动服务后打开 http://127.0.0.1:8000/，先运行阶段一演示。</w:t>
      </w:r>
    </w:p>
    <w:p w14:paraId="100224A9">
      <w:pPr>
        <w:ind w:left="360" w:firstLine="0"/>
      </w:pPr>
      <w:r>
        <w:rPr>
          <w:rFonts w:eastAsia="微软雅黑"/>
        </w:rPr>
        <w:t>4.  输入 66×66 乘法器需求，确认任务目录包含 rtl、tb、doc、logs、reports。</w:t>
      </w:r>
    </w:p>
    <w:p w14:paraId="1308D550">
      <w:pPr>
        <w:ind w:left="360" w:firstLine="0"/>
      </w:pPr>
      <w:r>
        <w:rPr>
          <w:rFonts w:eastAsia="微软雅黑"/>
        </w:rPr>
        <w:t>5.  检查 eda_result.json 的 simulation_passed、synthesis_passed 和 overall_pass。</w:t>
      </w:r>
    </w:p>
    <w:p w14:paraId="43CA482C">
      <w:pPr>
        <w:ind w:left="360" w:firstLine="0"/>
      </w:pPr>
      <w:r>
        <w:rPr>
          <w:rFonts w:eastAsia="微软雅黑"/>
        </w:rPr>
        <w:t>6.  运行五类盲测并保存 benchmark_report.json；失败不得删除。</w:t>
      </w:r>
    </w:p>
    <w:p w14:paraId="69FD1778">
      <w:pPr>
        <w:ind w:left="360" w:firstLine="0"/>
      </w:pPr>
      <w:r>
        <w:rPr>
          <w:rFonts w:eastAsia="微软雅黑"/>
        </w:rPr>
        <w:t>7.  执行自动化测试并记录工具与模型版本。</w:t>
      </w:r>
    </w:p>
    <w:p w14:paraId="2D7122B1">
      <w:pPr>
        <w:ind w:left="360" w:firstLine="0"/>
      </w:pPr>
      <w:r>
        <w:rPr>
          <w:rFonts w:eastAsia="微软雅黑"/>
        </w:rPr>
        <w:t>8.  迁移服务器后按同一清单复测，并生成 StepFun 与 H100 本地模型对照表。</w:t>
      </w:r>
    </w:p>
    <w:p w14:paraId="690D1DE3">
      <w:pPr>
        <w:pStyle w:val="3"/>
      </w:pPr>
      <w:bookmarkStart w:id="132" w:name="H_69"/>
      <w:bookmarkEnd w:id="132"/>
      <w:bookmarkStart w:id="133" w:name="_Toc26298"/>
      <w:r>
        <w:rPr>
          <w:rFonts w:eastAsia="微软雅黑"/>
        </w:rPr>
        <w:t>附录 B 术语与边界</w:t>
      </w:r>
      <w:bookmarkEnd w:id="13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7488"/>
      </w:tblGrid>
      <w:tr w14:paraId="18F75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17221B"/>
            <w:vAlign w:val="center"/>
          </w:tcPr>
          <w:p w14:paraId="0E7F53BD"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7488" w:type="dxa"/>
            <w:shd w:val="clear" w:color="auto" w:fill="17221B"/>
            <w:vAlign w:val="center"/>
          </w:tcPr>
          <w:p w14:paraId="388EECD7">
            <w:r>
              <w:rPr>
                <w:b/>
                <w:color w:val="FFFFFF"/>
                <w:sz w:val="18"/>
              </w:rPr>
              <w:t>本文含义</w:t>
            </w:r>
          </w:p>
        </w:tc>
      </w:tr>
      <w:tr w14:paraId="4E6B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5E4B7164">
            <w:pPr>
              <w:spacing w:after="40"/>
            </w:pPr>
            <w:r>
              <w:rPr>
                <w:sz w:val="17"/>
              </w:rPr>
              <w:t>闭环</w:t>
            </w:r>
          </w:p>
        </w:tc>
        <w:tc>
          <w:tcPr>
            <w:tcW w:w="7488" w:type="dxa"/>
            <w:vAlign w:val="center"/>
          </w:tcPr>
          <w:p w14:paraId="2CFC8B5C">
            <w:pPr>
              <w:spacing w:after="40"/>
            </w:pPr>
            <w:r>
              <w:rPr>
                <w:sz w:val="17"/>
              </w:rPr>
              <w:t>生成结果进入真实工具，诊断可触发受限修复，最后形成报告</w:t>
            </w:r>
          </w:p>
        </w:tc>
      </w:tr>
      <w:tr w14:paraId="73FDB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5F7F5"/>
            <w:vAlign w:val="center"/>
          </w:tcPr>
          <w:p w14:paraId="590DB4CE">
            <w:pPr>
              <w:spacing w:after="40"/>
            </w:pPr>
            <w:r>
              <w:rPr>
                <w:sz w:val="17"/>
              </w:rPr>
              <w:t>通过</w:t>
            </w:r>
          </w:p>
        </w:tc>
        <w:tc>
          <w:tcPr>
            <w:tcW w:w="7488" w:type="dxa"/>
            <w:shd w:val="clear" w:color="auto" w:fill="F5F7F5"/>
            <w:vAlign w:val="center"/>
          </w:tcPr>
          <w:p w14:paraId="23C9E255">
            <w:pPr>
              <w:spacing w:after="40"/>
            </w:pPr>
            <w:r>
              <w:rPr>
                <w:sz w:val="17"/>
              </w:rPr>
              <w:t>满足该任务配置的仿真、综合与必需产物门禁；不等于芯片签核</w:t>
            </w:r>
          </w:p>
        </w:tc>
      </w:tr>
      <w:tr w14:paraId="27442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5669F078">
            <w:pPr>
              <w:spacing w:after="40"/>
            </w:pPr>
            <w:r>
              <w:rPr>
                <w:sz w:val="17"/>
              </w:rPr>
              <w:t>隐藏 oracle</w:t>
            </w:r>
          </w:p>
        </w:tc>
        <w:tc>
          <w:tcPr>
            <w:tcW w:w="7488" w:type="dxa"/>
            <w:vAlign w:val="center"/>
          </w:tcPr>
          <w:p w14:paraId="57D3BA39">
            <w:pPr>
              <w:spacing w:after="40"/>
            </w:pPr>
            <w:r>
              <w:rPr>
                <w:sz w:val="17"/>
              </w:rPr>
              <w:t>不进入 Agent prompt 的独立测试平台或判据</w:t>
            </w:r>
          </w:p>
        </w:tc>
      </w:tr>
      <w:tr w14:paraId="0F57E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5F7F5"/>
            <w:vAlign w:val="center"/>
          </w:tcPr>
          <w:p w14:paraId="7E1F1BBA">
            <w:pPr>
              <w:spacing w:after="40"/>
            </w:pPr>
            <w:r>
              <w:rPr>
                <w:sz w:val="17"/>
              </w:rPr>
              <w:t>零 token 路由</w:t>
            </w:r>
          </w:p>
        </w:tc>
        <w:tc>
          <w:tcPr>
            <w:tcW w:w="7488" w:type="dxa"/>
            <w:shd w:val="clear" w:color="auto" w:fill="F5F7F5"/>
            <w:vAlign w:val="center"/>
          </w:tcPr>
          <w:p w14:paraId="6F99C7D8">
            <w:pPr>
              <w:spacing w:after="40"/>
            </w:pPr>
            <w:r>
              <w:rPr>
                <w:sz w:val="17"/>
              </w:rPr>
              <w:t>模板实例化阶段不调用大模型，但仍执行 EDA</w:t>
            </w:r>
          </w:p>
        </w:tc>
      </w:tr>
      <w:tr w14:paraId="6471A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0BE4E8FD">
            <w:pPr>
              <w:spacing w:after="40"/>
            </w:pPr>
            <w:r>
              <w:rPr>
                <w:sz w:val="17"/>
              </w:rPr>
              <w:t>Verified 对齐</w:t>
            </w:r>
          </w:p>
        </w:tc>
        <w:tc>
          <w:tcPr>
            <w:tcW w:w="7488" w:type="dxa"/>
            <w:vAlign w:val="center"/>
          </w:tcPr>
          <w:p w14:paraId="550A5E84">
            <w:pPr>
              <w:spacing w:after="40"/>
            </w:pPr>
            <w:r>
              <w:rPr>
                <w:sz w:val="17"/>
              </w:rPr>
              <w:t>遵循目录化、扫描、评测、签名、技能卡路线；不等于已获官方认证</w:t>
            </w:r>
          </w:p>
        </w:tc>
      </w:tr>
      <w:tr w14:paraId="68F8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5F7F5"/>
            <w:vAlign w:val="center"/>
          </w:tcPr>
          <w:p w14:paraId="454D1255">
            <w:pPr>
              <w:spacing w:after="40"/>
            </w:pPr>
            <w:r>
              <w:rPr>
                <w:sz w:val="17"/>
              </w:rPr>
              <w:t>H100 支持</w:t>
            </w:r>
          </w:p>
        </w:tc>
        <w:tc>
          <w:tcPr>
            <w:tcW w:w="7488" w:type="dxa"/>
            <w:shd w:val="clear" w:color="auto" w:fill="F5F7F5"/>
            <w:vAlign w:val="center"/>
          </w:tcPr>
          <w:p w14:paraId="1A2DDE4E">
            <w:pPr>
              <w:spacing w:after="40"/>
            </w:pPr>
            <w:r>
              <w:rPr>
                <w:sz w:val="17"/>
              </w:rPr>
              <w:t>具备容器和兼容 API 迁移方案；实测对照尚待服务器完成</w:t>
            </w:r>
          </w:p>
        </w:tc>
      </w:tr>
    </w:tbl>
    <w:p w14:paraId="7E476507"/>
    <w:sectPr>
      <w:headerReference r:id="rId5" w:type="default"/>
      <w:footerReference r:id="rId6" w:type="default"/>
      <w:pgSz w:w="12240" w:h="15840"/>
      <w:pgMar w:top="1037" w:right="1080" w:bottom="979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3F792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BC960">
    <w:pPr>
      <w:pStyle w:val="25"/>
      <w:jc w:val="right"/>
    </w:pPr>
    <w:r>
      <w:rPr>
        <w:color w:val="66736B"/>
        <w:sz w:val="16"/>
      </w:rPr>
      <w:t>SiliconForge｜数字 IC 可信设计智能体比赛技术报告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C41080"/>
    <w:rsid w:val="32D203B7"/>
    <w:rsid w:val="564A6865"/>
    <w:rsid w:val="79FB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10" w:line="324" w:lineRule="auto"/>
      <w:ind w:firstLine="420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17221B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55B938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40"/>
      <w:outlineLvl w:val="2"/>
    </w:pPr>
    <w:rPr>
      <w:rFonts w:asciiTheme="majorHAnsi" w:hAnsiTheme="majorHAnsi" w:eastAsiaTheme="majorEastAsia" w:cstheme="majorBidi"/>
      <w:b/>
      <w:bCs/>
      <w:color w:val="17221B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/>
      <w:b/>
      <w:bCs/>
      <w:color w:val="66736B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240" w:after="140" w:line="240" w:lineRule="auto"/>
      <w:contextualSpacing/>
    </w:pPr>
    <w:rPr>
      <w:rFonts w:asciiTheme="majorHAnsi" w:hAnsiTheme="majorHAnsi" w:eastAsiaTheme="majorEastAsia" w:cstheme="majorBidi"/>
      <w:b/>
      <w:color w:val="17221B"/>
      <w:spacing w:val="5"/>
      <w:kern w:val="28"/>
      <w:sz w:val="6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5775</Words>
  <Characters>6895</Characters>
  <Lines>0</Lines>
  <Paragraphs>0</Paragraphs>
  <TotalTime>26</TotalTime>
  <ScaleCrop>false</ScaleCrop>
  <LinksUpToDate>false</LinksUpToDate>
  <CharactersWithSpaces>7259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SiliconForge 项目团队</dc:creator>
  <dc:description>generated by python-docx</dc:description>
  <cp:keywords>数字IC, RTL, Agent, EDA, Verified Skills, H100</cp:keywords>
  <cp:lastModifiedBy>Falling</cp:lastModifiedBy>
  <dcterms:modified xsi:type="dcterms:W3CDTF">2026-09-29T14:36:54Z</dcterms:modified>
  <dc:subject>功能、架构、设计原理、工程验证与安全治理</dc:subject>
  <dc:title>SiliconForge 数字 IC 可信设计智能体比赛技术报告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eyJoZGlkIjoiODVhYzgwNmJlZGY1ZDYyYzJmZDdhNWM3ZDBlYjkzZmEiLCJ1c2VySWQiOiI4NDUwNTM1NTgifQ==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A5B1373AC5AF418F9887876B4D081F0E_13</vt:lpwstr>
  </property>
</Properties>
</file>