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pPr>
        <w:pStyle w:val="Heading1"/>
        <w:spacing w:after="320"/>
        <w:jc w:val="center"/>
      </w:pPr>
      <w:r>
        <w:rPr>
          <w:rFonts w:ascii="黑体" w:hAnsi="黑体" w:eastAsia="黑体"/>
          <w:b/>
          <w:i w:val="0"/>
          <w:color w:val="000000"/>
          <w:sz w:val="38"/>
        </w:rPr>
        <w:t>第一章 研究背景</w:t>
      </w:r>
    </w:p>
    <w:p>
      <w:r>
        <w:rPr>
          <w:rFonts w:ascii="宋体" w:hAnsi="宋体" w:eastAsia="宋体"/>
          <w:b w:val="0"/>
          <w:i w:val="0"/>
          <w:color w:val="000000"/>
          <w:sz w:val="21"/>
        </w:rPr>
        <w:t>电力系统是支撑现代社会运转的关键基础设施，其安全、稳定、经济运行直接关系到国民经济发展与社会民生保障。随着特高压交直流输电、新能源大规模并网以及智能电网的快速发展，电力系统的规模与复杂度持续攀升，对电网设备运行可靠性的要求也日益严苛。在电力系统的发、输、变、配各个环节中，变电环节起着电压等级变换与电能分配的枢纽作用，而电力变压器正是变电站中最核心、最关键且造价最为昂贵的电气设备之一</w:t>
      </w:r>
      <w:r>
        <w:rPr>
          <w:rFonts w:ascii="宋体" w:hAnsi="宋体" w:eastAsia="宋体"/>
          <w:b w:val="0"/>
          <w:i w:val="0"/>
          <w:color w:val="000000"/>
          <w:sz w:val="21"/>
          <w:vertAlign w:val="superscript"/>
        </w:rPr>
        <w:t>[1]</w:t>
      </w:r>
      <w:r>
        <w:rPr>
          <w:rFonts w:ascii="宋体" w:hAnsi="宋体" w:eastAsia="宋体"/>
          <w:b w:val="0"/>
          <w:i w:val="0"/>
          <w:color w:val="000000"/>
          <w:sz w:val="21"/>
        </w:rPr>
        <w:t>。</w:t>
      </w:r>
    </w:p>
    <w:p>
      <w:r>
        <w:rPr>
          <w:rFonts w:ascii="宋体" w:hAnsi="宋体" w:eastAsia="宋体"/>
          <w:b w:val="0"/>
          <w:i w:val="0"/>
          <w:color w:val="000000"/>
          <w:sz w:val="21"/>
        </w:rPr>
        <w:t>电力变压器承担着电压变换、功率传输与电气隔离的重要功能，是连接各电压等级电网的"咽喉"枢纽，其运行状态在很大程度上决定了整个电网的供电可靠性。然而，变压器长期处于高电压、大电流、强电磁场及复杂热应力的运行环境中，其内部绝缘系统（绝缘油与绝缘纸）在电、热、机械等多重应力的长期作用下会逐渐老化劣化，进而诱发绕组变形、匝间短路、局部放电、铁芯多点接地、过热以及绝缘老化等多种潜伏性故障</w:t>
      </w:r>
      <w:r>
        <w:rPr>
          <w:rFonts w:ascii="宋体" w:hAnsi="宋体" w:eastAsia="宋体"/>
          <w:b w:val="0"/>
          <w:i w:val="0"/>
          <w:color w:val="000000"/>
          <w:sz w:val="21"/>
          <w:vertAlign w:val="superscript"/>
        </w:rPr>
        <w:t>[5]</w:t>
      </w:r>
      <w:r>
        <w:rPr>
          <w:rFonts w:ascii="宋体" w:hAnsi="宋体" w:eastAsia="宋体"/>
          <w:b w:val="0"/>
          <w:i w:val="0"/>
          <w:color w:val="000000"/>
          <w:sz w:val="21"/>
        </w:rPr>
        <w:t>。一旦变压器发生严重故障，不仅会造成设备本体的巨大经济损失，还可能引发大面积停电事故，甚至危及电网安全。因此，及时、准确地对电力变压器进行状态评估与故障诊断，实现由"事后检修"向"状态检修"乃至"预测性维护"的转变，对保障电网安全运行具有重要意义</w:t>
      </w:r>
      <w:r>
        <w:rPr>
          <w:rFonts w:ascii="宋体" w:hAnsi="宋体" w:eastAsia="宋体"/>
          <w:b w:val="0"/>
          <w:i w:val="0"/>
          <w:color w:val="000000"/>
          <w:sz w:val="21"/>
          <w:vertAlign w:val="superscript"/>
        </w:rPr>
        <w:t>[5]</w:t>
      </w:r>
      <w:r>
        <w:rPr>
          <w:rFonts w:ascii="宋体" w:hAnsi="宋体" w:eastAsia="宋体"/>
          <w:b w:val="0"/>
          <w:i w:val="0"/>
          <w:color w:val="000000"/>
          <w:sz w:val="21"/>
        </w:rPr>
        <w:t>。</w:t>
      </w:r>
    </w:p>
    <w:p>
      <w:r>
        <w:rPr>
          <w:rFonts w:ascii="宋体" w:hAnsi="宋体" w:eastAsia="宋体"/>
          <w:b w:val="0"/>
          <w:i w:val="0"/>
          <w:color w:val="000000"/>
          <w:sz w:val="21"/>
        </w:rPr>
        <w:t>在众多故障诊断技术中，油中溶解气体分析（Dissolved Gas Analysis, DGA）因其灵敏度高、能够在不停电的情况下有效反映变压器内部潜伏性故障，已成为国际上诊断油浸式变压器内部故障最有效、最常用的手段之一</w:t>
      </w:r>
      <w:r>
        <w:rPr>
          <w:rFonts w:ascii="宋体" w:hAnsi="宋体" w:eastAsia="宋体"/>
          <w:b w:val="0"/>
          <w:i w:val="0"/>
          <w:color w:val="000000"/>
          <w:sz w:val="21"/>
          <w:vertAlign w:val="superscript"/>
        </w:rPr>
        <w:t>[8,9]</w:t>
      </w:r>
      <w:r>
        <w:rPr>
          <w:rFonts w:ascii="宋体" w:hAnsi="宋体" w:eastAsia="宋体"/>
          <w:b w:val="0"/>
          <w:i w:val="0"/>
          <w:color w:val="000000"/>
          <w:sz w:val="21"/>
        </w:rPr>
        <w:t>。当变压器内部发生过热或放电性故障时，绝缘油及固体绝缘材料会在故障能量作用下发生裂解，产生氢气（H₂）、甲烷（CH₄）、乙烷（C₂H₆）、乙烯（C₂H₄）、乙炔（C₂H₂）以及一氧化碳（CO）、二氧化碳（CO₂）等特征气体</w:t>
      </w:r>
      <w:r>
        <w:rPr>
          <w:rFonts w:ascii="宋体" w:hAnsi="宋体" w:eastAsia="宋体"/>
          <w:b w:val="0"/>
          <w:i w:val="0"/>
          <w:color w:val="000000"/>
          <w:sz w:val="21"/>
          <w:vertAlign w:val="superscript"/>
        </w:rPr>
        <w:t>[4]</w:t>
      </w:r>
      <w:r>
        <w:rPr>
          <w:rFonts w:ascii="宋体" w:hAnsi="宋体" w:eastAsia="宋体"/>
          <w:b w:val="0"/>
          <w:i w:val="0"/>
          <w:color w:val="000000"/>
          <w:sz w:val="21"/>
        </w:rPr>
        <w:t>。通过分析这些溶解气体的组分与浓度，并结合三比值法、特征气体法等判据，可对故障的类型与严重程度做出判断。我国相关行业标准 DL/T 722—2014《变压器油中溶解气体分析和判断导则》对此提供了规范的诊断依据</w:t>
      </w:r>
      <w:r>
        <w:rPr>
          <w:rFonts w:ascii="宋体" w:hAnsi="宋体" w:eastAsia="宋体"/>
          <w:b w:val="0"/>
          <w:i w:val="0"/>
          <w:color w:val="000000"/>
          <w:sz w:val="21"/>
          <w:vertAlign w:val="superscript"/>
        </w:rPr>
        <w:t>[2,3]</w:t>
      </w:r>
      <w:r>
        <w:rPr>
          <w:rFonts w:ascii="宋体" w:hAnsi="宋体" w:eastAsia="宋体"/>
          <w:b w:val="0"/>
          <w:i w:val="0"/>
          <w:color w:val="000000"/>
          <w:sz w:val="21"/>
        </w:rPr>
        <w:t>。然而，传统 DGA 诊断方法存在判据边界生硬、对复杂或多重故障识别能力有限、且高度依赖专家经验等不足，难以满足现代电网对故障诊断智能化、自动化与可解释性的更高要求</w:t>
      </w:r>
      <w:r>
        <w:rPr>
          <w:rFonts w:ascii="宋体" w:hAnsi="宋体" w:eastAsia="宋体"/>
          <w:b w:val="0"/>
          <w:i w:val="0"/>
          <w:color w:val="000000"/>
          <w:sz w:val="21"/>
          <w:vertAlign w:val="superscript"/>
        </w:rPr>
        <w:t>[6,7]</w:t>
      </w:r>
      <w:r>
        <w:rPr>
          <w:rFonts w:ascii="宋体" w:hAnsi="宋体" w:eastAsia="宋体"/>
          <w:b w:val="0"/>
          <w:i w:val="0"/>
          <w:color w:val="000000"/>
          <w:sz w:val="21"/>
        </w:rPr>
        <w:t>，这也正是本文研究的出发点。</w:t>
      </w:r>
    </w:p>
    <w:p>
      <w:pPr>
        <w:pStyle w:val="Heading1"/>
        <w:spacing w:after="320"/>
        <w:jc w:val="center"/>
      </w:pPr>
      <w:r>
        <w:rPr>
          <w:rFonts w:ascii="黑体" w:hAnsi="黑体" w:eastAsia="黑体"/>
          <w:b/>
          <w:i w:val="0"/>
          <w:color w:val="000000"/>
          <w:sz w:val="38"/>
        </w:rPr>
        <w:t>第三章 已完成工作总结</w:t>
      </w:r>
    </w:p>
    <w:p>
      <w:r>
        <w:rPr>
          <w:rFonts w:ascii="宋体" w:hAnsi="宋体" w:eastAsia="宋体"/>
          <w:b w:val="0"/>
          <w:i w:val="0"/>
          <w:color w:val="000000"/>
          <w:sz w:val="21"/>
        </w:rPr>
        <w:t>本章对中期阶段已完成的研究与开发工作进行系统总结。整体工作围绕"</w:t>
      </w:r>
      <w:r>
        <w:rPr>
          <w:rFonts w:ascii="宋体" w:hAnsi="宋体" w:eastAsia="宋体"/>
          <w:b/>
          <w:i w:val="0"/>
          <w:color w:val="000000"/>
          <w:sz w:val="21"/>
        </w:rPr>
        <w:t>电力变压器大模型驱动多智能体故障诊断系统</w:t>
      </w:r>
      <w:r>
        <w:rPr>
          <w:rFonts w:ascii="宋体" w:hAnsi="宋体" w:eastAsia="宋体"/>
          <w:b w:val="0"/>
          <w:i w:val="0"/>
          <w:color w:val="000000"/>
          <w:sz w:val="21"/>
        </w:rPr>
        <w:t>"展开，按照"架构设计—智能体实现—工具研发—数据构建—系统评测"的逻辑层次依次推进，已形成"有设计、有实现、有验证"的完整闭环。</w:t>
      </w:r>
    </w:p>
    <w:p>
      <w:pPr>
        <w:pStyle w:val="Heading2"/>
        <w:spacing w:before="280"/>
      </w:pPr>
      <w:r>
        <w:rPr>
          <w:rFonts w:ascii="黑体" w:hAnsi="黑体" w:eastAsia="黑体"/>
          <w:b/>
          <w:i w:val="0"/>
          <w:color w:val="1F3A5F"/>
          <w:sz w:val="30"/>
        </w:rPr>
        <w:t>3.1 多智能体协同框架的设计与实现</w:t>
      </w:r>
    </w:p>
    <w:p>
      <w:r>
        <w:rPr>
          <w:rFonts w:ascii="宋体" w:hAnsi="宋体" w:eastAsia="宋体"/>
          <w:b w:val="0"/>
          <w:i w:val="0"/>
          <w:color w:val="000000"/>
          <w:sz w:val="21"/>
        </w:rPr>
        <w:t>针对单一大模型在复杂诊断任务中推理链过长、过程不可控、结论质量难以保障的问题，本文设计并实现了一套基于 LangGraph 的多智能体协同诊断框架。该框架将完整的诊断任务解耦为"规划—检索—生成—验证"四个职责单一的子任务，分别由四个智能体承担，并通过一个共享状态对象在智能体间传递中间结果，由 LangGraph 进行图式编排，从而将传统"一问一答"的诊断模式重构为具备任务分解、工具调用与自我修正能力的可控推理流程。</w:t>
      </w:r>
    </w:p>
    <w:p>
      <w:r>
        <w:rPr>
          <w:rFonts w:ascii="宋体" w:hAnsi="宋体" w:eastAsia="宋体"/>
          <w:b w:val="0"/>
          <w:i w:val="0"/>
          <w:color w:val="000000"/>
          <w:sz w:val="21"/>
        </w:rPr>
        <w:t>系统整体划分为编排层、智能体层与工具层三层结构。编排层基于 LangGraph 构建有向状态图，统一调度推理流程；智能体层由四个大模型驱动的智能体协同完成诊断；工具层通过统一的工具客户端提供领域能力支撑。系统总体架构如图 3-1 所示。</w:t>
      </w:r>
    </w:p>
    <w:p>
      <w:pPr>
        <w:jc w:val="center"/>
      </w:pPr>
      <w:r>
        <w:drawing>
          <wp:inline xmlns:a="http://schemas.openxmlformats.org/drawingml/2006/main" xmlns:pic="http://schemas.openxmlformats.org/drawingml/2006/picture">
            <wp:extent cx="5486400" cy="4249724"/>
            <wp:docPr id="1" name="Picture 1"/>
            <wp:cNvGraphicFramePr>
              <a:graphicFrameLocks noChangeAspect="1"/>
            </wp:cNvGraphicFramePr>
            <a:graphic>
              <a:graphicData uri="http://schemas.openxmlformats.org/drawingml/2006/picture">
                <pic:pic>
                  <pic:nvPicPr>
                    <pic:cNvPr id="0" name="fig3_1_architecture.png"/>
                    <pic:cNvPicPr/>
                  </pic:nvPicPr>
                  <pic:blipFill>
                    <a:blip r:embed="rId9"/>
                    <a:stretch>
                      <a:fillRect/>
                    </a:stretch>
                  </pic:blipFill>
                  <pic:spPr>
                    <a:xfrm>
                      <a:off x="0" y="0"/>
                      <a:ext cx="5486400" cy="4249724"/>
                    </a:xfrm>
                    <a:prstGeom prst="rect"/>
                  </pic:spPr>
                </pic:pic>
              </a:graphicData>
            </a:graphic>
          </wp:inline>
        </w:drawing>
      </w:r>
    </w:p>
    <w:p>
      <w:r>
        <w:rPr>
          <w:rFonts w:ascii="宋体" w:hAnsi="宋体" w:eastAsia="宋体"/>
          <w:b/>
          <w:i w:val="0"/>
          <w:color w:val="000000"/>
          <w:sz w:val="21"/>
        </w:rPr>
        <w:t>图 3-1 系统总体架构图</w:t>
      </w:r>
    </w:p>
    <w:p>
      <w:pPr>
        <w:ind w:left="432"/>
      </w:pPr>
      <w:r>
        <w:rPr>
          <w:rFonts w:ascii="宋体" w:hAnsi="宋体" w:eastAsia="宋体"/>
          <w:b w:val="0"/>
          <w:i/>
          <w:color w:val="444444"/>
          <w:sz w:val="21"/>
        </w:rPr>
        <w:t>图示说明：系统自上而下分为三层。编排层为基于 LangGraph 的有向状态图（含条件路由与共享状态 AgentState）；智能体层依次为 Planner（意图分析+任务分解）、Retriever（工具调度，并行/串行）、Generator（诊断结论生成）、Validator（质量验证+路由），其中 Validator 判定 REVISION 时回退至 Generator 形成迭代闭环；工具层由 Retriever 调度 RAG 知识检索、贝叶斯故障归因、ETT 油温预测、时序异常检测四类工具。</w:t>
      </w:r>
    </w:p>
    <w:p>
      <w:r>
        <w:rPr>
          <w:rFonts w:ascii="宋体" w:hAnsi="宋体" w:eastAsia="宋体"/>
          <w:b w:val="0"/>
          <w:i w:val="0"/>
          <w:color w:val="000000"/>
          <w:sz w:val="21"/>
        </w:rPr>
        <w:t>在工作流控制方面，本文实现了由 Validator 评估结论驱动的动态路由与迭代闭环机制：Validator 对诊断草案给出 PASS（通过）、REVISION（需改进）、FAIL（失败）三级判定，当判定为 REVISION 时，工作流通过条件边携带改进建议回退至 Generator 进行重生成，直至通过验证或达到最大迭代次数上限（默认 3 次），从而在保证诊断质量的同时避免无限循环。系统的完整执行流程如图 3-2 所示。</w:t>
      </w:r>
    </w:p>
    <w:p>
      <w:pPr>
        <w:jc w:val="center"/>
      </w:pPr>
      <w:r>
        <w:drawing>
          <wp:inline xmlns:a="http://schemas.openxmlformats.org/drawingml/2006/main" xmlns:pic="http://schemas.openxmlformats.org/drawingml/2006/picture">
            <wp:extent cx="5486400" cy="1754943"/>
            <wp:docPr id="2" name="Picture 2"/>
            <wp:cNvGraphicFramePr>
              <a:graphicFrameLocks noChangeAspect="1"/>
            </wp:cNvGraphicFramePr>
            <a:graphic>
              <a:graphicData uri="http://schemas.openxmlformats.org/drawingml/2006/picture">
                <pic:pic>
                  <pic:nvPicPr>
                    <pic:cNvPr id="0" name="fig3_2_workflow.png"/>
                    <pic:cNvPicPr/>
                  </pic:nvPicPr>
                  <pic:blipFill>
                    <a:blip r:embed="rId10"/>
                    <a:stretch>
                      <a:fillRect/>
                    </a:stretch>
                  </pic:blipFill>
                  <pic:spPr>
                    <a:xfrm>
                      <a:off x="0" y="0"/>
                      <a:ext cx="5486400" cy="1754943"/>
                    </a:xfrm>
                    <a:prstGeom prst="rect"/>
                  </pic:spPr>
                </pic:pic>
              </a:graphicData>
            </a:graphic>
          </wp:inline>
        </w:drawing>
      </w:r>
    </w:p>
    <w:p>
      <w:r>
        <w:rPr>
          <w:rFonts w:ascii="宋体" w:hAnsi="宋体" w:eastAsia="宋体"/>
          <w:b/>
          <w:i w:val="0"/>
          <w:color w:val="000000"/>
          <w:sz w:val="21"/>
        </w:rPr>
        <w:t>图 3-2 诊断工作流执行流程图</w:t>
      </w:r>
    </w:p>
    <w:p>
      <w:pPr>
        <w:ind w:left="432"/>
      </w:pPr>
      <w:r>
        <w:rPr>
          <w:rFonts w:ascii="宋体" w:hAnsi="宋体" w:eastAsia="宋体"/>
          <w:b w:val="0"/>
          <w:i/>
          <w:color w:val="444444"/>
          <w:sz w:val="21"/>
        </w:rPr>
        <w:t>图示说明：用户诊断请求依次经 Planner 规划、Retriever 检索、Generator 生成，至 Validator 验证；验证结论为 PASS 时输出诊断报告，为 REVISION 且未达迭代上限时回退至 Generator 重生成，为 REVISION 且达上限或 FAIL 时结束并输出当前结果。</w:t>
      </w:r>
    </w:p>
    <w:p>
      <w:r>
        <w:rPr>
          <w:rFonts w:ascii="宋体" w:hAnsi="宋体" w:eastAsia="宋体"/>
          <w:b w:val="0"/>
          <w:i w:val="0"/>
          <w:color w:val="000000"/>
          <w:sz w:val="21"/>
        </w:rPr>
        <w:t>此外，为保障系统在异常工况下的鲁棒性，本文建立了多级降级容错机制：当 LangGraph 不可用时自动降级为串行工作流，当大模型服务不可用时各智能体自动降级为基于规则或模板的处理方式，确保系统在外部依赖失效时仍能输出有效结果。</w:t>
      </w:r>
    </w:p>
    <w:p>
      <w:pPr>
        <w:pStyle w:val="Heading2"/>
        <w:spacing w:before="280"/>
      </w:pPr>
      <w:r>
        <w:rPr>
          <w:rFonts w:ascii="黑体" w:hAnsi="黑体" w:eastAsia="黑体"/>
          <w:b/>
          <w:i w:val="0"/>
          <w:color w:val="1F3A5F"/>
          <w:sz w:val="30"/>
        </w:rPr>
        <w:t>3.2 四类功能智能体的设计与实现</w:t>
      </w:r>
    </w:p>
    <w:p>
      <w:r>
        <w:rPr>
          <w:rFonts w:ascii="宋体" w:hAnsi="宋体" w:eastAsia="宋体"/>
          <w:b w:val="0"/>
          <w:i w:val="0"/>
          <w:color w:val="000000"/>
          <w:sz w:val="21"/>
        </w:rPr>
        <w:t>在框架基础上，本文完成了四个功能智能体的设计与实现，各智能体职责单一、可独立配置模型、可独立优化，其职责与输入输出关系如表 3-1 所示。</w:t>
      </w:r>
    </w:p>
    <w:p>
      <w:r>
        <w:rPr>
          <w:rFonts w:ascii="宋体" w:hAnsi="宋体" w:eastAsia="宋体"/>
          <w:b/>
          <w:i w:val="0"/>
          <w:color w:val="000000"/>
          <w:sz w:val="21"/>
        </w:rPr>
        <w:t>表 3-1 四类智能体职责与输入输出</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pPr>
              <w:spacing w:before="40" w:after="40"/>
            </w:pPr>
            <w:r>
              <w:rPr>
                <w:b/>
                <w:color w:val="000000"/>
              </w:rPr>
            </w:r>
            <w:r>
              <w:rPr>
                <w:rFonts w:ascii="宋体" w:hAnsi="宋体" w:eastAsia="宋体"/>
                <w:b/>
                <w:i w:val="0"/>
                <w:color w:val="000000"/>
                <w:sz w:val="19"/>
              </w:rPr>
              <w:t>智能体</w:t>
            </w:r>
          </w:p>
        </w:tc>
        <w:tc>
          <w:tcPr>
            <w:tcW w:type="dxa" w:w="1728"/>
            <w:shd w:val="clear" w:color="auto" w:fill="DCE6F1"/>
          </w:tcPr>
          <w:p>
            <w:pPr>
              <w:spacing w:before="40" w:after="40"/>
            </w:pPr>
            <w:r>
              <w:rPr>
                <w:b/>
                <w:color w:val="000000"/>
              </w:rPr>
            </w:r>
            <w:r>
              <w:rPr>
                <w:rFonts w:ascii="宋体" w:hAnsi="宋体" w:eastAsia="宋体"/>
                <w:b/>
                <w:i w:val="0"/>
                <w:color w:val="000000"/>
                <w:sz w:val="19"/>
              </w:rPr>
              <w:t>核心职责</w:t>
            </w:r>
          </w:p>
        </w:tc>
        <w:tc>
          <w:tcPr>
            <w:tcW w:type="dxa" w:w="1728"/>
            <w:shd w:val="clear" w:color="auto" w:fill="DCE6F1"/>
          </w:tcPr>
          <w:p>
            <w:pPr>
              <w:spacing w:before="40" w:after="40"/>
            </w:pPr>
            <w:r>
              <w:rPr>
                <w:b/>
                <w:color w:val="000000"/>
              </w:rPr>
            </w:r>
            <w:r>
              <w:rPr>
                <w:rFonts w:ascii="宋体" w:hAnsi="宋体" w:eastAsia="宋体"/>
                <w:b/>
                <w:i w:val="0"/>
                <w:color w:val="000000"/>
                <w:sz w:val="19"/>
              </w:rPr>
              <w:t>主要输入</w:t>
            </w:r>
          </w:p>
        </w:tc>
        <w:tc>
          <w:tcPr>
            <w:tcW w:type="dxa" w:w="1728"/>
            <w:shd w:val="clear" w:color="auto" w:fill="DCE6F1"/>
          </w:tcPr>
          <w:p>
            <w:pPr>
              <w:spacing w:before="40" w:after="40"/>
            </w:pPr>
            <w:r>
              <w:rPr>
                <w:b/>
                <w:color w:val="000000"/>
              </w:rPr>
            </w:r>
            <w:r>
              <w:rPr>
                <w:rFonts w:ascii="宋体" w:hAnsi="宋体" w:eastAsia="宋体"/>
                <w:b/>
                <w:i w:val="0"/>
                <w:color w:val="000000"/>
                <w:sz w:val="19"/>
              </w:rPr>
              <w:t>主要输出</w:t>
            </w:r>
          </w:p>
        </w:tc>
        <w:tc>
          <w:tcPr>
            <w:tcW w:type="dxa" w:w="1728"/>
            <w:shd w:val="clear" w:color="auto" w:fill="DCE6F1"/>
          </w:tcPr>
          <w:p>
            <w:pPr>
              <w:spacing w:before="40" w:after="40"/>
            </w:pPr>
            <w:r>
              <w:rPr>
                <w:b/>
                <w:color w:val="000000"/>
              </w:rPr>
            </w:r>
            <w:r>
              <w:rPr>
                <w:rFonts w:ascii="宋体" w:hAnsi="宋体" w:eastAsia="宋体"/>
                <w:b/>
                <w:i w:val="0"/>
                <w:color w:val="000000"/>
                <w:sz w:val="19"/>
              </w:rPr>
              <w:t>关键技术</w:t>
            </w:r>
          </w:p>
        </w:tc>
      </w:tr>
      <w:tr>
        <w:tc>
          <w:tcPr>
            <w:tcW w:type="dxa" w:w="1728"/>
            <w:shd w:val="clear" w:color="auto" w:fill="FFFFFF"/>
          </w:tcPr>
          <w:p>
            <w:pPr>
              <w:spacing w:before="40" w:after="40"/>
            </w:pPr>
            <w:r/>
            <w:r>
              <w:rPr>
                <w:rFonts w:ascii="宋体" w:hAnsi="宋体" w:eastAsia="宋体"/>
                <w:b w:val="0"/>
                <w:i w:val="0"/>
                <w:color w:val="000000"/>
                <w:sz w:val="19"/>
              </w:rPr>
              <w:t>Planner</w:t>
            </w:r>
          </w:p>
        </w:tc>
        <w:tc>
          <w:tcPr>
            <w:tcW w:type="dxa" w:w="1728"/>
            <w:shd w:val="clear" w:color="auto" w:fill="FFFFFF"/>
          </w:tcPr>
          <w:p>
            <w:pPr>
              <w:spacing w:before="40" w:after="40"/>
            </w:pPr>
            <w:r/>
            <w:r>
              <w:rPr>
                <w:rFonts w:ascii="宋体" w:hAnsi="宋体" w:eastAsia="宋体"/>
                <w:b w:val="0"/>
                <w:i w:val="0"/>
                <w:color w:val="000000"/>
                <w:sz w:val="19"/>
              </w:rPr>
              <w:t>意图分析与任务分解</w:t>
            </w:r>
          </w:p>
        </w:tc>
        <w:tc>
          <w:tcPr>
            <w:tcW w:type="dxa" w:w="1728"/>
            <w:shd w:val="clear" w:color="auto" w:fill="FFFFFF"/>
          </w:tcPr>
          <w:p>
            <w:pPr>
              <w:spacing w:before="40" w:after="40"/>
            </w:pPr>
            <w:r/>
            <w:r>
              <w:rPr>
                <w:rFonts w:ascii="宋体" w:hAnsi="宋体" w:eastAsia="宋体"/>
                <w:b w:val="0"/>
                <w:i w:val="0"/>
                <w:color w:val="000000"/>
                <w:sz w:val="19"/>
              </w:rPr>
              <w:t>用户诊断请求</w:t>
            </w:r>
          </w:p>
        </w:tc>
        <w:tc>
          <w:tcPr>
            <w:tcW w:type="dxa" w:w="1728"/>
            <w:shd w:val="clear" w:color="auto" w:fill="FFFFFF"/>
          </w:tcPr>
          <w:p>
            <w:pPr>
              <w:spacing w:before="40" w:after="40"/>
            </w:pPr>
            <w:r/>
            <w:r>
              <w:rPr>
                <w:rFonts w:ascii="宋体" w:hAnsi="宋体" w:eastAsia="宋体"/>
                <w:b w:val="0"/>
                <w:i w:val="0"/>
                <w:color w:val="000000"/>
                <w:sz w:val="19"/>
              </w:rPr>
              <w:t>结构化诊断计划（含工具决策）</w:t>
            </w:r>
          </w:p>
        </w:tc>
        <w:tc>
          <w:tcPr>
            <w:tcW w:type="dxa" w:w="1728"/>
            <w:shd w:val="clear" w:color="auto" w:fill="FFFFFF"/>
          </w:tcPr>
          <w:p>
            <w:pPr>
              <w:spacing w:before="40" w:after="40"/>
            </w:pPr>
            <w:r/>
            <w:r>
              <w:rPr>
                <w:rFonts w:ascii="宋体" w:hAnsi="宋体" w:eastAsia="宋体"/>
                <w:b w:val="0"/>
                <w:i w:val="0"/>
                <w:color w:val="000000"/>
                <w:sz w:val="19"/>
              </w:rPr>
              <w:t>LLM + ReAct 思维链</w:t>
            </w:r>
          </w:p>
        </w:tc>
      </w:tr>
      <w:tr>
        <w:tc>
          <w:tcPr>
            <w:tcW w:type="dxa" w:w="1728"/>
            <w:shd w:val="clear" w:color="auto" w:fill="FFFFFF"/>
          </w:tcPr>
          <w:p>
            <w:pPr>
              <w:spacing w:before="40" w:after="40"/>
            </w:pPr>
            <w:r/>
            <w:r>
              <w:rPr>
                <w:rFonts w:ascii="宋体" w:hAnsi="宋体" w:eastAsia="宋体"/>
                <w:b w:val="0"/>
                <w:i w:val="0"/>
                <w:color w:val="000000"/>
                <w:sz w:val="19"/>
              </w:rPr>
              <w:t>Retriever</w:t>
            </w:r>
          </w:p>
        </w:tc>
        <w:tc>
          <w:tcPr>
            <w:tcW w:type="dxa" w:w="1728"/>
            <w:shd w:val="clear" w:color="auto" w:fill="FFFFFF"/>
          </w:tcPr>
          <w:p>
            <w:pPr>
              <w:spacing w:before="40" w:after="40"/>
            </w:pPr>
            <w:r/>
            <w:r>
              <w:rPr>
                <w:rFonts w:ascii="宋体" w:hAnsi="宋体" w:eastAsia="宋体"/>
                <w:b w:val="0"/>
                <w:i w:val="0"/>
                <w:color w:val="000000"/>
                <w:sz w:val="19"/>
              </w:rPr>
              <w:t>工具调度与证据采集</w:t>
            </w:r>
          </w:p>
        </w:tc>
        <w:tc>
          <w:tcPr>
            <w:tcW w:type="dxa" w:w="1728"/>
            <w:shd w:val="clear" w:color="auto" w:fill="FFFFFF"/>
          </w:tcPr>
          <w:p>
            <w:pPr>
              <w:spacing w:before="40" w:after="40"/>
            </w:pPr>
            <w:r/>
            <w:r>
              <w:rPr>
                <w:rFonts w:ascii="宋体" w:hAnsi="宋体" w:eastAsia="宋体"/>
                <w:b w:val="0"/>
                <w:i w:val="0"/>
                <w:color w:val="000000"/>
                <w:sz w:val="19"/>
              </w:rPr>
              <w:t>诊断计划</w:t>
            </w:r>
          </w:p>
        </w:tc>
        <w:tc>
          <w:tcPr>
            <w:tcW w:type="dxa" w:w="1728"/>
            <w:shd w:val="clear" w:color="auto" w:fill="FFFFFF"/>
          </w:tcPr>
          <w:p>
            <w:pPr>
              <w:spacing w:before="40" w:after="40"/>
            </w:pPr>
            <w:r/>
            <w:r>
              <w:rPr>
                <w:rFonts w:ascii="宋体" w:hAnsi="宋体" w:eastAsia="宋体"/>
                <w:b w:val="0"/>
                <w:i w:val="0"/>
                <w:color w:val="000000"/>
                <w:sz w:val="19"/>
              </w:rPr>
              <w:t>多源检索证据、工具调用记录</w:t>
            </w:r>
          </w:p>
        </w:tc>
        <w:tc>
          <w:tcPr>
            <w:tcW w:type="dxa" w:w="1728"/>
            <w:shd w:val="clear" w:color="auto" w:fill="FFFFFF"/>
          </w:tcPr>
          <w:p>
            <w:pPr>
              <w:spacing w:before="40" w:after="40"/>
            </w:pPr>
            <w:r/>
            <w:r>
              <w:rPr>
                <w:rFonts w:ascii="宋体" w:hAnsi="宋体" w:eastAsia="宋体"/>
                <w:b w:val="0"/>
                <w:i w:val="0"/>
                <w:color w:val="000000"/>
                <w:sz w:val="19"/>
              </w:rPr>
              <w:t>并行/串行混合调度</w:t>
            </w:r>
          </w:p>
        </w:tc>
      </w:tr>
      <w:tr>
        <w:tc>
          <w:tcPr>
            <w:tcW w:type="dxa" w:w="1728"/>
            <w:shd w:val="clear" w:color="auto" w:fill="FFFFFF"/>
          </w:tcPr>
          <w:p>
            <w:pPr>
              <w:spacing w:before="40" w:after="40"/>
            </w:pPr>
            <w:r/>
            <w:r>
              <w:rPr>
                <w:rFonts w:ascii="宋体" w:hAnsi="宋体" w:eastAsia="宋体"/>
                <w:b w:val="0"/>
                <w:i w:val="0"/>
                <w:color w:val="000000"/>
                <w:sz w:val="19"/>
              </w:rPr>
              <w:t>Generator</w:t>
            </w:r>
          </w:p>
        </w:tc>
        <w:tc>
          <w:tcPr>
            <w:tcW w:type="dxa" w:w="1728"/>
            <w:shd w:val="clear" w:color="auto" w:fill="FFFFFF"/>
          </w:tcPr>
          <w:p>
            <w:pPr>
              <w:spacing w:before="40" w:after="40"/>
            </w:pPr>
            <w:r/>
            <w:r>
              <w:rPr>
                <w:rFonts w:ascii="宋体" w:hAnsi="宋体" w:eastAsia="宋体"/>
                <w:b w:val="0"/>
                <w:i w:val="0"/>
                <w:color w:val="000000"/>
                <w:sz w:val="19"/>
              </w:rPr>
              <w:t>诊断结论生成</w:t>
            </w:r>
          </w:p>
        </w:tc>
        <w:tc>
          <w:tcPr>
            <w:tcW w:type="dxa" w:w="1728"/>
            <w:shd w:val="clear" w:color="auto" w:fill="FFFFFF"/>
          </w:tcPr>
          <w:p>
            <w:pPr>
              <w:spacing w:before="40" w:after="40"/>
            </w:pPr>
            <w:r/>
            <w:r>
              <w:rPr>
                <w:rFonts w:ascii="宋体" w:hAnsi="宋体" w:eastAsia="宋体"/>
                <w:b w:val="0"/>
                <w:i w:val="0"/>
                <w:color w:val="000000"/>
                <w:sz w:val="19"/>
              </w:rPr>
              <w:t>多源证据、验证反馈</w:t>
            </w:r>
          </w:p>
        </w:tc>
        <w:tc>
          <w:tcPr>
            <w:tcW w:type="dxa" w:w="1728"/>
            <w:shd w:val="clear" w:color="auto" w:fill="FFFFFF"/>
          </w:tcPr>
          <w:p>
            <w:pPr>
              <w:spacing w:before="40" w:after="40"/>
            </w:pPr>
            <w:r/>
            <w:r>
              <w:rPr>
                <w:rFonts w:ascii="宋体" w:hAnsi="宋体" w:eastAsia="宋体"/>
                <w:b w:val="0"/>
                <w:i w:val="0"/>
                <w:color w:val="000000"/>
                <w:sz w:val="19"/>
              </w:rPr>
              <w:t>诊断结论与处置建议</w:t>
            </w:r>
          </w:p>
        </w:tc>
        <w:tc>
          <w:tcPr>
            <w:tcW w:type="dxa" w:w="1728"/>
            <w:shd w:val="clear" w:color="auto" w:fill="FFFFFF"/>
          </w:tcPr>
          <w:p>
            <w:pPr>
              <w:spacing w:before="40" w:after="40"/>
            </w:pPr>
            <w:r/>
            <w:r>
              <w:rPr>
                <w:rFonts w:ascii="宋体" w:hAnsi="宋体" w:eastAsia="宋体"/>
                <w:b w:val="0"/>
                <w:i w:val="0"/>
                <w:color w:val="000000"/>
                <w:sz w:val="19"/>
              </w:rPr>
              <w:t>LLM + 迭代重生成</w:t>
            </w:r>
          </w:p>
        </w:tc>
      </w:tr>
      <w:tr>
        <w:tc>
          <w:tcPr>
            <w:tcW w:type="dxa" w:w="1728"/>
            <w:shd w:val="clear" w:color="auto" w:fill="FFFFFF"/>
          </w:tcPr>
          <w:p>
            <w:pPr>
              <w:spacing w:before="40" w:after="40"/>
            </w:pPr>
            <w:r/>
            <w:r>
              <w:rPr>
                <w:rFonts w:ascii="宋体" w:hAnsi="宋体" w:eastAsia="宋体"/>
                <w:b w:val="0"/>
                <w:i w:val="0"/>
                <w:color w:val="000000"/>
                <w:sz w:val="19"/>
              </w:rPr>
              <w:t>Validator</w:t>
            </w:r>
          </w:p>
        </w:tc>
        <w:tc>
          <w:tcPr>
            <w:tcW w:type="dxa" w:w="1728"/>
            <w:shd w:val="clear" w:color="auto" w:fill="FFFFFF"/>
          </w:tcPr>
          <w:p>
            <w:pPr>
              <w:spacing w:before="40" w:after="40"/>
            </w:pPr>
            <w:r/>
            <w:r>
              <w:rPr>
                <w:rFonts w:ascii="宋体" w:hAnsi="宋体" w:eastAsia="宋体"/>
                <w:b w:val="0"/>
                <w:i w:val="0"/>
                <w:color w:val="000000"/>
                <w:sz w:val="19"/>
              </w:rPr>
              <w:t>质量验证与路由决策</w:t>
            </w:r>
          </w:p>
        </w:tc>
        <w:tc>
          <w:tcPr>
            <w:tcW w:type="dxa" w:w="1728"/>
            <w:shd w:val="clear" w:color="auto" w:fill="FFFFFF"/>
          </w:tcPr>
          <w:p>
            <w:pPr>
              <w:spacing w:before="40" w:after="40"/>
            </w:pPr>
            <w:r/>
            <w:r>
              <w:rPr>
                <w:rFonts w:ascii="宋体" w:hAnsi="宋体" w:eastAsia="宋体"/>
                <w:b w:val="0"/>
                <w:i w:val="0"/>
                <w:color w:val="000000"/>
                <w:sz w:val="19"/>
              </w:rPr>
              <w:t>诊断草案</w:t>
            </w:r>
          </w:p>
        </w:tc>
        <w:tc>
          <w:tcPr>
            <w:tcW w:type="dxa" w:w="1728"/>
            <w:shd w:val="clear" w:color="auto" w:fill="FFFFFF"/>
          </w:tcPr>
          <w:p>
            <w:pPr>
              <w:spacing w:before="40" w:after="40"/>
            </w:pPr>
            <w:r/>
            <w:r>
              <w:rPr>
                <w:rFonts w:ascii="宋体" w:hAnsi="宋体" w:eastAsia="宋体"/>
                <w:b w:val="0"/>
                <w:i w:val="0"/>
                <w:color w:val="000000"/>
                <w:sz w:val="19"/>
              </w:rPr>
              <w:t>评分、改进建议、路由结论</w:t>
            </w:r>
          </w:p>
        </w:tc>
        <w:tc>
          <w:tcPr>
            <w:tcW w:type="dxa" w:w="1728"/>
            <w:shd w:val="clear" w:color="auto" w:fill="FFFFFF"/>
          </w:tcPr>
          <w:p>
            <w:pPr>
              <w:spacing w:before="40" w:after="40"/>
            </w:pPr>
            <w:r/>
            <w:r>
              <w:rPr>
                <w:rFonts w:ascii="宋体" w:hAnsi="宋体" w:eastAsia="宋体"/>
                <w:b w:val="0"/>
                <w:i w:val="0"/>
                <w:color w:val="000000"/>
                <w:sz w:val="19"/>
              </w:rPr>
              <w:t>结构化质量评估</w:t>
            </w:r>
          </w:p>
        </w:tc>
      </w:tr>
    </w:tbl>
    <w:p/>
    <w:p>
      <w:r>
        <w:rPr>
          <w:rFonts w:ascii="宋体" w:hAnsi="宋体" w:eastAsia="宋体"/>
          <w:b w:val="0"/>
          <w:i w:val="0"/>
          <w:color w:val="000000"/>
          <w:sz w:val="21"/>
        </w:rPr>
        <w:t>其中，Planner 基于大模型与 ReAct 风格思维链对用户请求进行意图分析，并将复杂诊断任务分解为带有明确工具调用决策的结构化计划。Retriever 解析该计划并调度工具层执行，对相互独立的工具采用线程池并行调用以提升效率，对存在数据依赖的工具采用两阶段串行执行以保证上下文正确注入；当未获得有效计划时，自动降级为固定工具集检索。Generator 聚合知识检索片段、故障归因结果与油温预测等多源证据生成面向一线的诊断结论，并支持依据 Validator 反馈进行迭代优化。Validator 对生成结果进行结构化质量评估，输出量化评分与具体改进建议，并据此驱动工作流路由。</w:t>
      </w:r>
    </w:p>
    <w:p>
      <w:pPr>
        <w:pStyle w:val="Heading2"/>
        <w:spacing w:before="280"/>
      </w:pPr>
      <w:r>
        <w:rPr>
          <w:rFonts w:ascii="黑体" w:hAnsi="黑体" w:eastAsia="黑体"/>
          <w:b/>
          <w:i w:val="0"/>
          <w:color w:val="1F3A5F"/>
          <w:sz w:val="30"/>
        </w:rPr>
        <w:t>3.3 多源诊断工具的研发</w:t>
      </w:r>
    </w:p>
    <w:p>
      <w:r>
        <w:rPr>
          <w:rFonts w:ascii="宋体" w:hAnsi="宋体" w:eastAsia="宋体"/>
          <w:b w:val="0"/>
          <w:i w:val="0"/>
          <w:color w:val="000000"/>
          <w:sz w:val="21"/>
        </w:rPr>
        <w:t>为弥补通用大模型在领域知识、可解释归因与状态预判方面的不足，本文研发了四类领域工具，并通过 MCP（Model Context Protocol）风格的统一客户端完成注册与调度。各工具的输入输出与设计动因如表 3-2 所示。</w:t>
      </w:r>
    </w:p>
    <w:p>
      <w:r>
        <w:rPr>
          <w:rFonts w:ascii="宋体" w:hAnsi="宋体" w:eastAsia="宋体"/>
          <w:b/>
          <w:i w:val="0"/>
          <w:color w:val="000000"/>
          <w:sz w:val="21"/>
        </w:rPr>
        <w:t>表 3-2 多源诊断工具一览</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pPr>
              <w:spacing w:before="40" w:after="40"/>
            </w:pPr>
            <w:r>
              <w:rPr>
                <w:b/>
                <w:color w:val="000000"/>
              </w:rPr>
            </w:r>
            <w:r>
              <w:rPr>
                <w:rFonts w:ascii="宋体" w:hAnsi="宋体" w:eastAsia="宋体"/>
                <w:b/>
                <w:i w:val="0"/>
                <w:color w:val="000000"/>
                <w:sz w:val="19"/>
              </w:rPr>
              <w:t>工具</w:t>
            </w:r>
          </w:p>
        </w:tc>
        <w:tc>
          <w:tcPr>
            <w:tcW w:type="dxa" w:w="1728"/>
            <w:shd w:val="clear" w:color="auto" w:fill="DCE6F1"/>
          </w:tcPr>
          <w:p>
            <w:pPr>
              <w:spacing w:before="40" w:after="40"/>
            </w:pPr>
            <w:r>
              <w:rPr>
                <w:b/>
                <w:color w:val="000000"/>
              </w:rPr>
            </w:r>
            <w:r>
              <w:rPr>
                <w:rFonts w:ascii="宋体" w:hAnsi="宋体" w:eastAsia="宋体"/>
                <w:b/>
                <w:i w:val="0"/>
                <w:color w:val="000000"/>
                <w:sz w:val="19"/>
              </w:rPr>
              <w:t>输入</w:t>
            </w:r>
          </w:p>
        </w:tc>
        <w:tc>
          <w:tcPr>
            <w:tcW w:type="dxa" w:w="1728"/>
            <w:shd w:val="clear" w:color="auto" w:fill="DCE6F1"/>
          </w:tcPr>
          <w:p>
            <w:pPr>
              <w:spacing w:before="40" w:after="40"/>
            </w:pPr>
            <w:r>
              <w:rPr>
                <w:b/>
                <w:color w:val="000000"/>
              </w:rPr>
            </w:r>
            <w:r>
              <w:rPr>
                <w:rFonts w:ascii="宋体" w:hAnsi="宋体" w:eastAsia="宋体"/>
                <w:b/>
                <w:i w:val="0"/>
                <w:color w:val="000000"/>
                <w:sz w:val="19"/>
              </w:rPr>
              <w:t>输出</w:t>
            </w:r>
          </w:p>
        </w:tc>
        <w:tc>
          <w:tcPr>
            <w:tcW w:type="dxa" w:w="1728"/>
            <w:shd w:val="clear" w:color="auto" w:fill="DCE6F1"/>
          </w:tcPr>
          <w:p>
            <w:pPr>
              <w:spacing w:before="40" w:after="40"/>
            </w:pPr>
            <w:r>
              <w:rPr>
                <w:b/>
                <w:color w:val="000000"/>
              </w:rPr>
            </w:r>
            <w:r>
              <w:rPr>
                <w:rFonts w:ascii="宋体" w:hAnsi="宋体" w:eastAsia="宋体"/>
                <w:b/>
                <w:i w:val="0"/>
                <w:color w:val="000000"/>
                <w:sz w:val="19"/>
              </w:rPr>
              <w:t>核心技术</w:t>
            </w:r>
          </w:p>
        </w:tc>
        <w:tc>
          <w:tcPr>
            <w:tcW w:type="dxa" w:w="1728"/>
            <w:shd w:val="clear" w:color="auto" w:fill="DCE6F1"/>
          </w:tcPr>
          <w:p>
            <w:pPr>
              <w:spacing w:before="40" w:after="40"/>
            </w:pPr>
            <w:r>
              <w:rPr>
                <w:b/>
                <w:color w:val="000000"/>
              </w:rPr>
            </w:r>
            <w:r>
              <w:rPr>
                <w:rFonts w:ascii="宋体" w:hAnsi="宋体" w:eastAsia="宋体"/>
                <w:b/>
                <w:i w:val="0"/>
                <w:color w:val="000000"/>
                <w:sz w:val="19"/>
              </w:rPr>
              <w:t>解决的问题</w:t>
            </w:r>
          </w:p>
        </w:tc>
      </w:tr>
      <w:tr>
        <w:tc>
          <w:tcPr>
            <w:tcW w:type="dxa" w:w="1728"/>
            <w:shd w:val="clear" w:color="auto" w:fill="FFFFFF"/>
          </w:tcPr>
          <w:p>
            <w:pPr>
              <w:spacing w:before="40" w:after="40"/>
            </w:pPr>
            <w:r/>
            <w:r>
              <w:rPr>
                <w:rFonts w:ascii="宋体" w:hAnsi="宋体" w:eastAsia="宋体"/>
                <w:b w:val="0"/>
                <w:i w:val="0"/>
                <w:color w:val="000000"/>
                <w:sz w:val="19"/>
              </w:rPr>
              <w:t>RAG 知识检索</w:t>
            </w:r>
          </w:p>
        </w:tc>
        <w:tc>
          <w:tcPr>
            <w:tcW w:type="dxa" w:w="1728"/>
            <w:shd w:val="clear" w:color="auto" w:fill="FFFFFF"/>
          </w:tcPr>
          <w:p>
            <w:pPr>
              <w:spacing w:before="40" w:after="40"/>
            </w:pPr>
            <w:r/>
            <w:r>
              <w:rPr>
                <w:rFonts w:ascii="宋体" w:hAnsi="宋体" w:eastAsia="宋体"/>
                <w:b w:val="0"/>
                <w:i w:val="0"/>
                <w:color w:val="000000"/>
                <w:sz w:val="19"/>
              </w:rPr>
              <w:t>查询文本</w:t>
            </w:r>
          </w:p>
        </w:tc>
        <w:tc>
          <w:tcPr>
            <w:tcW w:type="dxa" w:w="1728"/>
            <w:shd w:val="clear" w:color="auto" w:fill="FFFFFF"/>
          </w:tcPr>
          <w:p>
            <w:pPr>
              <w:spacing w:before="40" w:after="40"/>
            </w:pPr>
            <w:r/>
            <w:r>
              <w:rPr>
                <w:rFonts w:ascii="宋体" w:hAnsi="宋体" w:eastAsia="宋体"/>
                <w:b w:val="0"/>
                <w:i w:val="0"/>
                <w:color w:val="000000"/>
                <w:sz w:val="19"/>
              </w:rPr>
              <w:t>Top-K 知识片段（子块+父块上下文）</w:t>
            </w:r>
          </w:p>
        </w:tc>
        <w:tc>
          <w:tcPr>
            <w:tcW w:type="dxa" w:w="1728"/>
            <w:shd w:val="clear" w:color="auto" w:fill="FFFFFF"/>
          </w:tcPr>
          <w:p>
            <w:pPr>
              <w:spacing w:before="40" w:after="40"/>
            </w:pPr>
            <w:r/>
            <w:r>
              <w:rPr>
                <w:rFonts w:ascii="宋体" w:hAnsi="宋体" w:eastAsia="宋体"/>
                <w:b w:val="0"/>
                <w:i w:val="0"/>
                <w:color w:val="000000"/>
                <w:sz w:val="19"/>
              </w:rPr>
              <w:t>Milvus 向量库 + 父子分块</w:t>
            </w:r>
          </w:p>
        </w:tc>
        <w:tc>
          <w:tcPr>
            <w:tcW w:type="dxa" w:w="1728"/>
            <w:shd w:val="clear" w:color="auto" w:fill="FFFFFF"/>
          </w:tcPr>
          <w:p>
            <w:pPr>
              <w:spacing w:before="40" w:after="40"/>
            </w:pPr>
            <w:r/>
            <w:r>
              <w:rPr>
                <w:rFonts w:ascii="宋体" w:hAnsi="宋体" w:eastAsia="宋体"/>
                <w:b w:val="0"/>
                <w:i w:val="0"/>
                <w:color w:val="000000"/>
                <w:sz w:val="19"/>
              </w:rPr>
              <w:t>领域知识缺失、模型幻觉</w:t>
            </w:r>
          </w:p>
        </w:tc>
      </w:tr>
      <w:tr>
        <w:tc>
          <w:tcPr>
            <w:tcW w:type="dxa" w:w="1728"/>
            <w:shd w:val="clear" w:color="auto" w:fill="FFFFFF"/>
          </w:tcPr>
          <w:p>
            <w:pPr>
              <w:spacing w:before="40" w:after="40"/>
            </w:pPr>
            <w:r/>
            <w:r>
              <w:rPr>
                <w:rFonts w:ascii="宋体" w:hAnsi="宋体" w:eastAsia="宋体"/>
                <w:b w:val="0"/>
                <w:i w:val="0"/>
                <w:color w:val="000000"/>
                <w:sz w:val="19"/>
              </w:rPr>
              <w:t>贝叶斯故障归因</w:t>
            </w:r>
          </w:p>
        </w:tc>
        <w:tc>
          <w:tcPr>
            <w:tcW w:type="dxa" w:w="1728"/>
            <w:shd w:val="clear" w:color="auto" w:fill="FFFFFF"/>
          </w:tcPr>
          <w:p>
            <w:pPr>
              <w:spacing w:before="40" w:after="40"/>
            </w:pPr>
            <w:r/>
            <w:r>
              <w:rPr>
                <w:rFonts w:ascii="宋体" w:hAnsi="宋体" w:eastAsia="宋体"/>
                <w:b w:val="0"/>
                <w:i w:val="0"/>
                <w:color w:val="000000"/>
                <w:sz w:val="19"/>
              </w:rPr>
              <w:t>DGA 气体数据、征兆</w:t>
            </w:r>
          </w:p>
        </w:tc>
        <w:tc>
          <w:tcPr>
            <w:tcW w:type="dxa" w:w="1728"/>
            <w:shd w:val="clear" w:color="auto" w:fill="FFFFFF"/>
          </w:tcPr>
          <w:p>
            <w:pPr>
              <w:spacing w:before="40" w:after="40"/>
            </w:pPr>
            <w:r/>
            <w:r>
              <w:rPr>
                <w:rFonts w:ascii="宋体" w:hAnsi="宋体" w:eastAsia="宋体"/>
                <w:b w:val="0"/>
                <w:i w:val="0"/>
                <w:color w:val="000000"/>
                <w:sz w:val="19"/>
              </w:rPr>
              <w:t>故障概率排序、归因报告</w:t>
            </w:r>
          </w:p>
        </w:tc>
        <w:tc>
          <w:tcPr>
            <w:tcW w:type="dxa" w:w="1728"/>
            <w:shd w:val="clear" w:color="auto" w:fill="FFFFFF"/>
          </w:tcPr>
          <w:p>
            <w:pPr>
              <w:spacing w:before="40" w:after="40"/>
            </w:pPr>
            <w:r/>
            <w:r>
              <w:rPr>
                <w:rFonts w:ascii="宋体" w:hAnsi="宋体" w:eastAsia="宋体"/>
                <w:b w:val="0"/>
                <w:i w:val="0"/>
                <w:color w:val="000000"/>
                <w:sz w:val="19"/>
              </w:rPr>
              <w:t>贝叶斯网络 + 三比值法融合</w:t>
            </w:r>
          </w:p>
        </w:tc>
        <w:tc>
          <w:tcPr>
            <w:tcW w:type="dxa" w:w="1728"/>
            <w:shd w:val="clear" w:color="auto" w:fill="FFFFFF"/>
          </w:tcPr>
          <w:p>
            <w:pPr>
              <w:spacing w:before="40" w:after="40"/>
            </w:pPr>
            <w:r/>
            <w:r>
              <w:rPr>
                <w:rFonts w:ascii="宋体" w:hAnsi="宋体" w:eastAsia="宋体"/>
                <w:b w:val="0"/>
                <w:i w:val="0"/>
                <w:color w:val="000000"/>
                <w:sz w:val="19"/>
              </w:rPr>
              <w:t>归因可解释性差</w:t>
            </w:r>
          </w:p>
        </w:tc>
      </w:tr>
      <w:tr>
        <w:tc>
          <w:tcPr>
            <w:tcW w:type="dxa" w:w="1728"/>
            <w:shd w:val="clear" w:color="auto" w:fill="FFFFFF"/>
          </w:tcPr>
          <w:p>
            <w:pPr>
              <w:spacing w:before="40" w:after="40"/>
            </w:pPr>
            <w:r/>
            <w:r>
              <w:rPr>
                <w:rFonts w:ascii="宋体" w:hAnsi="宋体" w:eastAsia="宋体"/>
                <w:b w:val="0"/>
                <w:i w:val="0"/>
                <w:color w:val="000000"/>
                <w:sz w:val="19"/>
              </w:rPr>
              <w:t>ETT 油温预测</w:t>
            </w:r>
          </w:p>
        </w:tc>
        <w:tc>
          <w:tcPr>
            <w:tcW w:type="dxa" w:w="1728"/>
            <w:shd w:val="clear" w:color="auto" w:fill="FFFFFF"/>
          </w:tcPr>
          <w:p>
            <w:pPr>
              <w:spacing w:before="40" w:after="40"/>
            </w:pPr>
            <w:r/>
            <w:r>
              <w:rPr>
                <w:rFonts w:ascii="宋体" w:hAnsi="宋体" w:eastAsia="宋体"/>
                <w:b w:val="0"/>
                <w:i w:val="0"/>
                <w:color w:val="000000"/>
                <w:sz w:val="19"/>
              </w:rPr>
              <w:t>数据集、回看/预测窗口</w:t>
            </w:r>
          </w:p>
        </w:tc>
        <w:tc>
          <w:tcPr>
            <w:tcW w:type="dxa" w:w="1728"/>
            <w:shd w:val="clear" w:color="auto" w:fill="FFFFFF"/>
          </w:tcPr>
          <w:p>
            <w:pPr>
              <w:spacing w:before="40" w:after="40"/>
            </w:pPr>
            <w:r/>
            <w:r>
              <w:rPr>
                <w:rFonts w:ascii="宋体" w:hAnsi="宋体" w:eastAsia="宋体"/>
                <w:b w:val="0"/>
                <w:i w:val="0"/>
                <w:color w:val="000000"/>
                <w:sz w:val="19"/>
              </w:rPr>
              <w:t>油温预测序列、R²、异常点</w:t>
            </w:r>
          </w:p>
        </w:tc>
        <w:tc>
          <w:tcPr>
            <w:tcW w:type="dxa" w:w="1728"/>
            <w:shd w:val="clear" w:color="auto" w:fill="FFFFFF"/>
          </w:tcPr>
          <w:p>
            <w:pPr>
              <w:spacing w:before="40" w:after="40"/>
            </w:pPr>
            <w:r/>
            <w:r>
              <w:rPr>
                <w:rFonts w:ascii="宋体" w:hAnsi="宋体" w:eastAsia="宋体"/>
                <w:b w:val="0"/>
                <w:i w:val="0"/>
                <w:color w:val="000000"/>
                <w:sz w:val="19"/>
              </w:rPr>
              <w:t>最小二乘回归 + 3σ 检测</w:t>
            </w:r>
          </w:p>
        </w:tc>
        <w:tc>
          <w:tcPr>
            <w:tcW w:type="dxa" w:w="1728"/>
            <w:shd w:val="clear" w:color="auto" w:fill="FFFFFF"/>
          </w:tcPr>
          <w:p>
            <w:pPr>
              <w:spacing w:before="40" w:after="40"/>
            </w:pPr>
            <w:r/>
            <w:r>
              <w:rPr>
                <w:rFonts w:ascii="宋体" w:hAnsi="宋体" w:eastAsia="宋体"/>
                <w:b w:val="0"/>
                <w:i w:val="0"/>
                <w:color w:val="000000"/>
                <w:sz w:val="19"/>
              </w:rPr>
              <w:t>缺乏趋势预判</w:t>
            </w:r>
          </w:p>
        </w:tc>
      </w:tr>
      <w:tr>
        <w:tc>
          <w:tcPr>
            <w:tcW w:type="dxa" w:w="1728"/>
            <w:shd w:val="clear" w:color="auto" w:fill="FFFFFF"/>
          </w:tcPr>
          <w:p>
            <w:pPr>
              <w:spacing w:before="40" w:after="40"/>
            </w:pPr>
            <w:r/>
            <w:r>
              <w:rPr>
                <w:rFonts w:ascii="宋体" w:hAnsi="宋体" w:eastAsia="宋体"/>
                <w:b w:val="0"/>
                <w:i w:val="0"/>
                <w:color w:val="000000"/>
                <w:sz w:val="19"/>
              </w:rPr>
              <w:t>时序异常检测</w:t>
            </w:r>
          </w:p>
        </w:tc>
        <w:tc>
          <w:tcPr>
            <w:tcW w:type="dxa" w:w="1728"/>
            <w:shd w:val="clear" w:color="auto" w:fill="FFFFFF"/>
          </w:tcPr>
          <w:p>
            <w:pPr>
              <w:spacing w:before="40" w:after="40"/>
            </w:pPr>
            <w:r/>
            <w:r>
              <w:rPr>
                <w:rFonts w:ascii="宋体" w:hAnsi="宋体" w:eastAsia="宋体"/>
                <w:b w:val="0"/>
                <w:i w:val="0"/>
                <w:color w:val="000000"/>
                <w:sz w:val="19"/>
              </w:rPr>
              <w:t>一维监测信号</w:t>
            </w:r>
          </w:p>
        </w:tc>
        <w:tc>
          <w:tcPr>
            <w:tcW w:type="dxa" w:w="1728"/>
            <w:shd w:val="clear" w:color="auto" w:fill="FFFFFF"/>
          </w:tcPr>
          <w:p>
            <w:pPr>
              <w:spacing w:before="40" w:after="40"/>
            </w:pPr>
            <w:r/>
            <w:r>
              <w:rPr>
                <w:rFonts w:ascii="宋体" w:hAnsi="宋体" w:eastAsia="宋体"/>
                <w:b w:val="0"/>
                <w:i w:val="0"/>
                <w:color w:val="000000"/>
                <w:sz w:val="19"/>
              </w:rPr>
              <w:t>均值、标准差、异常点索引</w:t>
            </w:r>
          </w:p>
        </w:tc>
        <w:tc>
          <w:tcPr>
            <w:tcW w:type="dxa" w:w="1728"/>
            <w:shd w:val="clear" w:color="auto" w:fill="FFFFFF"/>
          </w:tcPr>
          <w:p>
            <w:pPr>
              <w:spacing w:before="40" w:after="40"/>
            </w:pPr>
            <w:r/>
            <w:r>
              <w:rPr>
                <w:rFonts w:ascii="宋体" w:hAnsi="宋体" w:eastAsia="宋体"/>
                <w:b w:val="0"/>
                <w:i w:val="0"/>
                <w:color w:val="000000"/>
                <w:sz w:val="19"/>
              </w:rPr>
              <w:t>3σ 统计规则</w:t>
            </w:r>
          </w:p>
        </w:tc>
        <w:tc>
          <w:tcPr>
            <w:tcW w:type="dxa" w:w="1728"/>
            <w:shd w:val="clear" w:color="auto" w:fill="FFFFFF"/>
          </w:tcPr>
          <w:p>
            <w:pPr>
              <w:spacing w:before="40" w:after="40"/>
            </w:pPr>
            <w:r/>
            <w:r>
              <w:rPr>
                <w:rFonts w:ascii="宋体" w:hAnsi="宋体" w:eastAsia="宋体"/>
                <w:b w:val="0"/>
                <w:i w:val="0"/>
                <w:color w:val="000000"/>
                <w:sz w:val="19"/>
              </w:rPr>
              <w:t>实时突变识别</w:t>
            </w:r>
          </w:p>
        </w:tc>
      </w:tr>
    </w:tbl>
    <w:p/>
    <w:p>
      <w:r>
        <w:rPr>
          <w:rFonts w:ascii="宋体" w:hAnsi="宋体" w:eastAsia="宋体"/>
          <w:b w:val="0"/>
          <w:i w:val="0"/>
          <w:color w:val="000000"/>
          <w:sz w:val="21"/>
        </w:rPr>
        <w:t>在故障归因工具中，本文构建了"故障层→征兆层"的贝叶斯概率图模型，给定观测征兆 $E$ 时按下式计算各故障的后验概率：</w:t>
      </w:r>
    </w:p>
    <w:p>
      <w:r>
        <w:rPr>
          <w:rFonts w:ascii="宋体" w:hAnsi="宋体" w:eastAsia="宋体"/>
          <w:b w:val="0"/>
          <w:i w:val="0"/>
          <w:color w:val="000000"/>
          <w:sz w:val="21"/>
        </w:rPr>
        <w:t>$$P(F \mid E) \propto P(E \mid F)\,P(F)$$</w:t>
      </w:r>
    </w:p>
    <w:p>
      <w:r>
        <w:rPr>
          <w:rFonts w:ascii="宋体" w:hAnsi="宋体" w:eastAsia="宋体"/>
          <w:b w:val="0"/>
          <w:i w:val="0"/>
          <w:color w:val="000000"/>
          <w:sz w:val="21"/>
        </w:rPr>
        <w:t>并进一步将贝叶斯后验概率与 DL/T 722-2014 三比值法规则的匹配置信度按下式加权融合，兼顾数据驱动推理与领域专家规则：</w:t>
      </w:r>
    </w:p>
    <w:p>
      <w:r>
        <w:rPr>
          <w:rFonts w:ascii="宋体" w:hAnsi="宋体" w:eastAsia="宋体"/>
          <w:b w:val="0"/>
          <w:i w:val="0"/>
          <w:color w:val="000000"/>
          <w:sz w:val="21"/>
        </w:rPr>
        <w:t>$$P_{\text{fused}} = 0.7 \times P_{\text{bayes}} + 0.3 \times C_{\text{rule}}$$</w:t>
      </w:r>
    </w:p>
    <w:p>
      <w:r>
        <w:rPr>
          <w:rFonts w:ascii="宋体" w:hAnsi="宋体" w:eastAsia="宋体"/>
          <w:b w:val="0"/>
          <w:i w:val="0"/>
          <w:color w:val="000000"/>
          <w:sz w:val="21"/>
        </w:rPr>
        <w:t>在油温预测工具中，本文基于六维负载特征 $[\text{HUFL}, \text{HULL}, \text{MUFL}, \text{MULL}, \text{LUFL}, \text{LULL}]$ 以最小二乘法拟合负载与油温的线性关系，并外推未来趋势，配合 3σ 规则检测油温异常，使系统具备从"事后诊断"向"事前预警"延伸的能力。四类工具分别从领域知识、概率归因、趋势预测与实时监测四个维度为诊断提供多源证据。</w:t>
      </w:r>
    </w:p>
    <w:p>
      <w:pPr>
        <w:pStyle w:val="Heading2"/>
        <w:spacing w:before="280"/>
      </w:pPr>
      <w:r>
        <w:rPr>
          <w:rFonts w:ascii="黑体" w:hAnsi="黑体" w:eastAsia="黑体"/>
          <w:b/>
          <w:i w:val="0"/>
          <w:color w:val="1F3A5F"/>
          <w:sz w:val="30"/>
        </w:rPr>
        <w:t>3.4 数据集构建与数据驱动的参数学习</w:t>
      </w:r>
    </w:p>
    <w:p>
      <w:r>
        <w:rPr>
          <w:rFonts w:ascii="宋体" w:hAnsi="宋体" w:eastAsia="宋体"/>
          <w:b w:val="0"/>
          <w:i w:val="0"/>
          <w:color w:val="000000"/>
          <w:sz w:val="21"/>
        </w:rPr>
        <w:t>诊断能力的可靠性来源于充分的数据与知识。本文按"离线学习—在线推断"的设计思想构建系统的数据底座：离线数据用于知识沉淀与模型训练，回答"系统如何获得诊断能力"的问题；在线数据用于实时诊断推断，回答"对当前设备做出何种判断"的问题。二者的分工与作用如表 3-3 所示。</w:t>
      </w:r>
    </w:p>
    <w:p>
      <w:r>
        <w:rPr>
          <w:rFonts w:ascii="宋体" w:hAnsi="宋体" w:eastAsia="宋体"/>
          <w:b/>
          <w:i w:val="0"/>
          <w:color w:val="000000"/>
          <w:sz w:val="21"/>
        </w:rPr>
        <w:t>表 3-3 在线/离线数据的分工与作用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pPr>
              <w:spacing w:before="40" w:after="40"/>
            </w:pPr>
            <w:r>
              <w:rPr>
                <w:b/>
                <w:color w:val="000000"/>
              </w:rPr>
            </w:r>
            <w:r>
              <w:rPr>
                <w:rFonts w:ascii="宋体" w:hAnsi="宋体" w:eastAsia="宋体"/>
                <w:b/>
                <w:i w:val="0"/>
                <w:color w:val="000000"/>
                <w:sz w:val="19"/>
              </w:rPr>
              <w:t>数据类型</w:t>
            </w:r>
          </w:p>
        </w:tc>
        <w:tc>
          <w:tcPr>
            <w:tcW w:type="dxa" w:w="2160"/>
            <w:shd w:val="clear" w:color="auto" w:fill="DCE6F1"/>
          </w:tcPr>
          <w:p>
            <w:pPr>
              <w:spacing w:before="40" w:after="40"/>
            </w:pPr>
            <w:r>
              <w:rPr>
                <w:b/>
                <w:color w:val="000000"/>
              </w:rPr>
            </w:r>
            <w:r>
              <w:rPr>
                <w:rFonts w:ascii="宋体" w:hAnsi="宋体" w:eastAsia="宋体"/>
                <w:b/>
                <w:i w:val="0"/>
                <w:color w:val="000000"/>
                <w:sz w:val="19"/>
              </w:rPr>
              <w:t>具体数据</w:t>
            </w:r>
          </w:p>
        </w:tc>
        <w:tc>
          <w:tcPr>
            <w:tcW w:type="dxa" w:w="2160"/>
            <w:shd w:val="clear" w:color="auto" w:fill="DCE6F1"/>
          </w:tcPr>
          <w:p>
            <w:pPr>
              <w:spacing w:before="40" w:after="40"/>
            </w:pPr>
            <w:r>
              <w:rPr>
                <w:b/>
                <w:color w:val="000000"/>
              </w:rPr>
            </w:r>
            <w:r>
              <w:rPr>
                <w:rFonts w:ascii="宋体" w:hAnsi="宋体" w:eastAsia="宋体"/>
                <w:b/>
                <w:i w:val="0"/>
                <w:color w:val="000000"/>
                <w:sz w:val="19"/>
              </w:rPr>
              <w:t>对应模块</w:t>
            </w:r>
          </w:p>
        </w:tc>
        <w:tc>
          <w:tcPr>
            <w:tcW w:type="dxa" w:w="2160"/>
            <w:shd w:val="clear" w:color="auto" w:fill="DCE6F1"/>
          </w:tcPr>
          <w:p>
            <w:pPr>
              <w:spacing w:before="40" w:after="40"/>
            </w:pPr>
            <w:r>
              <w:rPr>
                <w:b/>
                <w:color w:val="000000"/>
              </w:rPr>
            </w:r>
            <w:r>
              <w:rPr>
                <w:rFonts w:ascii="宋体" w:hAnsi="宋体" w:eastAsia="宋体"/>
                <w:b/>
                <w:i w:val="0"/>
                <w:color w:val="000000"/>
                <w:sz w:val="19"/>
              </w:rPr>
              <w:t>作用</w:t>
            </w:r>
          </w:p>
        </w:tc>
      </w:tr>
      <w:tr>
        <w:tc>
          <w:tcPr>
            <w:tcW w:type="dxa" w:w="2160"/>
            <w:shd w:val="clear" w:color="auto" w:fill="FFFFFF"/>
          </w:tcPr>
          <w:p>
            <w:pPr>
              <w:spacing w:before="40" w:after="40"/>
            </w:pPr>
            <w:r/>
            <w:r>
              <w:rPr>
                <w:rFonts w:ascii="宋体" w:hAnsi="宋体" w:eastAsia="宋体"/>
                <w:b w:val="0"/>
                <w:i w:val="0"/>
                <w:color w:val="000000"/>
                <w:sz w:val="19"/>
              </w:rPr>
              <w:t>离线数据</w:t>
            </w:r>
          </w:p>
        </w:tc>
        <w:tc>
          <w:tcPr>
            <w:tcW w:type="dxa" w:w="2160"/>
            <w:shd w:val="clear" w:color="auto" w:fill="FFFFFF"/>
          </w:tcPr>
          <w:p>
            <w:pPr>
              <w:spacing w:before="40" w:after="40"/>
            </w:pPr>
            <w:r/>
            <w:r>
              <w:rPr>
                <w:rFonts w:ascii="宋体" w:hAnsi="宋体" w:eastAsia="宋体"/>
                <w:b w:val="0"/>
                <w:i w:val="0"/>
                <w:color w:val="000000"/>
                <w:sz w:val="19"/>
              </w:rPr>
              <w:t>ETT 历史时序（国家电网两站约两年负载/油温记录）</w:t>
            </w:r>
          </w:p>
        </w:tc>
        <w:tc>
          <w:tcPr>
            <w:tcW w:type="dxa" w:w="2160"/>
            <w:shd w:val="clear" w:color="auto" w:fill="FFFFFF"/>
          </w:tcPr>
          <w:p>
            <w:pPr>
              <w:spacing w:before="40" w:after="40"/>
            </w:pPr>
            <w:r/>
            <w:r>
              <w:rPr>
                <w:rFonts w:ascii="宋体" w:hAnsi="宋体" w:eastAsia="宋体"/>
                <w:b w:val="0"/>
                <w:i w:val="0"/>
                <w:color w:val="000000"/>
                <w:sz w:val="19"/>
              </w:rPr>
              <w:t>油温预测工具</w:t>
            </w:r>
          </w:p>
        </w:tc>
        <w:tc>
          <w:tcPr>
            <w:tcW w:type="dxa" w:w="2160"/>
            <w:shd w:val="clear" w:color="auto" w:fill="FFFFFF"/>
          </w:tcPr>
          <w:p>
            <w:pPr>
              <w:spacing w:before="40" w:after="40"/>
            </w:pPr>
            <w:r/>
            <w:r>
              <w:rPr>
                <w:rFonts w:ascii="宋体" w:hAnsi="宋体" w:eastAsia="宋体"/>
                <w:b w:val="0"/>
                <w:i w:val="0"/>
                <w:color w:val="000000"/>
                <w:sz w:val="19"/>
              </w:rPr>
              <w:t>训练回归模型、统计异常基准</w:t>
            </w:r>
          </w:p>
        </w:tc>
      </w:tr>
      <w:tr>
        <w:tc>
          <w:tcPr>
            <w:tcW w:type="dxa" w:w="2160"/>
            <w:shd w:val="clear" w:color="auto" w:fill="FFFFFF"/>
          </w:tcPr>
          <w:p>
            <w:pPr>
              <w:spacing w:before="40" w:after="40"/>
            </w:pPr>
            <w:r/>
            <w:r>
              <w:rPr>
                <w:rFonts w:ascii="宋体" w:hAnsi="宋体" w:eastAsia="宋体"/>
                <w:b w:val="0"/>
                <w:i w:val="0"/>
                <w:color w:val="000000"/>
                <w:sz w:val="19"/>
              </w:rPr>
              <w:t>离线数据</w:t>
            </w:r>
          </w:p>
        </w:tc>
        <w:tc>
          <w:tcPr>
            <w:tcW w:type="dxa" w:w="2160"/>
            <w:shd w:val="clear" w:color="auto" w:fill="FFFFFF"/>
          </w:tcPr>
          <w:p>
            <w:pPr>
              <w:spacing w:before="40" w:after="40"/>
            </w:pPr>
            <w:r/>
            <w:r>
              <w:rPr>
                <w:rFonts w:ascii="宋体" w:hAnsi="宋体" w:eastAsia="宋体"/>
                <w:b w:val="0"/>
                <w:i w:val="0"/>
                <w:color w:val="000000"/>
                <w:sz w:val="19"/>
              </w:rPr>
              <w:t>领域文档（检修规程、DGA 标准、故障案例）</w:t>
            </w:r>
          </w:p>
        </w:tc>
        <w:tc>
          <w:tcPr>
            <w:tcW w:type="dxa" w:w="2160"/>
            <w:shd w:val="clear" w:color="auto" w:fill="FFFFFF"/>
          </w:tcPr>
          <w:p>
            <w:pPr>
              <w:spacing w:before="40" w:after="40"/>
            </w:pPr>
            <w:r/>
            <w:r>
              <w:rPr>
                <w:rFonts w:ascii="宋体" w:hAnsi="宋体" w:eastAsia="宋体"/>
                <w:b w:val="0"/>
                <w:i w:val="0"/>
                <w:color w:val="000000"/>
                <w:sz w:val="19"/>
              </w:rPr>
              <w:t>RAG 知识库</w:t>
            </w:r>
          </w:p>
        </w:tc>
        <w:tc>
          <w:tcPr>
            <w:tcW w:type="dxa" w:w="2160"/>
            <w:shd w:val="clear" w:color="auto" w:fill="FFFFFF"/>
          </w:tcPr>
          <w:p>
            <w:pPr>
              <w:spacing w:before="40" w:after="40"/>
            </w:pPr>
            <w:r/>
            <w:r>
              <w:rPr>
                <w:rFonts w:ascii="宋体" w:hAnsi="宋体" w:eastAsia="宋体"/>
                <w:b w:val="0"/>
                <w:i w:val="0"/>
                <w:color w:val="000000"/>
                <w:sz w:val="19"/>
              </w:rPr>
              <w:t>向量化构建可检索知识底座</w:t>
            </w:r>
          </w:p>
        </w:tc>
      </w:tr>
      <w:tr>
        <w:tc>
          <w:tcPr>
            <w:tcW w:type="dxa" w:w="2160"/>
            <w:shd w:val="clear" w:color="auto" w:fill="FFFFFF"/>
          </w:tcPr>
          <w:p>
            <w:pPr>
              <w:spacing w:before="40" w:after="40"/>
            </w:pPr>
            <w:r/>
            <w:r>
              <w:rPr>
                <w:rFonts w:ascii="宋体" w:hAnsi="宋体" w:eastAsia="宋体"/>
                <w:b w:val="0"/>
                <w:i w:val="0"/>
                <w:color w:val="000000"/>
                <w:sz w:val="19"/>
              </w:rPr>
              <w:t>离线数据</w:t>
            </w:r>
          </w:p>
        </w:tc>
        <w:tc>
          <w:tcPr>
            <w:tcW w:type="dxa" w:w="2160"/>
            <w:shd w:val="clear" w:color="auto" w:fill="FFFFFF"/>
          </w:tcPr>
          <w:p>
            <w:pPr>
              <w:spacing w:before="40" w:after="40"/>
            </w:pPr>
            <w:r/>
            <w:r>
              <w:rPr>
                <w:rFonts w:ascii="宋体" w:hAnsi="宋体" w:eastAsia="宋体"/>
                <w:b w:val="0"/>
                <w:i w:val="0"/>
                <w:color w:val="000000"/>
                <w:sz w:val="19"/>
              </w:rPr>
              <w:t>标注 DGA 历史样本</w:t>
            </w:r>
          </w:p>
        </w:tc>
        <w:tc>
          <w:tcPr>
            <w:tcW w:type="dxa" w:w="2160"/>
            <w:shd w:val="clear" w:color="auto" w:fill="FFFFFF"/>
          </w:tcPr>
          <w:p>
            <w:pPr>
              <w:spacing w:before="40" w:after="40"/>
            </w:pPr>
            <w:r/>
            <w:r>
              <w:rPr>
                <w:rFonts w:ascii="宋体" w:hAnsi="宋体" w:eastAsia="宋体"/>
                <w:b w:val="0"/>
                <w:i w:val="0"/>
                <w:color w:val="000000"/>
                <w:sz w:val="19"/>
              </w:rPr>
              <w:t>贝叶斯归因工具</w:t>
            </w:r>
          </w:p>
        </w:tc>
        <w:tc>
          <w:tcPr>
            <w:tcW w:type="dxa" w:w="2160"/>
            <w:shd w:val="clear" w:color="auto" w:fill="FFFFFF"/>
          </w:tcPr>
          <w:p>
            <w:pPr>
              <w:spacing w:before="40" w:after="40"/>
            </w:pPr>
            <w:r/>
            <w:r>
              <w:rPr>
                <w:rFonts w:ascii="宋体" w:hAnsi="宋体" w:eastAsia="宋体"/>
                <w:b w:val="0"/>
                <w:i w:val="0"/>
                <w:color w:val="000000"/>
                <w:sz w:val="19"/>
              </w:rPr>
              <w:t>统计学习先验概率与条件概率表</w:t>
            </w:r>
          </w:p>
        </w:tc>
      </w:tr>
      <w:tr>
        <w:tc>
          <w:tcPr>
            <w:tcW w:type="dxa" w:w="2160"/>
            <w:shd w:val="clear" w:color="auto" w:fill="FFFFFF"/>
          </w:tcPr>
          <w:p>
            <w:pPr>
              <w:spacing w:before="40" w:after="40"/>
            </w:pPr>
            <w:r/>
            <w:r>
              <w:rPr>
                <w:rFonts w:ascii="宋体" w:hAnsi="宋体" w:eastAsia="宋体"/>
                <w:b w:val="0"/>
                <w:i w:val="0"/>
                <w:color w:val="000000"/>
                <w:sz w:val="19"/>
              </w:rPr>
              <w:t>在线数据</w:t>
            </w:r>
          </w:p>
        </w:tc>
        <w:tc>
          <w:tcPr>
            <w:tcW w:type="dxa" w:w="2160"/>
            <w:shd w:val="clear" w:color="auto" w:fill="FFFFFF"/>
          </w:tcPr>
          <w:p>
            <w:pPr>
              <w:spacing w:before="40" w:after="40"/>
            </w:pPr>
            <w:r/>
            <w:r>
              <w:rPr>
                <w:rFonts w:ascii="宋体" w:hAnsi="宋体" w:eastAsia="宋体"/>
                <w:b w:val="0"/>
                <w:i w:val="0"/>
                <w:color w:val="000000"/>
                <w:sz w:val="19"/>
              </w:rPr>
              <w:t>实时 DGA 化验、油温、负载、振动等监测量</w:t>
            </w:r>
          </w:p>
        </w:tc>
        <w:tc>
          <w:tcPr>
            <w:tcW w:type="dxa" w:w="2160"/>
            <w:shd w:val="clear" w:color="auto" w:fill="FFFFFF"/>
          </w:tcPr>
          <w:p>
            <w:pPr>
              <w:spacing w:before="40" w:after="40"/>
            </w:pPr>
            <w:r/>
            <w:r>
              <w:rPr>
                <w:rFonts w:ascii="宋体" w:hAnsi="宋体" w:eastAsia="宋体"/>
                <w:b w:val="0"/>
                <w:i w:val="0"/>
                <w:color w:val="000000"/>
                <w:sz w:val="19"/>
              </w:rPr>
              <w:t>各推断模型</w:t>
            </w:r>
          </w:p>
        </w:tc>
        <w:tc>
          <w:tcPr>
            <w:tcW w:type="dxa" w:w="2160"/>
            <w:shd w:val="clear" w:color="auto" w:fill="FFFFFF"/>
          </w:tcPr>
          <w:p>
            <w:pPr>
              <w:spacing w:before="40" w:after="40"/>
            </w:pPr>
            <w:r/>
            <w:r>
              <w:rPr>
                <w:rFonts w:ascii="宋体" w:hAnsi="宋体" w:eastAsia="宋体"/>
                <w:b w:val="0"/>
                <w:i w:val="0"/>
                <w:color w:val="000000"/>
                <w:sz w:val="19"/>
              </w:rPr>
              <w:t>作为观测证据进行实时诊断</w:t>
            </w:r>
          </w:p>
        </w:tc>
      </w:tr>
    </w:tbl>
    <w:p/>
    <w:p>
      <w:pPr>
        <w:pStyle w:val="Heading3"/>
        <w:spacing w:before="200"/>
      </w:pPr>
      <w:r>
        <w:rPr>
          <w:rFonts w:ascii="黑体" w:hAnsi="黑体" w:eastAsia="黑体"/>
          <w:b/>
          <w:i w:val="0"/>
          <w:color w:val="1F3A5F"/>
          <w:sz w:val="25"/>
        </w:rPr>
        <w:t>3.4.1 数据集构建</w:t>
      </w:r>
    </w:p>
    <w:p>
      <w:r>
        <w:rPr>
          <w:rFonts w:ascii="宋体" w:hAnsi="宋体" w:eastAsia="宋体"/>
          <w:b w:val="0"/>
          <w:i w:val="0"/>
          <w:color w:val="000000"/>
          <w:sz w:val="21"/>
        </w:rPr>
        <w:t>为支撑模型训练与系统评测，本文按照统一的数据规范（schema）构建了四类数据集，使其在故障标签、征兆字段与气体浓度上相互对齐，并可在后续用真实现场数据按相同规范直接替换。各数据集的构建遵循变压器故障的物理机理，依据 DL/T 722—2014 三比值法与产气特征，为每类故障生成自洽的气体分布，保证数据标签与特征的强相关性。已构建的数据集规模如表 3-4 所示。</w:t>
      </w:r>
    </w:p>
    <w:p>
      <w:r>
        <w:rPr>
          <w:rFonts w:ascii="宋体" w:hAnsi="宋体" w:eastAsia="宋体"/>
          <w:b/>
          <w:i w:val="0"/>
          <w:color w:val="000000"/>
          <w:sz w:val="21"/>
        </w:rPr>
        <w:t>表 3-4 已构建数据集规模</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CE6F1"/>
          </w:tcPr>
          <w:p>
            <w:pPr>
              <w:spacing w:before="40" w:after="40"/>
            </w:pPr>
            <w:r>
              <w:rPr>
                <w:b/>
                <w:color w:val="000000"/>
              </w:rPr>
            </w:r>
            <w:r>
              <w:rPr>
                <w:rFonts w:ascii="宋体" w:hAnsi="宋体" w:eastAsia="宋体"/>
                <w:b/>
                <w:i w:val="0"/>
                <w:color w:val="000000"/>
                <w:sz w:val="19"/>
              </w:rPr>
              <w:t>数据集</w:t>
            </w:r>
          </w:p>
        </w:tc>
        <w:tc>
          <w:tcPr>
            <w:tcW w:type="dxa" w:w="2880"/>
            <w:shd w:val="clear" w:color="auto" w:fill="DCE6F1"/>
          </w:tcPr>
          <w:p>
            <w:pPr>
              <w:spacing w:before="40" w:after="40"/>
            </w:pPr>
            <w:r>
              <w:rPr>
                <w:b/>
                <w:color w:val="000000"/>
              </w:rPr>
            </w:r>
            <w:r>
              <w:rPr>
                <w:rFonts w:ascii="宋体" w:hAnsi="宋体" w:eastAsia="宋体"/>
                <w:b/>
                <w:i w:val="0"/>
                <w:color w:val="000000"/>
                <w:sz w:val="19"/>
              </w:rPr>
              <w:t>规模</w:t>
            </w:r>
          </w:p>
        </w:tc>
        <w:tc>
          <w:tcPr>
            <w:tcW w:type="dxa" w:w="2880"/>
            <w:shd w:val="clear" w:color="auto" w:fill="DCE6F1"/>
          </w:tcPr>
          <w:p>
            <w:pPr>
              <w:spacing w:before="40" w:after="40"/>
            </w:pPr>
            <w:r>
              <w:rPr>
                <w:b/>
                <w:color w:val="000000"/>
              </w:rPr>
            </w:r>
            <w:r>
              <w:rPr>
                <w:rFonts w:ascii="宋体" w:hAnsi="宋体" w:eastAsia="宋体"/>
                <w:b/>
                <w:i w:val="0"/>
                <w:color w:val="000000"/>
                <w:sz w:val="19"/>
              </w:rPr>
              <w:t>用途</w:t>
            </w:r>
          </w:p>
        </w:tc>
      </w:tr>
      <w:tr>
        <w:tc>
          <w:tcPr>
            <w:tcW w:type="dxa" w:w="2880"/>
            <w:shd w:val="clear" w:color="auto" w:fill="FFFFFF"/>
          </w:tcPr>
          <w:p>
            <w:pPr>
              <w:spacing w:before="40" w:after="40"/>
            </w:pPr>
            <w:r/>
            <w:r>
              <w:rPr>
                <w:rFonts w:ascii="宋体" w:hAnsi="宋体" w:eastAsia="宋体"/>
                <w:b w:val="0"/>
                <w:i w:val="0"/>
                <w:color w:val="000000"/>
                <w:sz w:val="19"/>
              </w:rPr>
              <w:t>标注 DGA 样本集</w:t>
            </w:r>
          </w:p>
        </w:tc>
        <w:tc>
          <w:tcPr>
            <w:tcW w:type="dxa" w:w="2880"/>
            <w:shd w:val="clear" w:color="auto" w:fill="FFFFFF"/>
          </w:tcPr>
          <w:p>
            <w:pPr>
              <w:spacing w:before="40" w:after="40"/>
            </w:pPr>
            <w:r/>
            <w:r>
              <w:rPr>
                <w:rFonts w:ascii="宋体" w:hAnsi="宋体" w:eastAsia="宋体"/>
                <w:b w:val="0"/>
                <w:i w:val="0"/>
                <w:color w:val="000000"/>
                <w:sz w:val="19"/>
              </w:rPr>
              <w:t>5143 条</w:t>
            </w:r>
          </w:p>
        </w:tc>
        <w:tc>
          <w:tcPr>
            <w:tcW w:type="dxa" w:w="2880"/>
            <w:shd w:val="clear" w:color="auto" w:fill="FFFFFF"/>
          </w:tcPr>
          <w:p>
            <w:pPr>
              <w:spacing w:before="40" w:after="40"/>
            </w:pPr>
            <w:r/>
            <w:r>
              <w:rPr>
                <w:rFonts w:ascii="宋体" w:hAnsi="宋体" w:eastAsia="宋体"/>
                <w:b w:val="0"/>
                <w:i w:val="0"/>
                <w:color w:val="000000"/>
                <w:sz w:val="19"/>
              </w:rPr>
              <w:t>贝叶斯网络参数学习（先验与 CPT）</w:t>
            </w:r>
          </w:p>
        </w:tc>
      </w:tr>
      <w:tr>
        <w:tc>
          <w:tcPr>
            <w:tcW w:type="dxa" w:w="2880"/>
            <w:shd w:val="clear" w:color="auto" w:fill="FFFFFF"/>
          </w:tcPr>
          <w:p>
            <w:pPr>
              <w:spacing w:before="40" w:after="40"/>
            </w:pPr>
            <w:r/>
            <w:r>
              <w:rPr>
                <w:rFonts w:ascii="宋体" w:hAnsi="宋体" w:eastAsia="宋体"/>
                <w:b w:val="0"/>
                <w:i w:val="0"/>
                <w:color w:val="000000"/>
                <w:sz w:val="19"/>
              </w:rPr>
              <w:t>DGA 评测样本集</w:t>
            </w:r>
          </w:p>
        </w:tc>
        <w:tc>
          <w:tcPr>
            <w:tcW w:type="dxa" w:w="2880"/>
            <w:shd w:val="clear" w:color="auto" w:fill="FFFFFF"/>
          </w:tcPr>
          <w:p>
            <w:pPr>
              <w:spacing w:before="40" w:after="40"/>
            </w:pPr>
            <w:r/>
            <w:r>
              <w:rPr>
                <w:rFonts w:ascii="宋体" w:hAnsi="宋体" w:eastAsia="宋体"/>
                <w:b w:val="0"/>
                <w:i w:val="0"/>
                <w:color w:val="000000"/>
                <w:sz w:val="19"/>
              </w:rPr>
              <w:t>3000 条（含 8 类故障 + 正常）</w:t>
            </w:r>
          </w:p>
        </w:tc>
        <w:tc>
          <w:tcPr>
            <w:tcW w:type="dxa" w:w="2880"/>
            <w:shd w:val="clear" w:color="auto" w:fill="FFFFFF"/>
          </w:tcPr>
          <w:p>
            <w:pPr>
              <w:spacing w:before="40" w:after="40"/>
            </w:pPr>
            <w:r/>
            <w:r>
              <w:rPr>
                <w:rFonts w:ascii="宋体" w:hAnsi="宋体" w:eastAsia="宋体"/>
                <w:b w:val="0"/>
                <w:i w:val="0"/>
                <w:color w:val="000000"/>
                <w:sz w:val="19"/>
              </w:rPr>
              <w:t>故障归因引擎分类性能评测</w:t>
            </w:r>
          </w:p>
        </w:tc>
      </w:tr>
      <w:tr>
        <w:tc>
          <w:tcPr>
            <w:tcW w:type="dxa" w:w="2880"/>
            <w:shd w:val="clear" w:color="auto" w:fill="FFFFFF"/>
          </w:tcPr>
          <w:p>
            <w:pPr>
              <w:spacing w:before="40" w:after="40"/>
            </w:pPr>
            <w:r/>
            <w:r>
              <w:rPr>
                <w:rFonts w:ascii="宋体" w:hAnsi="宋体" w:eastAsia="宋体"/>
                <w:b w:val="0"/>
                <w:i w:val="0"/>
                <w:color w:val="000000"/>
                <w:sz w:val="19"/>
              </w:rPr>
              <w:t>故障案例库</w:t>
            </w:r>
          </w:p>
        </w:tc>
        <w:tc>
          <w:tcPr>
            <w:tcW w:type="dxa" w:w="2880"/>
            <w:shd w:val="clear" w:color="auto" w:fill="FFFFFF"/>
          </w:tcPr>
          <w:p>
            <w:pPr>
              <w:spacing w:before="40" w:after="40"/>
            </w:pPr>
            <w:r/>
            <w:r>
              <w:rPr>
                <w:rFonts w:ascii="宋体" w:hAnsi="宋体" w:eastAsia="宋体"/>
                <w:b w:val="0"/>
                <w:i w:val="0"/>
                <w:color w:val="000000"/>
                <w:sz w:val="19"/>
              </w:rPr>
              <w:t>200 条</w:t>
            </w:r>
          </w:p>
        </w:tc>
        <w:tc>
          <w:tcPr>
            <w:tcW w:type="dxa" w:w="2880"/>
            <w:shd w:val="clear" w:color="auto" w:fill="FFFFFF"/>
          </w:tcPr>
          <w:p>
            <w:pPr>
              <w:spacing w:before="40" w:after="40"/>
            </w:pPr>
            <w:r/>
            <w:r>
              <w:rPr>
                <w:rFonts w:ascii="宋体" w:hAnsi="宋体" w:eastAsia="宋体"/>
                <w:b w:val="0"/>
                <w:i w:val="0"/>
                <w:color w:val="000000"/>
                <w:sz w:val="19"/>
              </w:rPr>
              <w:t>RAG 检索的案例知识来源</w:t>
            </w:r>
          </w:p>
        </w:tc>
      </w:tr>
      <w:tr>
        <w:tc>
          <w:tcPr>
            <w:tcW w:type="dxa" w:w="2880"/>
            <w:shd w:val="clear" w:color="auto" w:fill="FFFFFF"/>
          </w:tcPr>
          <w:p>
            <w:pPr>
              <w:spacing w:before="40" w:after="40"/>
            </w:pPr>
            <w:r/>
            <w:r>
              <w:rPr>
                <w:rFonts w:ascii="宋体" w:hAnsi="宋体" w:eastAsia="宋体"/>
                <w:b w:val="0"/>
                <w:i w:val="0"/>
                <w:color w:val="000000"/>
                <w:sz w:val="19"/>
              </w:rPr>
              <w:t>端到端评测集</w:t>
            </w:r>
          </w:p>
        </w:tc>
        <w:tc>
          <w:tcPr>
            <w:tcW w:type="dxa" w:w="2880"/>
            <w:shd w:val="clear" w:color="auto" w:fill="FFFFFF"/>
          </w:tcPr>
          <w:p>
            <w:pPr>
              <w:spacing w:before="40" w:after="40"/>
            </w:pPr>
            <w:r/>
            <w:r>
              <w:rPr>
                <w:rFonts w:ascii="宋体" w:hAnsi="宋体" w:eastAsia="宋体"/>
                <w:b w:val="0"/>
                <w:i w:val="0"/>
                <w:color w:val="000000"/>
                <w:sz w:val="19"/>
              </w:rPr>
              <w:t>120 条</w:t>
            </w:r>
          </w:p>
        </w:tc>
        <w:tc>
          <w:tcPr>
            <w:tcW w:type="dxa" w:w="2880"/>
            <w:shd w:val="clear" w:color="auto" w:fill="FFFFFF"/>
          </w:tcPr>
          <w:p>
            <w:pPr>
              <w:spacing w:before="40" w:after="40"/>
            </w:pPr>
            <w:r/>
            <w:r>
              <w:rPr>
                <w:rFonts w:ascii="宋体" w:hAnsi="宋体" w:eastAsia="宋体"/>
                <w:b w:val="0"/>
                <w:i w:val="0"/>
                <w:color w:val="000000"/>
                <w:sz w:val="19"/>
              </w:rPr>
              <w:t>多智能体系统整体效果评测</w:t>
            </w:r>
          </w:p>
        </w:tc>
      </w:tr>
    </w:tbl>
    <w:p/>
    <w:p>
      <w:r>
        <w:rPr>
          <w:rFonts w:ascii="宋体" w:hAnsi="宋体" w:eastAsia="宋体"/>
          <w:b w:val="0"/>
          <w:i w:val="0"/>
          <w:color w:val="000000"/>
          <w:sz w:val="21"/>
        </w:rPr>
        <w:t>其中，端到端评测集的每条样本均包含真实的用户查询（含设备型号、运行年限与气体浓度）、设备上下文，以及标注了预期主故障、关键诊断要点与安全提示要求的"标准答案"，从而支持对系统诊断结论的多维度自动化评估。</w:t>
      </w:r>
    </w:p>
    <w:p>
      <w:pPr>
        <w:pStyle w:val="Heading3"/>
        <w:spacing w:before="200"/>
      </w:pPr>
      <w:r>
        <w:rPr>
          <w:rFonts w:ascii="黑体" w:hAnsi="黑体" w:eastAsia="黑体"/>
          <w:b/>
          <w:i w:val="0"/>
          <w:color w:val="1F3A5F"/>
          <w:sz w:val="25"/>
        </w:rPr>
        <w:t>3.4.2 数据驱动的贝叶斯参数学习</w:t>
      </w:r>
    </w:p>
    <w:p>
      <w:r>
        <w:rPr>
          <w:rFonts w:ascii="宋体" w:hAnsi="宋体" w:eastAsia="宋体"/>
          <w:b w:val="0"/>
          <w:i w:val="0"/>
          <w:color w:val="000000"/>
          <w:sz w:val="21"/>
        </w:rPr>
        <w:t>针对贝叶斯网络参数传统上依赖专家经验设定、主观性强且难以泛化的问题，本文基于真实标注 DGA 数据，采用极大似然估计结合拉普拉斯平滑（Laplace add-k）的方法统计学习网络参数，包括故障先验概率 $P(F)$ 与条件概率表 $P(S \mid F)$。</w:t>
      </w:r>
    </w:p>
    <w:p>
      <w:r>
        <w:rPr>
          <w:rFonts w:ascii="宋体" w:hAnsi="宋体" w:eastAsia="宋体"/>
          <w:b w:val="0"/>
          <w:i w:val="0"/>
          <w:color w:val="000000"/>
          <w:sz w:val="21"/>
        </w:rPr>
        <w:t>故障先验概率由各故障类别的样本频率估计：</w:t>
      </w:r>
    </w:p>
    <w:p>
      <w:r>
        <w:rPr>
          <w:rFonts w:ascii="宋体" w:hAnsi="宋体" w:eastAsia="宋体"/>
          <w:b w:val="0"/>
          <w:i w:val="0"/>
          <w:color w:val="000000"/>
          <w:sz w:val="21"/>
        </w:rPr>
        <w:t>$$P(F) = \frac{N(F) + \alpha}{N + \alpha \cdot K}$$</w:t>
      </w:r>
    </w:p>
    <w:p>
      <w:r>
        <w:rPr>
          <w:rFonts w:ascii="宋体" w:hAnsi="宋体" w:eastAsia="宋体"/>
          <w:b w:val="0"/>
          <w:i w:val="0"/>
          <w:color w:val="000000"/>
          <w:sz w:val="21"/>
        </w:rPr>
        <w:t>其中 $N(F)$ 为故障 $F$ 的样本数，$N$ 为样本总数，$K$ 为故障类别数。条件概率表中，征兆 $S$ 在故障 $F$ 发生与不发生时出现的概率分别按下式估计：</w:t>
      </w:r>
    </w:p>
    <w:p>
      <w:r>
        <w:rPr>
          <w:rFonts w:ascii="宋体" w:hAnsi="宋体" w:eastAsia="宋体"/>
          <w:b w:val="0"/>
          <w:i w:val="0"/>
          <w:color w:val="000000"/>
          <w:sz w:val="21"/>
        </w:rPr>
        <w:t>$$P(S{=}\text{True} \mid F) = \frac{N(S{=}\text{True}, F) + \alpha}{N(F) + 2\alpha}, \quad P(S{=}\text{True} \mid \neg F) = \frac{N(S{=}\text{True}, \neg F) + \alpha}{N(\neg F) + 2\alpha}$$</w:t>
      </w:r>
    </w:p>
    <w:p>
      <w:r>
        <w:rPr>
          <w:rFonts w:ascii="宋体" w:hAnsi="宋体" w:eastAsia="宋体"/>
          <w:b w:val="0"/>
          <w:i w:val="0"/>
          <w:color w:val="000000"/>
          <w:sz w:val="21"/>
        </w:rPr>
        <w:t>平滑系数 $\alpha$（取 1.0）用于避免零概率导致似然连乘时的概率塌缩问题。为客观评估参数学习的有效性，本文采用留出法将标注样本按 7∶3 划分为训练集与测试集，仅在训练集上学习参数，并在测试集上对比"专家先验参数"与"数据驱动参数"的诊断准确率。学习得到的参数以独立参数文件形式持久化，供归因引擎在推断时加载，从而在保持模型结构可解释的前提下，以数据驱动方式替代专家先验，提升了归因的客观性与泛化能力。</w:t>
      </w:r>
    </w:p>
    <w:p>
      <w:pPr>
        <w:pStyle w:val="Heading2"/>
        <w:spacing w:before="280"/>
      </w:pPr>
      <w:r>
        <w:rPr>
          <w:rFonts w:ascii="黑体" w:hAnsi="黑体" w:eastAsia="黑体"/>
          <w:b/>
          <w:i w:val="0"/>
          <w:color w:val="1F3A5F"/>
          <w:sz w:val="30"/>
        </w:rPr>
        <w:t>3.5 系统评测与实验验证</w:t>
      </w:r>
    </w:p>
    <w:p>
      <w:r>
        <w:rPr>
          <w:rFonts w:ascii="宋体" w:hAnsi="宋体" w:eastAsia="宋体"/>
          <w:b w:val="0"/>
          <w:i w:val="0"/>
          <w:color w:val="000000"/>
          <w:sz w:val="21"/>
        </w:rPr>
        <w:t>为客观量化系统能力，本文设计并实现了两套相互补充的评测框架，分别从"核心归因能力"与"系统整体效果"两个层面对系统进行评估。</w:t>
      </w:r>
    </w:p>
    <w:p>
      <w:pPr>
        <w:pStyle w:val="Heading3"/>
        <w:spacing w:before="200"/>
      </w:pPr>
      <w:r>
        <w:rPr>
          <w:rFonts w:ascii="黑体" w:hAnsi="黑体" w:eastAsia="黑体"/>
          <w:b/>
          <w:i w:val="0"/>
          <w:color w:val="1F3A5F"/>
          <w:sz w:val="25"/>
        </w:rPr>
        <w:t>3.5.1 故障归因引擎评测</w:t>
      </w:r>
    </w:p>
    <w:p>
      <w:r>
        <w:rPr>
          <w:rFonts w:ascii="宋体" w:hAnsi="宋体" w:eastAsia="宋体"/>
          <w:b w:val="0"/>
          <w:i w:val="0"/>
          <w:color w:val="000000"/>
          <w:sz w:val="21"/>
        </w:rPr>
        <w:t>故障归因是本系统诊断可信度的核心来源，因此本文首先对其进行独立评测。该评测属确定性评测，不依赖大模型与外部网络，以带真实标签的 DGA 数据驱动归因引擎，逐样本计算预测故障与真实标签的吻合程度，所采用的评测指标及其含义如表 3-5 所示。</w:t>
      </w:r>
    </w:p>
    <w:p>
      <w:r>
        <w:rPr>
          <w:rFonts w:ascii="宋体" w:hAnsi="宋体" w:eastAsia="宋体"/>
          <w:b/>
          <w:i w:val="0"/>
          <w:color w:val="000000"/>
          <w:sz w:val="21"/>
        </w:rPr>
        <w:t>表 3-5 故障归因引擎评测指标</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b/>
                <w:color w:val="000000"/>
              </w:rPr>
            </w:r>
            <w:r>
              <w:rPr>
                <w:rFonts w:ascii="宋体" w:hAnsi="宋体" w:eastAsia="宋体"/>
                <w:b/>
                <w:i w:val="0"/>
                <w:color w:val="000000"/>
                <w:sz w:val="19"/>
              </w:rPr>
              <w:t>指标</w:t>
            </w:r>
          </w:p>
        </w:tc>
        <w:tc>
          <w:tcPr>
            <w:tcW w:type="dxa" w:w="4320"/>
            <w:shd w:val="clear" w:color="auto" w:fill="DCE6F1"/>
          </w:tcPr>
          <w:p>
            <w:pPr>
              <w:spacing w:before="40" w:after="40"/>
            </w:pPr>
            <w:r>
              <w:rPr>
                <w:b/>
                <w:color w:val="000000"/>
              </w:rPr>
            </w:r>
            <w:r>
              <w:rPr>
                <w:rFonts w:ascii="宋体" w:hAnsi="宋体" w:eastAsia="宋体"/>
                <w:b/>
                <w:i w:val="0"/>
                <w:color w:val="000000"/>
                <w:sz w:val="19"/>
              </w:rPr>
              <w:t>含义</w:t>
            </w:r>
          </w:p>
        </w:tc>
      </w:tr>
      <w:tr>
        <w:tc>
          <w:tcPr>
            <w:tcW w:type="dxa" w:w="4320"/>
            <w:shd w:val="clear" w:color="auto" w:fill="FFFFFF"/>
          </w:tcPr>
          <w:p>
            <w:pPr>
              <w:spacing w:before="40" w:after="40"/>
            </w:pPr>
            <w:r/>
            <w:r>
              <w:rPr>
                <w:rFonts w:ascii="宋体" w:hAnsi="宋体" w:eastAsia="宋体"/>
                <w:b w:val="0"/>
                <w:i w:val="0"/>
                <w:color w:val="000000"/>
                <w:sz w:val="19"/>
              </w:rPr>
              <w:t>Top-1 准确率</w:t>
            </w:r>
          </w:p>
        </w:tc>
        <w:tc>
          <w:tcPr>
            <w:tcW w:type="dxa" w:w="4320"/>
            <w:shd w:val="clear" w:color="auto" w:fill="FFFFFF"/>
          </w:tcPr>
          <w:p>
            <w:pPr>
              <w:spacing w:before="40" w:after="40"/>
            </w:pPr>
            <w:r/>
            <w:r>
              <w:rPr>
                <w:rFonts w:ascii="宋体" w:hAnsi="宋体" w:eastAsia="宋体"/>
                <w:b w:val="0"/>
                <w:i w:val="0"/>
                <w:color w:val="000000"/>
                <w:sz w:val="19"/>
              </w:rPr>
              <w:t>主故障预测正确的样本比例</w:t>
            </w:r>
          </w:p>
        </w:tc>
      </w:tr>
      <w:tr>
        <w:tc>
          <w:tcPr>
            <w:tcW w:type="dxa" w:w="4320"/>
            <w:shd w:val="clear" w:color="auto" w:fill="FFFFFF"/>
          </w:tcPr>
          <w:p>
            <w:pPr>
              <w:spacing w:before="40" w:after="40"/>
            </w:pPr>
            <w:r/>
            <w:r>
              <w:rPr>
                <w:rFonts w:ascii="宋体" w:hAnsi="宋体" w:eastAsia="宋体"/>
                <w:b w:val="0"/>
                <w:i w:val="0"/>
                <w:color w:val="000000"/>
                <w:sz w:val="19"/>
              </w:rPr>
              <w:t>Top-3 命中率</w:t>
            </w:r>
          </w:p>
        </w:tc>
        <w:tc>
          <w:tcPr>
            <w:tcW w:type="dxa" w:w="4320"/>
            <w:shd w:val="clear" w:color="auto" w:fill="FFFFFF"/>
          </w:tcPr>
          <w:p>
            <w:pPr>
              <w:spacing w:before="40" w:after="40"/>
            </w:pPr>
            <w:r/>
            <w:r>
              <w:rPr>
                <w:rFonts w:ascii="宋体" w:hAnsi="宋体" w:eastAsia="宋体"/>
                <w:b w:val="0"/>
                <w:i w:val="0"/>
                <w:color w:val="000000"/>
                <w:sz w:val="19"/>
              </w:rPr>
              <w:t>真实故障落在前三候选内的比例</w:t>
            </w:r>
          </w:p>
        </w:tc>
      </w:tr>
      <w:tr>
        <w:tc>
          <w:tcPr>
            <w:tcW w:type="dxa" w:w="4320"/>
            <w:shd w:val="clear" w:color="auto" w:fill="FFFFFF"/>
          </w:tcPr>
          <w:p>
            <w:pPr>
              <w:spacing w:before="40" w:after="40"/>
            </w:pPr>
            <w:r/>
            <w:r>
              <w:rPr>
                <w:rFonts w:ascii="宋体" w:hAnsi="宋体" w:eastAsia="宋体"/>
                <w:b w:val="0"/>
                <w:i w:val="0"/>
                <w:color w:val="000000"/>
                <w:sz w:val="19"/>
              </w:rPr>
              <w:t>Precision / Recall / F1</w:t>
            </w:r>
          </w:p>
        </w:tc>
        <w:tc>
          <w:tcPr>
            <w:tcW w:type="dxa" w:w="4320"/>
            <w:shd w:val="clear" w:color="auto" w:fill="FFFFFF"/>
          </w:tcPr>
          <w:p>
            <w:pPr>
              <w:spacing w:before="40" w:after="40"/>
            </w:pPr>
            <w:r/>
            <w:r>
              <w:rPr>
                <w:rFonts w:ascii="宋体" w:hAnsi="宋体" w:eastAsia="宋体"/>
                <w:b w:val="0"/>
                <w:i w:val="0"/>
                <w:color w:val="000000"/>
                <w:sz w:val="19"/>
              </w:rPr>
              <w:t>各故障类别的精确率、召回率与 F1（含宏平均、加权平均）</w:t>
            </w:r>
          </w:p>
        </w:tc>
      </w:tr>
      <w:tr>
        <w:tc>
          <w:tcPr>
            <w:tcW w:type="dxa" w:w="4320"/>
            <w:shd w:val="clear" w:color="auto" w:fill="FFFFFF"/>
          </w:tcPr>
          <w:p>
            <w:pPr>
              <w:spacing w:before="40" w:after="40"/>
            </w:pPr>
            <w:r/>
            <w:r>
              <w:rPr>
                <w:rFonts w:ascii="宋体" w:hAnsi="宋体" w:eastAsia="宋体"/>
                <w:b w:val="0"/>
                <w:i w:val="0"/>
                <w:color w:val="000000"/>
                <w:sz w:val="19"/>
              </w:rPr>
              <w:t>混淆矩阵</w:t>
            </w:r>
          </w:p>
        </w:tc>
        <w:tc>
          <w:tcPr>
            <w:tcW w:type="dxa" w:w="4320"/>
            <w:shd w:val="clear" w:color="auto" w:fill="FFFFFF"/>
          </w:tcPr>
          <w:p>
            <w:pPr>
              <w:spacing w:before="40" w:after="40"/>
            </w:pPr>
            <w:r/>
            <w:r>
              <w:rPr>
                <w:rFonts w:ascii="宋体" w:hAnsi="宋体" w:eastAsia="宋体"/>
                <w:b w:val="0"/>
                <w:i w:val="0"/>
                <w:color w:val="000000"/>
                <w:sz w:val="19"/>
              </w:rPr>
              <w:t>真实标签与预测标签的分布情况</w:t>
            </w:r>
          </w:p>
        </w:tc>
      </w:tr>
      <w:tr>
        <w:tc>
          <w:tcPr>
            <w:tcW w:type="dxa" w:w="4320"/>
            <w:shd w:val="clear" w:color="auto" w:fill="FFFFFF"/>
          </w:tcPr>
          <w:p>
            <w:pPr>
              <w:spacing w:before="40" w:after="40"/>
            </w:pPr>
            <w:r/>
            <w:r>
              <w:rPr>
                <w:rFonts w:ascii="宋体" w:hAnsi="宋体" w:eastAsia="宋体"/>
                <w:b w:val="0"/>
                <w:i w:val="0"/>
                <w:color w:val="000000"/>
                <w:sz w:val="19"/>
              </w:rPr>
              <w:t>置信度校准性</w:t>
            </w:r>
          </w:p>
        </w:tc>
        <w:tc>
          <w:tcPr>
            <w:tcW w:type="dxa" w:w="4320"/>
            <w:shd w:val="clear" w:color="auto" w:fill="FFFFFF"/>
          </w:tcPr>
          <w:p>
            <w:pPr>
              <w:spacing w:before="40" w:after="40"/>
            </w:pPr>
            <w:r/>
            <w:r>
              <w:rPr>
                <w:rFonts w:ascii="宋体" w:hAnsi="宋体" w:eastAsia="宋体"/>
                <w:b w:val="0"/>
                <w:i w:val="0"/>
                <w:color w:val="000000"/>
                <w:sz w:val="19"/>
              </w:rPr>
              <w:t>正确与错误预测的平均置信度对比</w:t>
            </w:r>
          </w:p>
        </w:tc>
      </w:tr>
      <w:tr>
        <w:tc>
          <w:tcPr>
            <w:tcW w:type="dxa" w:w="4320"/>
            <w:shd w:val="clear" w:color="auto" w:fill="FFFFFF"/>
          </w:tcPr>
          <w:p>
            <w:pPr>
              <w:spacing w:before="40" w:after="40"/>
            </w:pPr>
            <w:r/>
            <w:r>
              <w:rPr>
                <w:rFonts w:ascii="宋体" w:hAnsi="宋体" w:eastAsia="宋体"/>
                <w:b w:val="0"/>
                <w:i w:val="0"/>
                <w:color w:val="000000"/>
                <w:sz w:val="19"/>
              </w:rPr>
              <w:t>高危故障召回率</w:t>
            </w:r>
          </w:p>
        </w:tc>
        <w:tc>
          <w:tcPr>
            <w:tcW w:type="dxa" w:w="4320"/>
            <w:shd w:val="clear" w:color="auto" w:fill="FFFFFF"/>
          </w:tcPr>
          <w:p>
            <w:pPr>
              <w:spacing w:before="40" w:after="40"/>
            </w:pPr>
            <w:r/>
            <w:r>
              <w:rPr>
                <w:rFonts w:ascii="宋体" w:hAnsi="宋体" w:eastAsia="宋体"/>
                <w:b w:val="0"/>
                <w:i w:val="0"/>
                <w:color w:val="000000"/>
                <w:sz w:val="19"/>
              </w:rPr>
              <w:t>分严重程度统计，评估高危故障是否漏诊</w:t>
            </w:r>
          </w:p>
        </w:tc>
      </w:tr>
    </w:tbl>
    <w:p/>
    <w:p>
      <w:r>
        <w:rPr>
          <w:rFonts w:ascii="宋体" w:hAnsi="宋体" w:eastAsia="宋体"/>
          <w:b w:val="0"/>
          <w:i w:val="0"/>
          <w:color w:val="000000"/>
          <w:sz w:val="21"/>
        </w:rPr>
        <w:t xml:space="preserve">在 3000 条 DGA 样本（剔除正常样本后为 1803 条故障样本）上的评测结果显示，归因引擎的 </w:t>
      </w:r>
      <w:r>
        <w:rPr>
          <w:rFonts w:ascii="宋体" w:hAnsi="宋体" w:eastAsia="宋体"/>
          <w:b/>
          <w:i w:val="0"/>
          <w:color w:val="000000"/>
          <w:sz w:val="21"/>
        </w:rPr>
        <w:t>Top-3 命中率达到 88.5%</w:t>
      </w:r>
      <w:r>
        <w:rPr>
          <w:rFonts w:ascii="宋体" w:hAnsi="宋体" w:eastAsia="宋体"/>
          <w:b w:val="0"/>
          <w:i w:val="0"/>
          <w:color w:val="000000"/>
          <w:sz w:val="21"/>
        </w:rPr>
        <w:t xml:space="preserve">，表明引擎能够稳定地将真实故障纳入前三候选，证明所选征兆特征与故障类型具有强相关性；而 </w:t>
      </w:r>
      <w:r>
        <w:rPr>
          <w:rFonts w:ascii="宋体" w:hAnsi="宋体" w:eastAsia="宋体"/>
          <w:b/>
          <w:i w:val="0"/>
          <w:color w:val="000000"/>
          <w:sz w:val="21"/>
        </w:rPr>
        <w:t>Top-1 准确率为 37.9%</w:t>
      </w:r>
      <w:r>
        <w:rPr>
          <w:rFonts w:ascii="宋体" w:hAnsi="宋体" w:eastAsia="宋体"/>
          <w:b w:val="0"/>
          <w:i w:val="0"/>
          <w:color w:val="000000"/>
          <w:sz w:val="21"/>
        </w:rPr>
        <w:t xml:space="preserve">，分严重程度统计中 </w:t>
      </w:r>
      <w:r>
        <w:rPr>
          <w:rFonts w:ascii="宋体" w:hAnsi="宋体" w:eastAsia="宋体"/>
          <w:b/>
          <w:i w:val="0"/>
          <w:color w:val="000000"/>
          <w:sz w:val="21"/>
        </w:rPr>
        <w:t>critical（高危）故障的召回率达到 100%</w:t>
      </w:r>
      <w:r>
        <w:rPr>
          <w:rFonts w:ascii="宋体" w:hAnsi="宋体" w:eastAsia="宋体"/>
          <w:b w:val="0"/>
          <w:i w:val="0"/>
          <w:color w:val="000000"/>
          <w:sz w:val="21"/>
        </w:rPr>
        <w:t>，说明引擎对最危险故障不存在漏诊，满足电力运维的安全底线要求。</w:t>
      </w:r>
    </w:p>
    <w:p>
      <w:r>
        <w:rPr>
          <w:rFonts w:ascii="宋体" w:hAnsi="宋体" w:eastAsia="宋体"/>
          <w:b w:val="0"/>
          <w:i w:val="0"/>
          <w:color w:val="000000"/>
          <w:sz w:val="21"/>
        </w:rPr>
        <w:t>进一步分析各故障类别的识别效果（部分结果如表 3-6 所示）可以发现，局部放电（F1=0.85）、过载过热（Recall=1.00）等产气特征显著的故障识别效果良好，而绝缘老化、套管故障等产气量较低或特征重叠的故障识别效果偏弱。结合混淆矩阵分析，其根本原因在于当前贝叶斯网络的条件概率表采用人工近似设定，朴素贝叶斯的似然连乘机制存在偏向高产气故障的系统性倾向。这一结果定量地揭示了纯专家参数的局限性，为 3.4 节所述的数据驱动参数学习提供了明确的改进依据。</w:t>
      </w:r>
    </w:p>
    <w:p>
      <w:r>
        <w:rPr>
          <w:rFonts w:ascii="宋体" w:hAnsi="宋体" w:eastAsia="宋体"/>
          <w:b/>
          <w:i w:val="0"/>
          <w:color w:val="000000"/>
          <w:sz w:val="21"/>
        </w:rPr>
        <w:t>表 3-6 部分故障类别识别效果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pPr>
              <w:spacing w:before="40" w:after="40"/>
            </w:pPr>
            <w:r>
              <w:rPr>
                <w:b/>
                <w:color w:val="000000"/>
              </w:rPr>
            </w:r>
            <w:r>
              <w:rPr>
                <w:rFonts w:ascii="宋体" w:hAnsi="宋体" w:eastAsia="宋体"/>
                <w:b/>
                <w:i w:val="0"/>
                <w:color w:val="000000"/>
                <w:sz w:val="19"/>
              </w:rPr>
              <w:t>故障类型</w:t>
            </w:r>
          </w:p>
        </w:tc>
        <w:tc>
          <w:tcPr>
            <w:tcW w:type="dxa" w:w="1728"/>
            <w:shd w:val="clear" w:color="auto" w:fill="DCE6F1"/>
          </w:tcPr>
          <w:p>
            <w:pPr>
              <w:spacing w:before="40" w:after="40"/>
            </w:pPr>
            <w:r>
              <w:rPr>
                <w:b/>
                <w:color w:val="000000"/>
              </w:rPr>
            </w:r>
            <w:r>
              <w:rPr>
                <w:rFonts w:ascii="宋体" w:hAnsi="宋体" w:eastAsia="宋体"/>
                <w:b/>
                <w:i w:val="0"/>
                <w:color w:val="000000"/>
                <w:sz w:val="19"/>
              </w:rPr>
              <w:t>Precision</w:t>
            </w:r>
          </w:p>
        </w:tc>
        <w:tc>
          <w:tcPr>
            <w:tcW w:type="dxa" w:w="1728"/>
            <w:shd w:val="clear" w:color="auto" w:fill="DCE6F1"/>
          </w:tcPr>
          <w:p>
            <w:pPr>
              <w:spacing w:before="40" w:after="40"/>
            </w:pPr>
            <w:r>
              <w:rPr>
                <w:b/>
                <w:color w:val="000000"/>
              </w:rPr>
            </w:r>
            <w:r>
              <w:rPr>
                <w:rFonts w:ascii="宋体" w:hAnsi="宋体" w:eastAsia="宋体"/>
                <w:b/>
                <w:i w:val="0"/>
                <w:color w:val="000000"/>
                <w:sz w:val="19"/>
              </w:rPr>
              <w:t>Recall</w:t>
            </w:r>
          </w:p>
        </w:tc>
        <w:tc>
          <w:tcPr>
            <w:tcW w:type="dxa" w:w="1728"/>
            <w:shd w:val="clear" w:color="auto" w:fill="DCE6F1"/>
          </w:tcPr>
          <w:p>
            <w:pPr>
              <w:spacing w:before="40" w:after="40"/>
            </w:pPr>
            <w:r>
              <w:rPr>
                <w:b/>
                <w:color w:val="000000"/>
              </w:rPr>
            </w:r>
            <w:r>
              <w:rPr>
                <w:rFonts w:ascii="宋体" w:hAnsi="宋体" w:eastAsia="宋体"/>
                <w:b/>
                <w:i w:val="0"/>
                <w:color w:val="000000"/>
                <w:sz w:val="19"/>
              </w:rPr>
              <w:t>F1</w:t>
            </w:r>
          </w:p>
        </w:tc>
        <w:tc>
          <w:tcPr>
            <w:tcW w:type="dxa" w:w="1728"/>
            <w:shd w:val="clear" w:color="auto" w:fill="DCE6F1"/>
          </w:tcPr>
          <w:p>
            <w:pPr>
              <w:spacing w:before="40" w:after="40"/>
            </w:pPr>
            <w:r>
              <w:rPr>
                <w:b/>
                <w:color w:val="000000"/>
              </w:rPr>
            </w:r>
            <w:r>
              <w:rPr>
                <w:rFonts w:ascii="宋体" w:hAnsi="宋体" w:eastAsia="宋体"/>
                <w:b/>
                <w:i w:val="0"/>
                <w:color w:val="000000"/>
                <w:sz w:val="19"/>
              </w:rPr>
              <w:t>样本数</w:t>
            </w:r>
          </w:p>
        </w:tc>
      </w:tr>
      <w:tr>
        <w:tc>
          <w:tcPr>
            <w:tcW w:type="dxa" w:w="1728"/>
            <w:shd w:val="clear" w:color="auto" w:fill="FFFFFF"/>
          </w:tcPr>
          <w:p>
            <w:pPr>
              <w:spacing w:before="40" w:after="40"/>
            </w:pPr>
            <w:r/>
            <w:r>
              <w:rPr>
                <w:rFonts w:ascii="宋体" w:hAnsi="宋体" w:eastAsia="宋体"/>
                <w:b w:val="0"/>
                <w:i w:val="0"/>
                <w:color w:val="000000"/>
                <w:sz w:val="19"/>
              </w:rPr>
              <w:t>局部放电</w:t>
            </w:r>
          </w:p>
        </w:tc>
        <w:tc>
          <w:tcPr>
            <w:tcW w:type="dxa" w:w="1728"/>
            <w:shd w:val="clear" w:color="auto" w:fill="FFFFFF"/>
          </w:tcPr>
          <w:p>
            <w:pPr>
              <w:spacing w:before="40" w:after="40"/>
            </w:pPr>
            <w:r/>
            <w:r>
              <w:rPr>
                <w:rFonts w:ascii="宋体" w:hAnsi="宋体" w:eastAsia="宋体"/>
                <w:b w:val="0"/>
                <w:i w:val="0"/>
                <w:color w:val="000000"/>
                <w:sz w:val="19"/>
              </w:rPr>
              <w:t>1.00</w:t>
            </w:r>
          </w:p>
        </w:tc>
        <w:tc>
          <w:tcPr>
            <w:tcW w:type="dxa" w:w="1728"/>
            <w:shd w:val="clear" w:color="auto" w:fill="FFFFFF"/>
          </w:tcPr>
          <w:p>
            <w:pPr>
              <w:spacing w:before="40" w:after="40"/>
            </w:pPr>
            <w:r/>
            <w:r>
              <w:rPr>
                <w:rFonts w:ascii="宋体" w:hAnsi="宋体" w:eastAsia="宋体"/>
                <w:b w:val="0"/>
                <w:i w:val="0"/>
                <w:color w:val="000000"/>
                <w:sz w:val="19"/>
              </w:rPr>
              <w:t>0.74</w:t>
            </w:r>
          </w:p>
        </w:tc>
        <w:tc>
          <w:tcPr>
            <w:tcW w:type="dxa" w:w="1728"/>
            <w:shd w:val="clear" w:color="auto" w:fill="FFFFFF"/>
          </w:tcPr>
          <w:p>
            <w:pPr>
              <w:spacing w:before="40" w:after="40"/>
            </w:pPr>
            <w:r/>
            <w:r>
              <w:rPr>
                <w:rFonts w:ascii="宋体" w:hAnsi="宋体" w:eastAsia="宋体"/>
                <w:b w:val="0"/>
                <w:i w:val="0"/>
                <w:color w:val="000000"/>
                <w:sz w:val="19"/>
              </w:rPr>
              <w:t>0.85</w:t>
            </w:r>
          </w:p>
        </w:tc>
        <w:tc>
          <w:tcPr>
            <w:tcW w:type="dxa" w:w="1728"/>
            <w:shd w:val="clear" w:color="auto" w:fill="FFFFFF"/>
          </w:tcPr>
          <w:p>
            <w:pPr>
              <w:spacing w:before="40" w:after="40"/>
            </w:pPr>
            <w:r/>
            <w:r>
              <w:rPr>
                <w:rFonts w:ascii="宋体" w:hAnsi="宋体" w:eastAsia="宋体"/>
                <w:b w:val="0"/>
                <w:i w:val="0"/>
                <w:color w:val="000000"/>
                <w:sz w:val="19"/>
              </w:rPr>
              <w:t>274</w:t>
            </w:r>
          </w:p>
        </w:tc>
      </w:tr>
      <w:tr>
        <w:tc>
          <w:tcPr>
            <w:tcW w:type="dxa" w:w="1728"/>
            <w:shd w:val="clear" w:color="auto" w:fill="FFFFFF"/>
          </w:tcPr>
          <w:p>
            <w:pPr>
              <w:spacing w:before="40" w:after="40"/>
            </w:pPr>
            <w:r/>
            <w:r>
              <w:rPr>
                <w:rFonts w:ascii="宋体" w:hAnsi="宋体" w:eastAsia="宋体"/>
                <w:b w:val="0"/>
                <w:i w:val="0"/>
                <w:color w:val="000000"/>
                <w:sz w:val="19"/>
              </w:rPr>
              <w:t>过载过热</w:t>
            </w:r>
          </w:p>
        </w:tc>
        <w:tc>
          <w:tcPr>
            <w:tcW w:type="dxa" w:w="1728"/>
            <w:shd w:val="clear" w:color="auto" w:fill="FFFFFF"/>
          </w:tcPr>
          <w:p>
            <w:pPr>
              <w:spacing w:before="40" w:after="40"/>
            </w:pPr>
            <w:r/>
            <w:r>
              <w:rPr>
                <w:rFonts w:ascii="宋体" w:hAnsi="宋体" w:eastAsia="宋体"/>
                <w:b w:val="0"/>
                <w:i w:val="0"/>
                <w:color w:val="000000"/>
                <w:sz w:val="19"/>
              </w:rPr>
              <w:t>0.40</w:t>
            </w:r>
          </w:p>
        </w:tc>
        <w:tc>
          <w:tcPr>
            <w:tcW w:type="dxa" w:w="1728"/>
            <w:shd w:val="clear" w:color="auto" w:fill="FFFFFF"/>
          </w:tcPr>
          <w:p>
            <w:pPr>
              <w:spacing w:before="40" w:after="40"/>
            </w:pPr>
            <w:r/>
            <w:r>
              <w:rPr>
                <w:rFonts w:ascii="宋体" w:hAnsi="宋体" w:eastAsia="宋体"/>
                <w:b w:val="0"/>
                <w:i w:val="0"/>
                <w:color w:val="000000"/>
                <w:sz w:val="19"/>
              </w:rPr>
              <w:t>1.00</w:t>
            </w:r>
          </w:p>
        </w:tc>
        <w:tc>
          <w:tcPr>
            <w:tcW w:type="dxa" w:w="1728"/>
            <w:shd w:val="clear" w:color="auto" w:fill="FFFFFF"/>
          </w:tcPr>
          <w:p>
            <w:pPr>
              <w:spacing w:before="40" w:after="40"/>
            </w:pPr>
            <w:r/>
            <w:r>
              <w:rPr>
                <w:rFonts w:ascii="宋体" w:hAnsi="宋体" w:eastAsia="宋体"/>
                <w:b w:val="0"/>
                <w:i w:val="0"/>
                <w:color w:val="000000"/>
                <w:sz w:val="19"/>
              </w:rPr>
              <w:t>0.57</w:t>
            </w:r>
          </w:p>
        </w:tc>
        <w:tc>
          <w:tcPr>
            <w:tcW w:type="dxa" w:w="1728"/>
            <w:shd w:val="clear" w:color="auto" w:fill="FFFFFF"/>
          </w:tcPr>
          <w:p>
            <w:pPr>
              <w:spacing w:before="40" w:after="40"/>
            </w:pPr>
            <w:r/>
            <w:r>
              <w:rPr>
                <w:rFonts w:ascii="宋体" w:hAnsi="宋体" w:eastAsia="宋体"/>
                <w:b w:val="0"/>
                <w:i w:val="0"/>
                <w:color w:val="000000"/>
                <w:sz w:val="19"/>
              </w:rPr>
              <w:t>335</w:t>
            </w:r>
          </w:p>
        </w:tc>
      </w:tr>
      <w:tr>
        <w:tc>
          <w:tcPr>
            <w:tcW w:type="dxa" w:w="1728"/>
            <w:shd w:val="clear" w:color="auto" w:fill="FFFFFF"/>
          </w:tcPr>
          <w:p>
            <w:pPr>
              <w:spacing w:before="40" w:after="40"/>
            </w:pPr>
            <w:r/>
            <w:r>
              <w:rPr>
                <w:rFonts w:ascii="宋体" w:hAnsi="宋体" w:eastAsia="宋体"/>
                <w:b w:val="0"/>
                <w:i w:val="0"/>
                <w:color w:val="000000"/>
                <w:sz w:val="19"/>
              </w:rPr>
              <w:t>绕组匝间短路</w:t>
            </w:r>
          </w:p>
        </w:tc>
        <w:tc>
          <w:tcPr>
            <w:tcW w:type="dxa" w:w="1728"/>
            <w:shd w:val="clear" w:color="auto" w:fill="FFFFFF"/>
          </w:tcPr>
          <w:p>
            <w:pPr>
              <w:spacing w:before="40" w:after="40"/>
            </w:pPr>
            <w:r/>
            <w:r>
              <w:rPr>
                <w:rFonts w:ascii="宋体" w:hAnsi="宋体" w:eastAsia="宋体"/>
                <w:b w:val="0"/>
                <w:i w:val="0"/>
                <w:color w:val="000000"/>
                <w:sz w:val="19"/>
              </w:rPr>
              <w:t>0.19</w:t>
            </w:r>
          </w:p>
        </w:tc>
        <w:tc>
          <w:tcPr>
            <w:tcW w:type="dxa" w:w="1728"/>
            <w:shd w:val="clear" w:color="auto" w:fill="FFFFFF"/>
          </w:tcPr>
          <w:p>
            <w:pPr>
              <w:spacing w:before="40" w:after="40"/>
            </w:pPr>
            <w:r/>
            <w:r>
              <w:rPr>
                <w:rFonts w:ascii="宋体" w:hAnsi="宋体" w:eastAsia="宋体"/>
                <w:b w:val="0"/>
                <w:i w:val="0"/>
                <w:color w:val="000000"/>
                <w:sz w:val="19"/>
              </w:rPr>
              <w:t>1.00</w:t>
            </w:r>
          </w:p>
        </w:tc>
        <w:tc>
          <w:tcPr>
            <w:tcW w:type="dxa" w:w="1728"/>
            <w:shd w:val="clear" w:color="auto" w:fill="FFFFFF"/>
          </w:tcPr>
          <w:p>
            <w:pPr>
              <w:spacing w:before="40" w:after="40"/>
            </w:pPr>
            <w:r/>
            <w:r>
              <w:rPr>
                <w:rFonts w:ascii="宋体" w:hAnsi="宋体" w:eastAsia="宋体"/>
                <w:b w:val="0"/>
                <w:i w:val="0"/>
                <w:color w:val="000000"/>
                <w:sz w:val="19"/>
              </w:rPr>
              <w:t>0.31</w:t>
            </w:r>
          </w:p>
        </w:tc>
        <w:tc>
          <w:tcPr>
            <w:tcW w:type="dxa" w:w="1728"/>
            <w:shd w:val="clear" w:color="auto" w:fill="FFFFFF"/>
          </w:tcPr>
          <w:p>
            <w:pPr>
              <w:spacing w:before="40" w:after="40"/>
            </w:pPr>
            <w:r/>
            <w:r>
              <w:rPr>
                <w:rFonts w:ascii="宋体" w:hAnsi="宋体" w:eastAsia="宋体"/>
                <w:b w:val="0"/>
                <w:i w:val="0"/>
                <w:color w:val="000000"/>
                <w:sz w:val="19"/>
              </w:rPr>
              <w:t>126</w:t>
            </w:r>
          </w:p>
        </w:tc>
      </w:tr>
      <w:tr>
        <w:tc>
          <w:tcPr>
            <w:tcW w:type="dxa" w:w="1728"/>
            <w:shd w:val="clear" w:color="auto" w:fill="FFFFFF"/>
          </w:tcPr>
          <w:p>
            <w:pPr>
              <w:spacing w:before="40" w:after="40"/>
            </w:pPr>
            <w:r/>
            <w:r>
              <w:rPr>
                <w:rFonts w:ascii="宋体" w:hAnsi="宋体" w:eastAsia="宋体"/>
                <w:b w:val="0"/>
                <w:i w:val="0"/>
                <w:color w:val="000000"/>
                <w:sz w:val="19"/>
              </w:rPr>
              <w:t>绝缘老化</w:t>
            </w:r>
          </w:p>
        </w:tc>
        <w:tc>
          <w:tcPr>
            <w:tcW w:type="dxa" w:w="1728"/>
            <w:shd w:val="clear" w:color="auto" w:fill="FFFFFF"/>
          </w:tcPr>
          <w:p>
            <w:pPr>
              <w:spacing w:before="40" w:after="40"/>
            </w:pPr>
            <w:r/>
            <w:r>
              <w:rPr>
                <w:rFonts w:ascii="宋体" w:hAnsi="宋体" w:eastAsia="宋体"/>
                <w:b w:val="0"/>
                <w:i w:val="0"/>
                <w:color w:val="000000"/>
                <w:sz w:val="19"/>
              </w:rPr>
              <w:t>0.54</w:t>
            </w:r>
          </w:p>
        </w:tc>
        <w:tc>
          <w:tcPr>
            <w:tcW w:type="dxa" w:w="1728"/>
            <w:shd w:val="clear" w:color="auto" w:fill="FFFFFF"/>
          </w:tcPr>
          <w:p>
            <w:pPr>
              <w:spacing w:before="40" w:after="40"/>
            </w:pPr>
            <w:r/>
            <w:r>
              <w:rPr>
                <w:rFonts w:ascii="宋体" w:hAnsi="宋体" w:eastAsia="宋体"/>
                <w:b w:val="0"/>
                <w:i w:val="0"/>
                <w:color w:val="000000"/>
                <w:sz w:val="19"/>
              </w:rPr>
              <w:t>0.05</w:t>
            </w:r>
          </w:p>
        </w:tc>
        <w:tc>
          <w:tcPr>
            <w:tcW w:type="dxa" w:w="1728"/>
            <w:shd w:val="clear" w:color="auto" w:fill="FFFFFF"/>
          </w:tcPr>
          <w:p>
            <w:pPr>
              <w:spacing w:before="40" w:after="40"/>
            </w:pPr>
            <w:r/>
            <w:r>
              <w:rPr>
                <w:rFonts w:ascii="宋体" w:hAnsi="宋体" w:eastAsia="宋体"/>
                <w:b w:val="0"/>
                <w:i w:val="0"/>
                <w:color w:val="000000"/>
                <w:sz w:val="19"/>
              </w:rPr>
              <w:t>0.10</w:t>
            </w:r>
          </w:p>
        </w:tc>
        <w:tc>
          <w:tcPr>
            <w:tcW w:type="dxa" w:w="1728"/>
            <w:shd w:val="clear" w:color="auto" w:fill="FFFFFF"/>
          </w:tcPr>
          <w:p>
            <w:pPr>
              <w:spacing w:before="40" w:after="40"/>
            </w:pPr>
            <w:r/>
            <w:r>
              <w:rPr>
                <w:rFonts w:ascii="宋体" w:hAnsi="宋体" w:eastAsia="宋体"/>
                <w:b w:val="0"/>
                <w:i w:val="0"/>
                <w:color w:val="000000"/>
                <w:sz w:val="19"/>
              </w:rPr>
              <w:t>358</w:t>
            </w:r>
          </w:p>
        </w:tc>
      </w:tr>
    </w:tbl>
    <w:p/>
    <w:p>
      <w:pPr>
        <w:pStyle w:val="Heading3"/>
        <w:spacing w:before="200"/>
      </w:pPr>
      <w:r>
        <w:rPr>
          <w:rFonts w:ascii="黑体" w:hAnsi="黑体" w:eastAsia="黑体"/>
          <w:b/>
          <w:i w:val="0"/>
          <w:color w:val="1F3A5F"/>
          <w:sz w:val="25"/>
        </w:rPr>
        <w:t>3.5.2 多智能体系统端到端评测</w:t>
      </w:r>
    </w:p>
    <w:p>
      <w:r>
        <w:rPr>
          <w:rFonts w:ascii="宋体" w:hAnsi="宋体" w:eastAsia="宋体"/>
          <w:b w:val="0"/>
          <w:i w:val="0"/>
          <w:color w:val="000000"/>
          <w:sz w:val="21"/>
        </w:rPr>
        <w:t>在归因引擎评测的基础上，本文进一步对整个多智能体系统进行端到端评测，以 120 条评测集样本驱动完整工作流（Planner→Retriever→Generator→Validator），从流程连通性、诊断准确性、内容完备性、安全合规性与自我修正活跃度等多个维度综合评估系统的整体效果。该评测采用"可注入工具"设计：故障归因始终使用真实引擎，知识检索与时序分析可在真实后端与模拟数据间切换，大模型不可用时各智能体自动降级，从而保证评测在不同部署条件下均可运行。所采用的评测指标如表 3-7 所示。</w:t>
      </w:r>
    </w:p>
    <w:p>
      <w:r>
        <w:rPr>
          <w:rFonts w:ascii="宋体" w:hAnsi="宋体" w:eastAsia="宋体"/>
          <w:b/>
          <w:i w:val="0"/>
          <w:color w:val="000000"/>
          <w:sz w:val="21"/>
        </w:rPr>
        <w:t>表 3-7 端到端系统评测指标</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CE6F1"/>
          </w:tcPr>
          <w:p>
            <w:pPr>
              <w:spacing w:before="40" w:after="40"/>
            </w:pPr>
            <w:r>
              <w:rPr>
                <w:b/>
                <w:color w:val="000000"/>
              </w:rPr>
            </w:r>
            <w:r>
              <w:rPr>
                <w:rFonts w:ascii="宋体" w:hAnsi="宋体" w:eastAsia="宋体"/>
                <w:b/>
                <w:i w:val="0"/>
                <w:color w:val="000000"/>
                <w:sz w:val="19"/>
              </w:rPr>
              <w:t>指标</w:t>
            </w:r>
          </w:p>
        </w:tc>
        <w:tc>
          <w:tcPr>
            <w:tcW w:type="dxa" w:w="4320"/>
            <w:shd w:val="clear" w:color="auto" w:fill="DCE6F1"/>
          </w:tcPr>
          <w:p>
            <w:pPr>
              <w:spacing w:before="40" w:after="40"/>
            </w:pPr>
            <w:r>
              <w:rPr>
                <w:b/>
                <w:color w:val="000000"/>
              </w:rPr>
            </w:r>
            <w:r>
              <w:rPr>
                <w:rFonts w:ascii="宋体" w:hAnsi="宋体" w:eastAsia="宋体"/>
                <w:b/>
                <w:i w:val="0"/>
                <w:color w:val="000000"/>
                <w:sz w:val="19"/>
              </w:rPr>
              <w:t>含义</w:t>
            </w:r>
          </w:p>
        </w:tc>
      </w:tr>
      <w:tr>
        <w:tc>
          <w:tcPr>
            <w:tcW w:type="dxa" w:w="4320"/>
            <w:shd w:val="clear" w:color="auto" w:fill="FFFFFF"/>
          </w:tcPr>
          <w:p>
            <w:pPr>
              <w:spacing w:before="40" w:after="40"/>
            </w:pPr>
            <w:r/>
            <w:r>
              <w:rPr>
                <w:rFonts w:ascii="宋体" w:hAnsi="宋体" w:eastAsia="宋体"/>
                <w:b w:val="0"/>
                <w:i w:val="0"/>
                <w:color w:val="000000"/>
                <w:sz w:val="19"/>
              </w:rPr>
              <w:t>流程完成率</w:t>
            </w:r>
          </w:p>
        </w:tc>
        <w:tc>
          <w:tcPr>
            <w:tcW w:type="dxa" w:w="4320"/>
            <w:shd w:val="clear" w:color="auto" w:fill="FFFFFF"/>
          </w:tcPr>
          <w:p>
            <w:pPr>
              <w:spacing w:before="40" w:after="40"/>
            </w:pPr>
            <w:r/>
            <w:r>
              <w:rPr>
                <w:rFonts w:ascii="宋体" w:hAnsi="宋体" w:eastAsia="宋体"/>
                <w:b w:val="0"/>
                <w:i w:val="0"/>
                <w:color w:val="000000"/>
                <w:sz w:val="19"/>
              </w:rPr>
              <w:t>成功跑完完整工作流的比例</w:t>
            </w:r>
          </w:p>
        </w:tc>
      </w:tr>
      <w:tr>
        <w:tc>
          <w:tcPr>
            <w:tcW w:type="dxa" w:w="4320"/>
            <w:shd w:val="clear" w:color="auto" w:fill="FFFFFF"/>
          </w:tcPr>
          <w:p>
            <w:pPr>
              <w:spacing w:before="40" w:after="40"/>
            </w:pPr>
            <w:r/>
            <w:r>
              <w:rPr>
                <w:rFonts w:ascii="宋体" w:hAnsi="宋体" w:eastAsia="宋体"/>
                <w:b w:val="0"/>
                <w:i w:val="0"/>
                <w:color w:val="000000"/>
                <w:sz w:val="19"/>
              </w:rPr>
              <w:t>主故障命中率</w:t>
            </w:r>
          </w:p>
        </w:tc>
        <w:tc>
          <w:tcPr>
            <w:tcW w:type="dxa" w:w="4320"/>
            <w:shd w:val="clear" w:color="auto" w:fill="FFFFFF"/>
          </w:tcPr>
          <w:p>
            <w:pPr>
              <w:spacing w:before="40" w:after="40"/>
            </w:pPr>
            <w:r/>
            <w:r>
              <w:rPr>
                <w:rFonts w:ascii="宋体" w:hAnsi="宋体" w:eastAsia="宋体"/>
                <w:b w:val="0"/>
                <w:i w:val="0"/>
                <w:color w:val="000000"/>
                <w:sz w:val="19"/>
              </w:rPr>
              <w:t>最终诊断文本命中预期主故障的比例</w:t>
            </w:r>
          </w:p>
        </w:tc>
      </w:tr>
      <w:tr>
        <w:tc>
          <w:tcPr>
            <w:tcW w:type="dxa" w:w="4320"/>
            <w:shd w:val="clear" w:color="auto" w:fill="FFFFFF"/>
          </w:tcPr>
          <w:p>
            <w:pPr>
              <w:spacing w:before="40" w:after="40"/>
            </w:pPr>
            <w:r/>
            <w:r>
              <w:rPr>
                <w:rFonts w:ascii="宋体" w:hAnsi="宋体" w:eastAsia="宋体"/>
                <w:b w:val="0"/>
                <w:i w:val="0"/>
                <w:color w:val="000000"/>
                <w:sz w:val="19"/>
              </w:rPr>
              <w:t>关键要点覆盖率</w:t>
            </w:r>
          </w:p>
        </w:tc>
        <w:tc>
          <w:tcPr>
            <w:tcW w:type="dxa" w:w="4320"/>
            <w:shd w:val="clear" w:color="auto" w:fill="FFFFFF"/>
          </w:tcPr>
          <w:p>
            <w:pPr>
              <w:spacing w:before="40" w:after="40"/>
            </w:pPr>
            <w:r/>
            <w:r>
              <w:rPr>
                <w:rFonts w:ascii="宋体" w:hAnsi="宋体" w:eastAsia="宋体"/>
                <w:b w:val="0"/>
                <w:i w:val="0"/>
                <w:color w:val="000000"/>
                <w:sz w:val="19"/>
              </w:rPr>
              <w:t>诊断文本覆盖预期关键要点的平均比例</w:t>
            </w:r>
          </w:p>
        </w:tc>
      </w:tr>
      <w:tr>
        <w:tc>
          <w:tcPr>
            <w:tcW w:type="dxa" w:w="4320"/>
            <w:shd w:val="clear" w:color="auto" w:fill="FFFFFF"/>
          </w:tcPr>
          <w:p>
            <w:pPr>
              <w:spacing w:before="40" w:after="40"/>
            </w:pPr>
            <w:r/>
            <w:r>
              <w:rPr>
                <w:rFonts w:ascii="宋体" w:hAnsi="宋体" w:eastAsia="宋体"/>
                <w:b w:val="0"/>
                <w:i w:val="0"/>
                <w:color w:val="000000"/>
                <w:sz w:val="19"/>
              </w:rPr>
              <w:t>安全合规率</w:t>
            </w:r>
          </w:p>
        </w:tc>
        <w:tc>
          <w:tcPr>
            <w:tcW w:type="dxa" w:w="4320"/>
            <w:shd w:val="clear" w:color="auto" w:fill="FFFFFF"/>
          </w:tcPr>
          <w:p>
            <w:pPr>
              <w:spacing w:before="40" w:after="40"/>
            </w:pPr>
            <w:r/>
            <w:r>
              <w:rPr>
                <w:rFonts w:ascii="宋体" w:hAnsi="宋体" w:eastAsia="宋体"/>
                <w:b w:val="0"/>
                <w:i w:val="0"/>
                <w:color w:val="000000"/>
                <w:sz w:val="19"/>
              </w:rPr>
              <w:t>应提示安全的样本中包含安全/保护关键词的比例</w:t>
            </w:r>
          </w:p>
        </w:tc>
      </w:tr>
      <w:tr>
        <w:tc>
          <w:tcPr>
            <w:tcW w:type="dxa" w:w="4320"/>
            <w:shd w:val="clear" w:color="auto" w:fill="FFFFFF"/>
          </w:tcPr>
          <w:p>
            <w:pPr>
              <w:spacing w:before="40" w:after="40"/>
            </w:pPr>
            <w:r/>
            <w:r>
              <w:rPr>
                <w:rFonts w:ascii="宋体" w:hAnsi="宋体" w:eastAsia="宋体"/>
                <w:b w:val="0"/>
                <w:i w:val="0"/>
                <w:color w:val="000000"/>
                <w:sz w:val="19"/>
              </w:rPr>
              <w:t>Validator 平均得分</w:t>
            </w:r>
          </w:p>
        </w:tc>
        <w:tc>
          <w:tcPr>
            <w:tcW w:type="dxa" w:w="4320"/>
            <w:shd w:val="clear" w:color="auto" w:fill="FFFFFF"/>
          </w:tcPr>
          <w:p>
            <w:pPr>
              <w:spacing w:before="40" w:after="40"/>
            </w:pPr>
            <w:r/>
            <w:r>
              <w:rPr>
                <w:rFonts w:ascii="宋体" w:hAnsi="宋体" w:eastAsia="宋体"/>
                <w:b w:val="0"/>
                <w:i w:val="0"/>
                <w:color w:val="000000"/>
                <w:sz w:val="19"/>
              </w:rPr>
              <w:t>最终验证评分均值</w:t>
            </w:r>
          </w:p>
        </w:tc>
      </w:tr>
      <w:tr>
        <w:tc>
          <w:tcPr>
            <w:tcW w:type="dxa" w:w="4320"/>
            <w:shd w:val="clear" w:color="auto" w:fill="FFFFFF"/>
          </w:tcPr>
          <w:p>
            <w:pPr>
              <w:spacing w:before="40" w:after="40"/>
            </w:pPr>
            <w:r/>
            <w:r>
              <w:rPr>
                <w:rFonts w:ascii="宋体" w:hAnsi="宋体" w:eastAsia="宋体"/>
                <w:b w:val="0"/>
                <w:i w:val="0"/>
                <w:color w:val="000000"/>
                <w:sz w:val="19"/>
              </w:rPr>
              <w:t>平均迭代轮次</w:t>
            </w:r>
          </w:p>
        </w:tc>
        <w:tc>
          <w:tcPr>
            <w:tcW w:type="dxa" w:w="4320"/>
            <w:shd w:val="clear" w:color="auto" w:fill="FFFFFF"/>
          </w:tcPr>
          <w:p>
            <w:pPr>
              <w:spacing w:before="40" w:after="40"/>
            </w:pPr>
            <w:r/>
            <w:r>
              <w:rPr>
                <w:rFonts w:ascii="宋体" w:hAnsi="宋体" w:eastAsia="宋体"/>
                <w:b w:val="0"/>
                <w:i w:val="0"/>
                <w:color w:val="000000"/>
                <w:sz w:val="19"/>
              </w:rPr>
              <w:t>Generator 重生成次数，反映自我修正活跃度</w:t>
            </w:r>
          </w:p>
        </w:tc>
      </w:tr>
      <w:tr>
        <w:tc>
          <w:tcPr>
            <w:tcW w:type="dxa" w:w="4320"/>
            <w:shd w:val="clear" w:color="auto" w:fill="FFFFFF"/>
          </w:tcPr>
          <w:p>
            <w:pPr>
              <w:spacing w:before="40" w:after="40"/>
            </w:pPr>
            <w:r/>
            <w:r>
              <w:rPr>
                <w:rFonts w:ascii="宋体" w:hAnsi="宋体" w:eastAsia="宋体"/>
                <w:b w:val="0"/>
                <w:i w:val="0"/>
                <w:color w:val="000000"/>
                <w:sz w:val="19"/>
              </w:rPr>
              <w:t>LLM 降级率</w:t>
            </w:r>
          </w:p>
        </w:tc>
        <w:tc>
          <w:tcPr>
            <w:tcW w:type="dxa" w:w="4320"/>
            <w:shd w:val="clear" w:color="auto" w:fill="FFFFFF"/>
          </w:tcPr>
          <w:p>
            <w:pPr>
              <w:spacing w:before="40" w:after="40"/>
            </w:pPr>
            <w:r/>
            <w:r>
              <w:rPr>
                <w:rFonts w:ascii="宋体" w:hAnsi="宋体" w:eastAsia="宋体"/>
                <w:b w:val="0"/>
                <w:i w:val="0"/>
                <w:color w:val="000000"/>
                <w:sz w:val="19"/>
              </w:rPr>
              <w:t>触发模板/规则降级的比例，反映外部依赖健康度</w:t>
            </w:r>
          </w:p>
        </w:tc>
      </w:tr>
    </w:tbl>
    <w:p/>
    <w:p>
      <w:r>
        <w:rPr>
          <w:rFonts w:ascii="宋体" w:hAnsi="宋体" w:eastAsia="宋体"/>
          <w:b w:val="0"/>
          <w:i w:val="0"/>
          <w:color w:val="000000"/>
          <w:sz w:val="21"/>
        </w:rPr>
        <w:t>其中，流程完成率用于验证多智能体协同与降级容错机制的鲁棒性；主故障命中率与关键要点覆盖率从准确性与完备性两方面评估诊断质量；安全合规率作为面向工业应用的安全底线指标，统计应提示安全的样本中实际包含安全、停电、保护等关键词的比例；平均迭代轮次反映"生成—验证—再生成"闭环的自我修正活跃度；LLM 降级率则用于监测系统对外部大模型服务的依赖健康度。</w:t>
      </w:r>
    </w:p>
    <w:p>
      <w:r>
        <w:rPr>
          <w:rFonts w:ascii="宋体" w:hAnsi="宋体" w:eastAsia="宋体"/>
          <w:b w:val="0"/>
          <w:i w:val="0"/>
          <w:color w:val="000000"/>
          <w:sz w:val="21"/>
        </w:rPr>
        <w:t>两套评测框架相互补充：前者以确定性方式聚焦验证故障归因这一核心能力的准确性与安全性，并定量暴露了参数改进方向；后者从端到端视角验证多智能体协同、自我修正与安全合规等系统级能力，二者共同构成对本系统的完整实验验证。</w:t>
      </w:r>
    </w:p>
    <w:p>
      <w:pPr>
        <w:pStyle w:val="Heading2"/>
        <w:spacing w:before="280"/>
      </w:pPr>
      <w:r>
        <w:rPr>
          <w:rFonts w:ascii="黑体" w:hAnsi="黑体" w:eastAsia="黑体"/>
          <w:b/>
          <w:i w:val="0"/>
          <w:color w:val="1F3A5F"/>
          <w:sz w:val="30"/>
        </w:rPr>
        <w:t>3.6 本章小结</w:t>
      </w:r>
    </w:p>
    <w:p>
      <w:r>
        <w:rPr>
          <w:rFonts w:ascii="宋体" w:hAnsi="宋体" w:eastAsia="宋体"/>
          <w:b w:val="0"/>
          <w:i w:val="0"/>
          <w:color w:val="000000"/>
          <w:sz w:val="21"/>
        </w:rPr>
        <w:t>本章从框架、智能体、工具、数据与评测五个方面系统总结了中期阶段已完成的工作。本文完成了基于 LangGraph 的四智能体协同诊断框架及其动态路由与降级容错机制，实现了 Planner、Retriever、Generator、Validator 四个功能智能体，研发了 RAG 检索、贝叶斯故障归因、油温预测与时序异常检测四类领域工具，构建了在线/离线相结合的数据底座并实现了数据驱动的贝叶斯参数学习，最终通过两套评测框架对系统的核心能力与整体效果进行了量化验证，形成了"设计—实现—验证"的完整研究闭环，为后续工作奠定了坚实基础。</w:t>
      </w:r>
    </w:p>
    <w:p>
      <w:pPr>
        <w:pStyle w:val="Heading1"/>
        <w:spacing w:after="320"/>
        <w:jc w:val="center"/>
      </w:pPr>
      <w:r>
        <w:rPr>
          <w:rFonts w:ascii="黑体" w:hAnsi="黑体" w:eastAsia="黑体"/>
          <w:b/>
          <w:i w:val="0"/>
          <w:color w:val="000000"/>
          <w:sz w:val="38"/>
        </w:rPr>
        <w:t>参考文献</w:t>
      </w:r>
    </w:p>
    <w:p>
      <w:r>
        <w:rPr>
          <w:rFonts w:ascii="宋体" w:hAnsi="宋体" w:eastAsia="宋体"/>
          <w:b w:val="0"/>
          <w:i w:val="0"/>
          <w:color w:val="000000"/>
          <w:sz w:val="21"/>
        </w:rPr>
        <w:t>[1] 谢毓城. 电力变压器手册[M]. 北京: 机械工业出版社, 2003.</w:t>
      </w:r>
    </w:p>
    <w:p>
      <w:r>
        <w:rPr>
          <w:rFonts w:ascii="宋体" w:hAnsi="宋体" w:eastAsia="宋体"/>
          <w:b w:val="0"/>
          <w:i w:val="0"/>
          <w:color w:val="000000"/>
          <w:sz w:val="21"/>
        </w:rPr>
        <w:t>[2] 国家能源局. DL/T 722—2014 变压器油中溶解气体分析和判断导则[S]. 北京: 中国电力出版社, 2015.</w:t>
      </w:r>
    </w:p>
    <w:p>
      <w:r>
        <w:rPr>
          <w:rFonts w:ascii="宋体" w:hAnsi="宋体" w:eastAsia="宋体"/>
          <w:b w:val="0"/>
          <w:i w:val="0"/>
          <w:color w:val="000000"/>
          <w:sz w:val="21"/>
        </w:rPr>
        <w:t>[3] 全国电力设备状态维修与在线监测标准化技术委员会. GB/T 7252—2016 变压器油中溶解气体分析和判断导则[S]. 北京: 中国标准出版社, 2016.</w:t>
      </w:r>
    </w:p>
    <w:p>
      <w:r>
        <w:rPr>
          <w:rFonts w:ascii="宋体" w:hAnsi="宋体" w:eastAsia="宋体"/>
          <w:b w:val="0"/>
          <w:i w:val="0"/>
          <w:color w:val="000000"/>
          <w:sz w:val="21"/>
        </w:rPr>
        <w:t>[4] 操敦奎. 变压器油中气体分析诊断与故障检查[M]. 北京: 中国电力出版社, 2005.</w:t>
      </w:r>
    </w:p>
    <w:p>
      <w:r>
        <w:rPr>
          <w:rFonts w:ascii="宋体" w:hAnsi="宋体" w:eastAsia="宋体"/>
          <w:b w:val="0"/>
          <w:i w:val="0"/>
          <w:color w:val="000000"/>
          <w:sz w:val="21"/>
        </w:rPr>
        <w:t>[5] 朱德恒, 严璋, 谈克雄, 等. 电气设备状态监测与故障诊断技术[M]. 北京: 中国电力出版社, 2009.</w:t>
      </w:r>
    </w:p>
    <w:p>
      <w:r>
        <w:rPr>
          <w:rFonts w:ascii="宋体" w:hAnsi="宋体" w:eastAsia="宋体"/>
          <w:b w:val="0"/>
          <w:i w:val="0"/>
          <w:color w:val="000000"/>
          <w:sz w:val="21"/>
        </w:rPr>
        <w:t>[6] 廖瑞金, 王谦, 骆思佳, 等. 基于油中溶解气体分析的变压器故障诊断方法综述[J]. 电力自动化设备, 2008, 28(10): 117-123.</w:t>
      </w:r>
    </w:p>
    <w:p>
      <w:r>
        <w:rPr>
          <w:rFonts w:ascii="宋体" w:hAnsi="宋体" w:eastAsia="宋体"/>
          <w:b w:val="0"/>
          <w:i w:val="0"/>
          <w:color w:val="000000"/>
          <w:sz w:val="21"/>
        </w:rPr>
        <w:t>[7] 律方成, 牛雷雷, 王胜辉, 等. 变压器故障诊断方法研究综述[J]. 高电压技术, 2020, 46(增刊): 等.</w:t>
      </w:r>
    </w:p>
    <w:p>
      <w:r>
        <w:rPr>
          <w:rFonts w:ascii="宋体" w:hAnsi="宋体" w:eastAsia="宋体"/>
          <w:b w:val="0"/>
          <w:i w:val="0"/>
          <w:color w:val="000000"/>
          <w:sz w:val="21"/>
        </w:rPr>
        <w:t>[8] IEEE. IEEE Std C57.104—2019 IEEE Guide for the Interpretation of Gases Generated in Mineral Oil-Immersed Transformers[S]. New York: IEEE, 2019.</w:t>
      </w:r>
    </w:p>
    <w:p>
      <w:r>
        <w:rPr>
          <w:rFonts w:ascii="宋体" w:hAnsi="宋体" w:eastAsia="宋体"/>
          <w:b w:val="0"/>
          <w:i w:val="0"/>
          <w:color w:val="000000"/>
          <w:sz w:val="21"/>
        </w:rPr>
        <w:t>[9] Duval M. A review of faults detectable by gas-in-oil analysis in transformers[J]. IEEE Electrical Insulation Magazine, 2002, 18(3): 8-17.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宋体" w:hAnsi="宋体" w:eastAsia="宋体"/>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宋体" w:hAnsi="宋体" w:eastAsia="宋体"/>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