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预算申请 · DACI 决策卡（通用模板 V1.0）</w:t>
      </w:r>
    </w:p>
    <w:p>
      <w:pPr>
        <w:jc w:val="center"/>
      </w:pPr>
      <w:r>
        <w:rPr>
          <w:color w:val="666666"/>
          <w:sz w:val="18"/>
        </w:rPr>
        <w:t>哇呢宝贝 · 内部决策文档 ｜ 按《文档管理规范》命名与归档</w:t>
      </w:r>
    </w:p>
    <w:p>
      <w:pPr>
        <w:spacing w:before="240" w:after="80"/>
      </w:pPr>
      <w:r>
        <w:rPr>
          <w:b/>
          <w:color w:val="1F3B5C"/>
          <w:sz w:val="24"/>
        </w:rPr>
        <w:t>使用说明（模板自带，不删）</w:t>
      </w:r>
    </w:p>
    <w:p>
      <w:pPr>
        <w:spacing w:after="40"/>
      </w:pPr>
      <w:r>
        <w:rPr>
          <w:sz w:val="19"/>
        </w:rPr>
        <w:t>1. 命名：YYYYMMDD-决策-预算申请-事项-V版本（如 20260807-决策-预算申请-AI技能比赛-V1）</w:t>
      </w:r>
    </w:p>
    <w:p>
      <w:pPr>
        <w:spacing w:after="40"/>
      </w:pPr>
      <w:r>
        <w:rPr>
          <w:sz w:val="19"/>
        </w:rPr>
        <w:t>2. 归档：A 批准生效后 90 天归档，文件名加“归档-”前缀</w:t>
      </w:r>
    </w:p>
    <w:p>
      <w:pPr>
        <w:spacing w:after="40"/>
      </w:pPr>
      <w:r>
        <w:rPr>
          <w:sz w:val="19"/>
        </w:rPr>
        <w:t>3. 状态流转：草稿 → 待审 → 生效（A 批准）→ 归档；修改升 V2，不覆盖</w:t>
      </w:r>
    </w:p>
    <w:p>
      <w:pPr>
        <w:spacing w:after="40"/>
      </w:pPr>
      <w:r>
        <w:rPr>
          <w:sz w:val="19"/>
        </w:rPr>
        <w:t>4. 本卡 A 必为老板（或老板书面授权人）——预算类决策符合“老板保留预算/人事/超红线三类 A 权”规则</w:t>
      </w:r>
    </w:p>
    <w:p>
      <w:pPr>
        <w:spacing w:after="40"/>
      </w:pPr>
      <w:r>
        <w:rPr>
          <w:sz w:val="19"/>
        </w:rPr>
        <w:t>5. 预算明细超过 5 项时另附明细表（附件），卡片本体保持一页</w:t>
      </w:r>
    </w:p>
    <w:p>
      <w:pPr>
        <w:spacing w:after="40"/>
      </w:pPr>
      <w:r>
        <w:rPr>
          <w:sz w:val="19"/>
        </w:rPr>
        <w:t>6. 提交前必须填齐元数据：负责人（D）/ 审批人（A）/ 状态 / 关联议题 / 最后更新</w:t>
      </w:r>
    </w:p>
    <w:p>
      <w:pPr>
        <w:spacing w:before="240" w:after="80"/>
      </w:pPr>
      <w:r>
        <w:rPr>
          <w:b/>
          <w:color w:val="1F3B5C"/>
          <w:sz w:val="28"/>
        </w:rPr>
        <w:t>一、决策事项</w:t>
      </w:r>
    </w:p>
    <w:p>
      <w:pPr>
        <w:spacing w:after="80"/>
      </w:pPr>
      <w:r>
        <w:rPr>
          <w:sz w:val="21"/>
        </w:rPr>
        <w:t>一句话：申请什么预算、解决什么问题、与主线（业绩 / 名单 / 现金流）的关系。</w:t>
      </w:r>
    </w:p>
    <w:p>
      <w:pPr>
        <w:spacing w:after="80"/>
      </w:pPr>
      <w:r>
        <w:rPr>
          <w:sz w:val="21"/>
        </w:rPr>
        <w:t>＿＿＿＿＿＿＿＿＿＿＿＿＿＿＿＿＿＿＿＿＿＿＿＿＿＿＿＿＿＿＿＿＿＿＿＿</w:t>
      </w:r>
    </w:p>
    <w:p>
      <w:pPr>
        <w:spacing w:before="240" w:after="80"/>
      </w:pPr>
      <w:r>
        <w:rPr>
          <w:b/>
          <w:color w:val="1F3B5C"/>
          <w:sz w:val="28"/>
        </w:rPr>
        <w:t>二、预算摘要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申请总金额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¥＿＿＿＿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预算上限（A 批准后锁定）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¥＿＿＿＿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资金用途（一句话）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换什么结果（与业绩的关联）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现金流约束确认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□ 否（财务复核）  □ 是（需说明资金来源）：＿＿＿＿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关联议题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□ 周决策会  □ 月度经营分析会  □ 专项会</w:t>
            </w:r>
          </w:p>
        </w:tc>
      </w:tr>
    </w:tbl>
    <w:p>
      <w:pPr>
        <w:spacing w:before="240" w:after="80"/>
      </w:pPr>
      <w:r>
        <w:rPr>
          <w:b/>
          <w:color w:val="1F3B5C"/>
          <w:sz w:val="28"/>
        </w:rPr>
        <w:t>三、DACI 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人选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 负责人（唯一）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＿＿＿＿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全流程推进：申请 → 执行 → 报销 → 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 批准人（唯一）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老板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一次拍板：预算上限、支出范围、执行日期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 参与者（宁少勿多）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财务（测算复核）、相关执行人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提供数据与专业意见，不拍板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 知情人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相关执行人员 / 全员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事后知悉结果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记忆口诀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——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一事一 D、一 D 一 A、C 提供弹药、I 只收结果</w:t>
            </w:r>
          </w:p>
        </w:tc>
      </w:tr>
    </w:tbl>
    <w:p>
      <w:pPr>
        <w:spacing w:before="240" w:after="80"/>
      </w:pPr>
      <w:r>
        <w:rPr>
          <w:b/>
          <w:color w:val="1F3B5C"/>
          <w:sz w:val="28"/>
        </w:rPr>
        <w:t>四、预算明细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金额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类型（一次性/月度）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用途说明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测算依据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合计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= 申请总金额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≤ 预算上限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80"/>
      </w:pPr>
      <w:r>
        <w:rPr>
          <w:sz w:val="19"/>
        </w:rPr>
        <w:t>规则：合计不得超过预算上限；任何单项超预算上限 10%，重新提交审批。</w:t>
      </w:r>
    </w:p>
    <w:p>
      <w:pPr>
        <w:spacing w:before="240" w:after="80"/>
      </w:pPr>
      <w:r>
        <w:rPr>
          <w:b/>
          <w:color w:val="1F3B5C"/>
          <w:sz w:val="28"/>
        </w:rPr>
        <w:t>五、需 A 拍板的事项（一次批完）</w:t>
      </w:r>
    </w:p>
    <w:p>
      <w:pPr>
        <w:spacing w:after="40"/>
      </w:pPr>
      <w:r>
        <w:rPr>
          <w:sz w:val="21"/>
        </w:rPr>
        <w:t>1. 预算上限：¥＿＿＿＿</w:t>
      </w:r>
    </w:p>
    <w:p>
      <w:pPr>
        <w:spacing w:after="40"/>
      </w:pPr>
      <w:r>
        <w:rPr>
          <w:sz w:val="21"/>
        </w:rPr>
        <w:t>2. 支出范围：哪些可花、哪些不可花</w:t>
      </w:r>
    </w:p>
    <w:p>
      <w:pPr>
        <w:spacing w:after="40"/>
      </w:pPr>
      <w:r>
        <w:rPr>
          <w:sz w:val="21"/>
        </w:rPr>
        <w:t>3. 执行日期：＿＿＿＿</w:t>
      </w:r>
    </w:p>
    <w:p>
      <w:pPr>
        <w:spacing w:after="40"/>
      </w:pPr>
      <w:r>
        <w:rPr>
          <w:sz w:val="21"/>
        </w:rPr>
        <w:t>4. 超支规则：超上限 10% 须重新提交，不得先斩后奏</w:t>
      </w:r>
    </w:p>
    <w:p>
      <w:pPr>
        <w:spacing w:before="240" w:after="80"/>
      </w:pPr>
      <w:r>
        <w:rPr>
          <w:b/>
          <w:color w:val="1F3B5C"/>
          <w:sz w:val="28"/>
        </w:rPr>
        <w:t>六、时间节点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责任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提交申请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＿＿＿＿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 审批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＿＿＿＿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执行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＿＿＿＿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 + 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报销（凭票据实报实销）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＿＿＿＿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财务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验收（D 提交结果，A 确认）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＿＿＿＿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 → A</w:t>
            </w:r>
          </w:p>
        </w:tc>
      </w:tr>
    </w:tbl>
    <w:p>
      <w:pPr>
        <w:spacing w:before="240" w:after="80"/>
      </w:pPr>
      <w:r>
        <w:rPr>
          <w:b/>
          <w:color w:val="1F3B5C"/>
          <w:sz w:val="28"/>
        </w:rPr>
        <w:t>七、验收标准（怎么算花得值）</w:t>
      </w:r>
    </w:p>
    <w:p>
      <w:pPr>
        <w:spacing w:after="40"/>
      </w:pPr>
      <w:r>
        <w:rPr>
          <w:sz w:val="21"/>
        </w:rPr>
        <w:t>1. 结果指标（可量化，与第二节“换什么结果”对应）：＿＿＿＿＿＿＿＿</w:t>
      </w:r>
    </w:p>
    <w:p>
      <w:pPr>
        <w:spacing w:after="40"/>
      </w:pPr>
      <w:r>
        <w:rPr>
          <w:sz w:val="21"/>
        </w:rPr>
        <w:t>2. 红绿灯：达标 = 绿 / 接近 = 黄 / 偏离 = 红</w:t>
      </w:r>
    </w:p>
    <w:p>
      <w:pPr>
        <w:spacing w:after="40"/>
      </w:pPr>
      <w:r>
        <w:rPr>
          <w:sz w:val="21"/>
        </w:rPr>
        <w:t>3. 未达标处理：复盘原因，明确责任人，结论进下次决策会</w:t>
      </w:r>
    </w:p>
    <w:p>
      <w:pPr>
        <w:spacing w:before="240" w:after="80"/>
      </w:pPr>
      <w:r>
        <w:rPr>
          <w:b/>
          <w:color w:val="1F3B5C"/>
          <w:sz w:val="28"/>
        </w:rPr>
        <w:t>八、防跑偏规则</w:t>
      </w:r>
    </w:p>
    <w:p>
      <w:pPr>
        <w:spacing w:after="40"/>
      </w:pPr>
      <w:r>
        <w:rPr>
          <w:sz w:val="21"/>
        </w:rPr>
        <w:t>1. 预算不超上限；超支先走审批，不先斩后奏。</w:t>
      </w:r>
    </w:p>
    <w:p>
      <w:pPr>
        <w:spacing w:after="40"/>
      </w:pPr>
      <w:r>
        <w:rPr>
          <w:sz w:val="21"/>
        </w:rPr>
        <w:t>2. 报销凭票据实报实销，财务复核，不设例外。</w:t>
      </w:r>
    </w:p>
    <w:p>
      <w:pPr>
        <w:spacing w:after="40"/>
      </w:pPr>
      <w:r>
        <w:rPr>
          <w:sz w:val="21"/>
        </w:rPr>
        <w:t>3. 花出去的每一笔都要能对应“换来了什么”——验收时逐项核对。</w:t>
      </w:r>
    </w:p>
    <w:p>
      <w:pPr>
        <w:spacing w:after="40"/>
      </w:pPr>
      <w:r>
        <w:rPr>
          <w:sz w:val="21"/>
        </w:rPr>
        <w:t>4. 涉及客户数据的支出，先过数据护栏核对（最小化 / 脱敏 / 客户同意 / 权限 / 事实源以伙伴云为准）。</w:t>
      </w:r>
    </w:p>
    <w:p>
      <w:pPr>
        <w:spacing w:before="240" w:after="80"/>
      </w:pPr>
      <w:r>
        <w:rPr>
          <w:b/>
          <w:color w:val="1F3B5C"/>
          <w:sz w:val="28"/>
        </w:rPr>
        <w:t>九、沉淀（D 负责）</w:t>
      </w:r>
    </w:p>
    <w:p>
      <w:pPr>
        <w:spacing w:after="40"/>
      </w:pPr>
      <w:r>
        <w:rPr>
          <w:sz w:val="21"/>
        </w:rPr>
        <w:t>1. 结果与案例 → ima 知识库（全公司可复用）。</w:t>
      </w:r>
    </w:p>
    <w:p>
      <w:pPr>
        <w:spacing w:after="40"/>
      </w:pPr>
      <w:r>
        <w:rPr>
          <w:sz w:val="21"/>
        </w:rPr>
        <w:t>2. 流程 → SOP，下次同类申请直接套用本卡。</w:t>
      </w:r>
    </w:p>
    <w:p>
      <w:pPr>
        <w:spacing w:before="240" w:after="80"/>
      </w:pPr>
      <w:r>
        <w:rPr>
          <w:b/>
          <w:color w:val="1F3B5C"/>
          <w:sz w:val="28"/>
        </w:rPr>
        <w:t>十、审批记录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 结论（批准 / 打回 / 调整）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批准金额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签名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80"/>
      </w:pPr>
      <w:r>
        <w:rPr>
          <w:sz w:val="19"/>
        </w:rPr>
        <w:t>批准后状态置“生效”；如需修改，升 V2 不覆盖。</w:t>
      </w:r>
    </w:p>
    <w:p>
      <w:pPr>
        <w:jc w:val="center"/>
      </w:pPr>
      <w:r>
        <w:rPr>
          <w:color w:val="999999"/>
          <w:sz w:val="17"/>
        </w:rPr>
        <w:t>—— 本模板依据《哇呢宝贝文档管理规范》设计 · 模板管家维护 · 打回不是批评，是标准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