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F4D78"/>
          <w:sz w:val="48"/>
        </w:rPr>
        <w:t>愛我家鄉 教師教學指引</w:t>
      </w:r>
    </w:p>
    <w:p>
      <w:pPr>
        <w:spacing w:after="280"/>
        <w:jc w:val="center"/>
      </w:pPr>
      <w:r>
        <w:rPr>
          <w:rFonts w:ascii="Calibri" w:hAnsi="Calibri"/>
          <w:color w:val="506070"/>
          <w:sz w:val="24"/>
        </w:rPr>
        <w:t>課前準備、課中引導、課後評量與常見狀況處理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D6"/>
          </w:tcPr>
          <w:p>
            <w:pPr>
              <w:spacing w:after="60"/>
            </w:pPr>
            <w:r>
              <w:rPr>
                <w:b/>
                <w:color w:val="1F4D78"/>
                <w:sz w:val="22"/>
              </w:rPr>
              <w:t>教師角色</w:t>
            </w:r>
          </w:p>
          <w:p>
            <w:pPr>
              <w:spacing w:line="288" w:lineRule="auto"/>
            </w:pPr>
            <w:r>
              <w:rPr>
                <w:rFonts w:ascii="Calibri" w:hAnsi="Calibri"/>
                <w:b w:val="0"/>
                <w:color w:val="17324A"/>
                <w:sz w:val="20"/>
              </w:rPr>
              <w:t>教師不是只講規則，而是把學生的出牌選擇轉成社會領域討論：為什麼要這樣發展？誰受益？誰承擔成本？如何避免失衡？</w:t>
            </w:r>
          </w:p>
        </w:tc>
      </w:tr>
    </w:tbl>
    <w:p>
      <w:pPr>
        <w:spacing w:after="120" w:line="300" w:lineRule="auto"/>
      </w:pPr>
    </w:p>
    <w:p>
      <w:pPr>
        <w:pStyle w:val="Heading1"/>
        <w:spacing w:before="280" w:after="140"/>
      </w:pPr>
      <w:r>
        <w:rPr>
          <w:rFonts w:ascii="Calibri" w:hAnsi="Calibri"/>
          <w:b/>
          <w:color w:val="2E74B5"/>
          <w:sz w:val="32"/>
        </w:rPr>
        <w:t>一、課前準備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準備項目</w:t>
            </w:r>
          </w:p>
        </w:tc>
        <w:tc>
          <w:tcPr>
            <w:tcW w:type="dxa" w:w="716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建議做法</w:t>
            </w:r>
          </w:p>
        </w:tc>
      </w:tr>
      <w:tr>
        <w:tc>
          <w:tcPr>
            <w:tcW w:type="dxa" w:w="2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設備</w:t>
            </w:r>
          </w:p>
        </w:tc>
        <w:tc>
          <w:tcPr>
            <w:tcW w:type="dxa" w:w="71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使用大螢幕、互動白板或投影；建議全螢幕開啟 GitHub Pages 首頁。</w:t>
            </w:r>
          </w:p>
        </w:tc>
      </w:tr>
      <w:tr>
        <w:tc>
          <w:tcPr>
            <w:tcW w:type="dxa" w:w="2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座位</w:t>
            </w:r>
          </w:p>
        </w:tc>
        <w:tc>
          <w:tcPr>
            <w:tcW w:type="dxa" w:w="71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四人一局最佳；若人數不足可用 AI 代玩。</w:t>
            </w:r>
          </w:p>
        </w:tc>
      </w:tr>
      <w:tr>
        <w:tc>
          <w:tcPr>
            <w:tcW w:type="dxa" w:w="2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時間</w:t>
            </w:r>
          </w:p>
        </w:tc>
        <w:tc>
          <w:tcPr>
            <w:tcW w:type="dxa" w:w="71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一局 30 分鐘，另留 10 分鐘結局分析與討論。</w:t>
            </w:r>
          </w:p>
        </w:tc>
      </w:tr>
      <w:tr>
        <w:tc>
          <w:tcPr>
            <w:tcW w:type="dxa" w:w="2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角色分工</w:t>
            </w:r>
          </w:p>
        </w:tc>
        <w:tc>
          <w:tcPr>
            <w:tcW w:type="dxa" w:w="71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可指定一位記錄員、一位規則提醒員、一位策略發言人。</w:t>
            </w:r>
          </w:p>
        </w:tc>
      </w:tr>
      <w:tr>
        <w:tc>
          <w:tcPr>
            <w:tcW w:type="dxa" w:w="2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教學焦點</w:t>
            </w:r>
          </w:p>
        </w:tc>
        <w:tc>
          <w:tcPr>
            <w:tcW w:type="dxa" w:w="71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本課重點不是贏牌，而是看見社區發展取捨。</w:t>
            </w:r>
          </w:p>
        </w:tc>
      </w:tr>
    </w:tbl>
    <w:p>
      <w:pPr>
        <w:pStyle w:val="Heading1"/>
        <w:spacing w:before="280" w:after="140"/>
      </w:pPr>
      <w:r>
        <w:rPr>
          <w:rFonts w:ascii="Calibri" w:hAnsi="Calibri"/>
          <w:b/>
          <w:color w:val="2E74B5"/>
          <w:sz w:val="32"/>
        </w:rPr>
        <w:t>二、課中提問句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時機</w:t>
            </w:r>
          </w:p>
        </w:tc>
        <w:tc>
          <w:tcPr>
            <w:tcW w:type="dxa" w:w="756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教師可問</w:t>
            </w:r>
          </w:p>
        </w:tc>
      </w:tr>
      <w:tr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學生放主題卡</w:t>
            </w:r>
          </w:p>
        </w:tc>
        <w:tc>
          <w:tcPr>
            <w:tcW w:type="dxa" w:w="75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這個地方特色是文化、產業、生態、信仰，還是觀光打卡？</w:t>
            </w:r>
          </w:p>
        </w:tc>
      </w:tr>
      <w:tr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學生只衝觀光</w:t>
            </w:r>
          </w:p>
        </w:tc>
        <w:tc>
          <w:tcPr>
            <w:tcW w:type="dxa" w:w="75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人變多以後，垃圾、交通、居民生活會怎麼樣？</w:t>
            </w:r>
          </w:p>
        </w:tc>
      </w:tr>
      <w:tr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學生攻擊他人</w:t>
            </w:r>
          </w:p>
        </w:tc>
        <w:tc>
          <w:tcPr>
            <w:tcW w:type="dxa" w:w="75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這張攻擊卡在真實社區中像什麼問題？誰需要處理？</w:t>
            </w:r>
          </w:p>
        </w:tc>
      </w:tr>
      <w:tr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學生防禦成功</w:t>
            </w:r>
          </w:p>
        </w:tc>
        <w:tc>
          <w:tcPr>
            <w:tcW w:type="dxa" w:w="75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這張防禦卡代表哪一種公共治理方法？</w:t>
            </w:r>
          </w:p>
        </w:tc>
      </w:tr>
      <w:tr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學生陷入危機</w:t>
            </w:r>
          </w:p>
        </w:tc>
        <w:tc>
          <w:tcPr>
            <w:tcW w:type="dxa" w:w="75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現在最該先救的是錢、人流、文化、生態，還是民心？為什麼？</w:t>
            </w:r>
          </w:p>
        </w:tc>
      </w:tr>
      <w:tr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結局分析</w:t>
            </w:r>
          </w:p>
        </w:tc>
        <w:tc>
          <w:tcPr>
            <w:tcW w:type="dxa" w:w="75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你的星芒圖哪一項最強？哪一項下次要補？</w:t>
            </w:r>
          </w:p>
        </w:tc>
      </w:tr>
    </w:tbl>
    <w:p>
      <w:pPr>
        <w:pStyle w:val="Heading1"/>
        <w:spacing w:before="280" w:after="140"/>
      </w:pPr>
      <w:r>
        <w:rPr>
          <w:rFonts w:ascii="Calibri" w:hAnsi="Calibri"/>
          <w:b/>
          <w:color w:val="2E74B5"/>
          <w:sz w:val="32"/>
        </w:rPr>
        <w:t>三、教師觀察紀錄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觀察面向</w:t>
            </w:r>
          </w:p>
        </w:tc>
        <w:tc>
          <w:tcPr>
            <w:tcW w:type="dxa" w:w="42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可記錄的學生行為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對應能力</w:t>
            </w:r>
          </w:p>
        </w:tc>
      </w:tr>
      <w:tr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認識家鄉</w:t>
            </w:r>
          </w:p>
        </w:tc>
        <w:tc>
          <w:tcPr>
            <w:tcW w:type="dxa" w:w="420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能說出主題卡代表的地方特色與故事。</w:t>
            </w:r>
          </w:p>
        </w:tc>
        <w:tc>
          <w:tcPr>
            <w:tcW w:type="dxa" w:w="336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家鄉特色理解</w:t>
            </w:r>
          </w:p>
        </w:tc>
      </w:tr>
      <w:tr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成本判斷</w:t>
            </w:r>
          </w:p>
        </w:tc>
        <w:tc>
          <w:tcPr>
            <w:tcW w:type="dxa" w:w="420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放牌前會看點數、現金流、人力或風險。</w:t>
            </w:r>
          </w:p>
        </w:tc>
        <w:tc>
          <w:tcPr>
            <w:tcW w:type="dxa" w:w="336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資源與效率判斷</w:t>
            </w:r>
          </w:p>
        </w:tc>
      </w:tr>
      <w:tr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公共生活</w:t>
            </w:r>
          </w:p>
        </w:tc>
        <w:tc>
          <w:tcPr>
            <w:tcW w:type="dxa" w:w="420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會在攻擊或人潮過高時想到居民感受。</w:t>
            </w:r>
          </w:p>
        </w:tc>
        <w:tc>
          <w:tcPr>
            <w:tcW w:type="dxa" w:w="336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公共參與與民心</w:t>
            </w:r>
          </w:p>
        </w:tc>
      </w:tr>
      <w:tr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永續思考</w:t>
            </w:r>
          </w:p>
        </w:tc>
        <w:tc>
          <w:tcPr>
            <w:tcW w:type="dxa" w:w="420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會避免文化、生態或民心被犧牲。</w:t>
            </w:r>
          </w:p>
        </w:tc>
        <w:tc>
          <w:tcPr>
            <w:tcW w:type="dxa" w:w="336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環境與文化保存</w:t>
            </w:r>
          </w:p>
        </w:tc>
      </w:tr>
      <w:tr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問題解決</w:t>
            </w:r>
          </w:p>
        </w:tc>
        <w:tc>
          <w:tcPr>
            <w:tcW w:type="dxa" w:w="420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能用防禦、陷阱或換牌處理危機。</w:t>
            </w:r>
          </w:p>
        </w:tc>
        <w:tc>
          <w:tcPr>
            <w:tcW w:type="dxa" w:w="336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策略調整</w:t>
            </w:r>
          </w:p>
        </w:tc>
      </w:tr>
    </w:tbl>
    <w:p>
      <w:pPr>
        <w:pStyle w:val="Heading1"/>
        <w:spacing w:before="280" w:after="140"/>
      </w:pPr>
      <w:r>
        <w:rPr>
          <w:rFonts w:ascii="Calibri" w:hAnsi="Calibri"/>
          <w:b/>
          <w:color w:val="2E74B5"/>
          <w:sz w:val="32"/>
        </w:rPr>
        <w:t>四、常見狀況處理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狀況</w:t>
            </w:r>
          </w:p>
        </w:tc>
        <w:tc>
          <w:tcPr>
            <w:tcW w:type="dxa" w:w="716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教師處理方式</w:t>
            </w:r>
          </w:p>
        </w:tc>
      </w:tr>
      <w:tr>
        <w:tc>
          <w:tcPr>
            <w:tcW w:type="dxa" w:w="2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學生一直攻擊別人</w:t>
            </w:r>
          </w:p>
        </w:tc>
        <w:tc>
          <w:tcPr>
            <w:tcW w:type="dxa" w:w="71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提醒攻擊也會造成自己烏雲與人流流失，引導討論衝突的成本。</w:t>
            </w:r>
          </w:p>
        </w:tc>
      </w:tr>
      <w:tr>
        <w:tc>
          <w:tcPr>
            <w:tcW w:type="dxa" w:w="2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學生只買強牌</w:t>
            </w:r>
          </w:p>
        </w:tc>
        <w:tc>
          <w:tcPr>
            <w:tcW w:type="dxa" w:w="71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請學生說明這張牌如何幫助社區，而不只是看分數。</w:t>
            </w:r>
          </w:p>
        </w:tc>
      </w:tr>
      <w:tr>
        <w:tc>
          <w:tcPr>
            <w:tcW w:type="dxa" w:w="2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學生看不懂卡牌</w:t>
            </w:r>
          </w:p>
        </w:tc>
        <w:tc>
          <w:tcPr>
            <w:tcW w:type="dxa" w:w="71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請他先點卡牌放大，再用一句話說出卡牌代表的社區問題。</w:t>
            </w:r>
          </w:p>
        </w:tc>
      </w:tr>
      <w:tr>
        <w:tc>
          <w:tcPr>
            <w:tcW w:type="dxa" w:w="2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時間不夠</w:t>
            </w:r>
          </w:p>
        </w:tc>
        <w:tc>
          <w:tcPr>
            <w:tcW w:type="dxa" w:w="71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可直接按結束遊戲進入分析與獎狀，保留反思時間。</w:t>
            </w:r>
          </w:p>
        </w:tc>
      </w:tr>
      <w:tr>
        <w:tc>
          <w:tcPr>
            <w:tcW w:type="dxa" w:w="2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AI 太快或太亂</w:t>
            </w:r>
          </w:p>
        </w:tc>
        <w:tc>
          <w:tcPr>
            <w:tcW w:type="dxa" w:w="71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把 AI 當成不同個性的同學，讓學生觀察其策略差異。</w:t>
            </w:r>
          </w:p>
        </w:tc>
      </w:tr>
    </w:tbl>
    <w:p>
      <w:pPr>
        <w:pStyle w:val="Heading1"/>
        <w:spacing w:before="280" w:after="140"/>
      </w:pPr>
      <w:r>
        <w:rPr>
          <w:rFonts w:ascii="Calibri" w:hAnsi="Calibri"/>
          <w:b/>
          <w:color w:val="2E74B5"/>
          <w:sz w:val="32"/>
        </w:rPr>
        <w:t>五、評量與回饋建議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不要只用輸贏評分，應看學生是否能說出策略理由。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可用結局星芒圖當作學生自評起點，而非唯一成績。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課後可請學生寫下：我讓家鄉變好的方法、造成的問題、下次的調整。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獎狀可作為正向回饋，重點放在努力與理解，而不是只獎第一名。</w:t>
      </w:r>
    </w:p>
    <w:p>
      <w:pPr>
        <w:pStyle w:val="Heading1"/>
        <w:spacing w:before="280" w:after="140"/>
      </w:pPr>
      <w:r>
        <w:rPr>
          <w:rFonts w:ascii="Calibri" w:hAnsi="Calibri"/>
          <w:b/>
          <w:color w:val="2E74B5"/>
          <w:sz w:val="32"/>
        </w:rPr>
        <w:t>六、可延伸的跨域任務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任務</w:t>
            </w:r>
          </w:p>
        </w:tc>
        <w:tc>
          <w:tcPr>
            <w:tcW w:type="dxa" w:w="756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做法</w:t>
            </w:r>
          </w:p>
        </w:tc>
      </w:tr>
      <w:tr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國語文</w:t>
            </w:r>
          </w:p>
        </w:tc>
        <w:tc>
          <w:tcPr>
            <w:tcW w:type="dxa" w:w="75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寫一篇地方導覽詞或社區故事短文。</w:t>
            </w:r>
          </w:p>
        </w:tc>
      </w:tr>
      <w:tr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綜合活動</w:t>
            </w:r>
          </w:p>
        </w:tc>
        <w:tc>
          <w:tcPr>
            <w:tcW w:type="dxa" w:w="75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設計一場班級社區會議，討論觀光與居民生活的衝突。</w:t>
            </w:r>
          </w:p>
        </w:tc>
      </w:tr>
      <w:tr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資訊教育</w:t>
            </w:r>
          </w:p>
        </w:tc>
        <w:tc>
          <w:tcPr>
            <w:tcW w:type="dxa" w:w="75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製作一張新卡牌，包含圖片、效果、風險與防禦關係。</w:t>
            </w:r>
          </w:p>
        </w:tc>
      </w:tr>
      <w:tr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戶外教育</w:t>
            </w:r>
          </w:p>
        </w:tc>
        <w:tc>
          <w:tcPr>
            <w:tcW w:type="dxa" w:w="75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走訪校園附近的地方特色，拍照記錄可以營造的地方。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06070"/>
        <w:sz w:val="18"/>
      </w:rPr>
      <w:t>愛我家鄉・社區營造大作戰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732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