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Times New Roman" w:eastAsia="標楷體"/>
          <w:b/>
          <w:bCs/>
          <w:sz w:val="32"/>
          <w:szCs w:val="32"/>
        </w:rPr>
        <w:t xml:space="preserve">公務人員普通考試 建築工程類科</w:t>
      </w:r>
    </w:p>
    <w:p>
      <w:pPr>
        <w:spacing w:after="1000"/>
        <w:jc w:val="center"/>
      </w:pPr>
      <w:r>
        <w:rPr>
          <w:rFonts w:ascii="Times New Roman" w:eastAsia="標楷體"/>
          <w:b/>
          <w:bCs/>
          <w:sz w:val="28"/>
          <w:szCs w:val="28"/>
        </w:rPr>
        <w:t xml:space="preserve">營建法規概要 參考答案與評分規準（104–115 年 全 49 題）</w:t>
      </w:r>
    </w:p>
    <w:p>
      <w:pPr>
        <w:pStyle w:val="Heading1"/>
        <w:spacing w:after="140" w:before="240"/>
      </w:pPr>
      <w:r>
        <w:rPr>
          <w:rFonts w:ascii="Times New Roman" w:eastAsia="標楷體"/>
          <w:b/>
          <w:bCs/>
          <w:color w:val="1F3864"/>
          <w:sz w:val="28"/>
          <w:szCs w:val="28"/>
        </w:rPr>
        <w:t xml:space="preserve">凡例</w:t>
      </w:r>
    </w:p>
    <w:p>
      <w:pPr>
        <w:spacing w:after="120" w:before="0" w:line="340"/>
        <w:jc w:val="both"/>
      </w:pPr>
      <w:r>
        <w:rPr>
          <w:rFonts w:ascii="Times New Roman" w:eastAsia="標楷體"/>
          <w:b w:val="false"/>
          <w:bCs w:val="false"/>
          <w:sz w:val="24"/>
          <w:szCs w:val="24"/>
        </w:rPr>
        <w:t xml:space="preserve">1. 本書收錄 104 至 115 年公務人員普通考試建築工程類科「營建法規概要」全部 49 題之參考答案與評分規準，供題庫複習系統之自動評分與教學講評使用。本科目歷年均為純申論題型，考選部未公布申論題標準答案。</w:t>
      </w:r>
    </w:p>
    <w:p>
      <w:pPr>
        <w:spacing w:after="120" w:before="0" w:line="340"/>
        <w:jc w:val="both"/>
      </w:pPr>
      <w:r>
        <w:rPr>
          <w:rFonts w:ascii="Times New Roman" w:eastAsia="標楷體"/>
          <w:b w:val="false"/>
          <w:bCs w:val="false"/>
          <w:sz w:val="24"/>
          <w:szCs w:val="24"/>
        </w:rPr>
        <w:t xml:space="preserve">2. 所引法條均逐條查證自全國法規資料庫、內政部主管法規共用系統及行政院公共工程委員會主管法規共用系統，並於各題「法源」欄標明條號與版本。條文內容以現行版本為準；凡現行條文與命題當年版本有實質差異者，於答案中另行標註並並陳兩者。已知實例有二：105 年第四題候選綠建築證書之效期，命題當時為五年，現行規定已改為與建造執照效力連動；106 年第三題職業安全衛生管理計畫應包括之事項，命題當時規定於職業安全衛生法施行細則第 31 條，該條現已刪除，內容移列職業安全衛生管理辦法第 12 條之 1。</w:t>
      </w:r>
    </w:p>
    <w:p>
      <w:pPr>
        <w:spacing w:after="120" w:before="0" w:line="340"/>
        <w:jc w:val="both"/>
      </w:pPr>
      <w:r>
        <w:rPr>
          <w:rFonts w:ascii="Times New Roman" w:eastAsia="標楷體"/>
          <w:b w:val="false"/>
          <w:bCs w:val="false"/>
          <w:sz w:val="24"/>
          <w:szCs w:val="24"/>
        </w:rPr>
        <w:t xml:space="preserve">3. 答案中屬於設計實務、政策脈絡或體系理解之延伸論述，而非法條明文者，均於文中明白標示，避免學生誤引為法源。個別題目所涉政策文件無法自公開資料查證者，亦於「法源」欄註明，並以可查證之法制工具作答。</w:t>
      </w:r>
    </w:p>
    <w:p>
      <w:pPr>
        <w:spacing w:after="120" w:before="0" w:line="340"/>
        <w:jc w:val="both"/>
      </w:pPr>
      <w:r>
        <w:rPr>
          <w:rFonts w:ascii="Times New Roman" w:eastAsia="標楷體"/>
          <w:b w:val="false"/>
          <w:bCs w:val="false"/>
          <w:sz w:val="24"/>
          <w:szCs w:val="24"/>
        </w:rPr>
        <w:t xml:space="preserve">4. 評分規準採 0 至 10 分制，與題庫系統之評分尺度一致。判分時先以下表定位分數帶，再依各題所列「得分要點」逐項核對，每遺漏一項於該分數帶內向下調整。</w:t>
      </w:r>
    </w:p>
    <w:p>
      <w:pPr>
        <w:spacing w:after="120" w:before="0" w:line="340"/>
        <w:jc w:val="both"/>
      </w:pPr>
      <w:r>
        <w:rPr>
          <w:rFonts w:ascii="Times New Roman" w:eastAsia="標楷體"/>
          <w:b w:val="false"/>
          <w:bCs w:val="false"/>
          <w:sz w:val="24"/>
          <w:szCs w:val="24"/>
        </w:rPr>
        <w:t xml:space="preserve">5. 本書之答案為教學參考，非考選部公布之標準答案。</w:t>
      </w:r>
    </w:p>
    <w:p>
      <w:pPr>
        <w:spacing w:after="80" w:before="200" w:line="340"/>
        <w:jc w:val="both"/>
      </w:pPr>
      <w:r>
        <w:rPr>
          <w:rFonts w:ascii="Times New Roman" w:eastAsia="標楷體"/>
          <w:b/>
          <w:bCs/>
          <w:sz w:val="24"/>
          <w:szCs w:val="24"/>
        </w:rPr>
        <w:t xml:space="preserve">通用評分規準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shd w:fill="D9E2F3" w:val="clear"/>
          </w:tcPr>
          <w:p>
            <w:pPr>
              <w:spacing w:after="40" w:before="0" w:line="340"/>
              <w:jc w:val="center"/>
            </w:pPr>
            <w:r>
              <w:rPr>
                <w:rFonts w:ascii="Times New Roman" w:eastAsia="標楷體"/>
                <w:b/>
                <w:bCs/>
                <w:sz w:val="24"/>
                <w:szCs w:val="24"/>
              </w:rPr>
              <w:t xml:space="preserve">分數帶</w:t>
            </w:r>
          </w:p>
        </w:tc>
        <w:tc>
          <w:tcPr>
            <w:tcW w:type="dxa" w:w="7600"/>
            <w:shd w:fill="D9E2F3" w:val="clear"/>
          </w:tcPr>
          <w:p>
            <w:pPr>
              <w:spacing w:after="40" w:before="0" w:line="340"/>
              <w:jc w:val="both"/>
            </w:pPr>
            <w:r>
              <w:rPr>
                <w:rFonts w:ascii="Times New Roman" w:eastAsia="標楷體"/>
                <w:b/>
                <w:bCs/>
                <w:sz w:val="24"/>
                <w:szCs w:val="24"/>
              </w:rPr>
              <w:t xml:space="preserve">判準</w:t>
            </w:r>
          </w:p>
        </w:tc>
      </w:tr>
      <w:tr>
        <w:tc>
          <w:tcPr>
            <w:tcW w:type="dxa" w:w="1400"/>
          </w:tcPr>
          <w:p>
            <w:pPr>
              <w:spacing w:after="40" w:before="0" w:line="340"/>
              <w:jc w:val="center"/>
            </w:pPr>
            <w:r>
              <w:rPr>
                <w:rFonts w:ascii="Times New Roman" w:eastAsia="標楷體"/>
                <w:b w:val="false"/>
                <w:bCs w:val="false"/>
                <w:sz w:val="24"/>
                <w:szCs w:val="24"/>
              </w:rPr>
              <w:t xml:space="preserve">9-10</w:t>
            </w:r>
          </w:p>
        </w:tc>
        <w:tc>
          <w:tcPr>
            <w:tcW w:type="dxa" w:w="7600"/>
          </w:tcPr>
          <w:p>
            <w:pPr>
              <w:spacing w:after="40" w:before="0" w:line="340"/>
              <w:jc w:val="both"/>
            </w:pPr>
            <w:r>
              <w:rPr>
                <w:rFonts w:ascii="Times New Roman" w:eastAsia="標楷體"/>
                <w:b w:val="false"/>
                <w:bCs w:val="false"/>
                <w:sz w:val="24"/>
                <w:szCs w:val="24"/>
              </w:rPr>
              <w:t xml:space="preserve">法源與條號正確，核心要件完整列舉，並能就立法目的、體系關聯或實務案例延伸論述，文字條理清楚。</w:t>
            </w:r>
          </w:p>
        </w:tc>
      </w:tr>
      <w:tr>
        <w:tc>
          <w:tcPr>
            <w:tcW w:type="dxa" w:w="1400"/>
          </w:tcPr>
          <w:p>
            <w:pPr>
              <w:spacing w:after="40" w:before="0" w:line="340"/>
              <w:jc w:val="center"/>
            </w:pPr>
            <w:r>
              <w:rPr>
                <w:rFonts w:ascii="Times New Roman" w:eastAsia="標楷體"/>
                <w:b w:val="false"/>
                <w:bCs w:val="false"/>
                <w:sz w:val="24"/>
                <w:szCs w:val="24"/>
              </w:rPr>
              <w:t xml:space="preserve">7-8</w:t>
            </w:r>
          </w:p>
        </w:tc>
        <w:tc>
          <w:tcPr>
            <w:tcW w:type="dxa" w:w="7600"/>
          </w:tcPr>
          <w:p>
            <w:pPr>
              <w:spacing w:after="40" w:before="0" w:line="340"/>
              <w:jc w:val="both"/>
            </w:pPr>
            <w:r>
              <w:rPr>
                <w:rFonts w:ascii="Times New Roman" w:eastAsia="標楷體"/>
                <w:b w:val="false"/>
                <w:bCs w:val="false"/>
                <w:sz w:val="24"/>
                <w:szCs w:val="24"/>
              </w:rPr>
              <w:t xml:space="preserve">法源正確，核心要件大致完整，僅少數項目遺漏；論述完整但延伸不足。</w:t>
            </w:r>
          </w:p>
        </w:tc>
      </w:tr>
      <w:tr>
        <w:tc>
          <w:tcPr>
            <w:tcW w:type="dxa" w:w="1400"/>
          </w:tcPr>
          <w:p>
            <w:pPr>
              <w:spacing w:after="40" w:before="0" w:line="340"/>
              <w:jc w:val="center"/>
            </w:pPr>
            <w:r>
              <w:rPr>
                <w:rFonts w:ascii="Times New Roman" w:eastAsia="標楷體"/>
                <w:b w:val="false"/>
                <w:bCs w:val="false"/>
                <w:sz w:val="24"/>
                <w:szCs w:val="24"/>
              </w:rPr>
              <w:t xml:space="preserve">5-6</w:t>
            </w:r>
          </w:p>
        </w:tc>
        <w:tc>
          <w:tcPr>
            <w:tcW w:type="dxa" w:w="7600"/>
          </w:tcPr>
          <w:p>
            <w:pPr>
              <w:spacing w:after="40" w:before="0" w:line="340"/>
              <w:jc w:val="both"/>
            </w:pPr>
            <w:r>
              <w:rPr>
                <w:rFonts w:ascii="Times New Roman" w:eastAsia="標楷體"/>
                <w:b w:val="false"/>
                <w:bCs w:val="false"/>
                <w:sz w:val="24"/>
                <w:szCs w:val="24"/>
              </w:rPr>
              <w:t xml:space="preserve">答題方向正確，惟要件明顯不足（遺漏三分之一以上），或條號誤植但實質內容正確。</w:t>
            </w:r>
          </w:p>
        </w:tc>
      </w:tr>
      <w:tr>
        <w:tc>
          <w:tcPr>
            <w:tcW w:type="dxa" w:w="1400"/>
          </w:tcPr>
          <w:p>
            <w:pPr>
              <w:spacing w:after="40" w:before="0" w:line="340"/>
              <w:jc w:val="center"/>
            </w:pPr>
            <w:r>
              <w:rPr>
                <w:rFonts w:ascii="Times New Roman" w:eastAsia="標楷體"/>
                <w:b w:val="false"/>
                <w:bCs w:val="false"/>
                <w:sz w:val="24"/>
                <w:szCs w:val="24"/>
              </w:rPr>
              <w:t xml:space="preserve">3-4</w:t>
            </w:r>
          </w:p>
        </w:tc>
        <w:tc>
          <w:tcPr>
            <w:tcW w:type="dxa" w:w="7600"/>
          </w:tcPr>
          <w:p>
            <w:pPr>
              <w:spacing w:after="40" w:before="0" w:line="340"/>
              <w:jc w:val="both"/>
            </w:pPr>
            <w:r>
              <w:rPr>
                <w:rFonts w:ascii="Times New Roman" w:eastAsia="標楷體"/>
                <w:b w:val="false"/>
                <w:bCs w:val="false"/>
                <w:sz w:val="24"/>
                <w:szCs w:val="24"/>
              </w:rPr>
              <w:t xml:space="preserve">僅能片段回答，概念與相近制度混淆，或以常識作答而未引法規。</w:t>
            </w:r>
          </w:p>
        </w:tc>
      </w:tr>
      <w:tr>
        <w:tc>
          <w:tcPr>
            <w:tcW w:type="dxa" w:w="1400"/>
          </w:tcPr>
          <w:p>
            <w:pPr>
              <w:spacing w:after="40" w:before="0" w:line="340"/>
              <w:jc w:val="center"/>
            </w:pPr>
            <w:r>
              <w:rPr>
                <w:rFonts w:ascii="Times New Roman" w:eastAsia="標楷體"/>
                <w:b w:val="false"/>
                <w:bCs w:val="false"/>
                <w:sz w:val="24"/>
                <w:szCs w:val="24"/>
              </w:rPr>
              <w:t xml:space="preserve">1-2</w:t>
            </w:r>
          </w:p>
        </w:tc>
        <w:tc>
          <w:tcPr>
            <w:tcW w:type="dxa" w:w="7600"/>
          </w:tcPr>
          <w:p>
            <w:pPr>
              <w:spacing w:after="40" w:before="0" w:line="340"/>
              <w:jc w:val="both"/>
            </w:pPr>
            <w:r>
              <w:rPr>
                <w:rFonts w:ascii="Times New Roman" w:eastAsia="標楷體"/>
                <w:b w:val="false"/>
                <w:bCs w:val="false"/>
                <w:sz w:val="24"/>
                <w:szCs w:val="24"/>
              </w:rPr>
              <w:t xml:space="preserve">僅寫出零星關鍵詞，未成論述。</w:t>
            </w:r>
          </w:p>
        </w:tc>
      </w:tr>
      <w:tr>
        <w:tc>
          <w:tcPr>
            <w:tcW w:type="dxa" w:w="1400"/>
          </w:tcPr>
          <w:p>
            <w:pPr>
              <w:spacing w:after="40" w:before="0" w:line="340"/>
              <w:jc w:val="center"/>
            </w:pPr>
            <w:r>
              <w:rPr>
                <w:rFonts w:ascii="Times New Roman" w:eastAsia="標楷體"/>
                <w:b w:val="false"/>
                <w:bCs w:val="false"/>
                <w:sz w:val="24"/>
                <w:szCs w:val="24"/>
              </w:rPr>
              <w:t xml:space="preserve">0</w:t>
            </w:r>
          </w:p>
        </w:tc>
        <w:tc>
          <w:tcPr>
            <w:tcW w:type="dxa" w:w="7600"/>
          </w:tcPr>
          <w:p>
            <w:pPr>
              <w:spacing w:after="40" w:before="0" w:line="340"/>
              <w:jc w:val="both"/>
            </w:pPr>
            <w:r>
              <w:rPr>
                <w:rFonts w:ascii="Times New Roman" w:eastAsia="標楷體"/>
                <w:b w:val="false"/>
                <w:bCs w:val="false"/>
                <w:sz w:val="24"/>
                <w:szCs w:val="24"/>
              </w:rPr>
              <w:t xml:space="preserve">空白、完全離題，或所述法規與題目無關。</w:t>
            </w:r>
          </w:p>
        </w:tc>
      </w:tr>
    </w:tbl>
    <w:p>
      <w:r>
        <w:br w:type="page"/>
      </w:r>
    </w:p>
    <w:p>
      <w:pPr>
        <w:pStyle w:val="Heading1"/>
        <w:spacing w:after="140" w:before="240"/>
      </w:pPr>
      <w:r>
        <w:rPr>
          <w:rFonts w:ascii="Times New Roman" w:eastAsia="標楷體"/>
          <w:b/>
          <w:bCs/>
          <w:color w:val="1F3864"/>
          <w:sz w:val="28"/>
          <w:szCs w:val="28"/>
        </w:rPr>
        <w:t xml:space="preserve">104 年公務人員普通考試 建築工程 營建法規概要（試題代號 43650）</w:t>
      </w:r>
    </w:p>
    <w:p>
      <w:pPr>
        <w:pStyle w:val="Heading2"/>
        <w:spacing w:after="140" w:before="240"/>
      </w:pPr>
      <w:r>
        <w:rPr>
          <w:rFonts w:ascii="Times New Roman" w:eastAsia="標楷體"/>
          <w:b/>
          <w:bCs/>
          <w:color w:val="1F3864"/>
          <w:sz w:val="26"/>
          <w:szCs w:val="26"/>
        </w:rPr>
        <w:t xml:space="preserve">一、題目（25 分）</w:t>
      </w:r>
    </w:p>
    <w:p>
      <w:pPr>
        <w:spacing w:after="120" w:before="0" w:line="340"/>
        <w:jc w:val="both"/>
      </w:pPr>
      <w:r>
        <w:rPr>
          <w:rFonts w:ascii="Times New Roman" w:eastAsia="標楷體"/>
          <w:b w:val="false"/>
          <w:bCs w:val="false"/>
          <w:sz w:val="24"/>
          <w:szCs w:val="24"/>
        </w:rPr>
        <w:t xml:space="preserve">近年來建築物多朝高層化、複合化發展，建築工程施工一有不慎，往往影響公共安全，營建法規中對於施工與維護公共安全管理也有許多規定，試概要說明建築法第 5 章中有關施工管理之規定。</w:t>
      </w:r>
    </w:p>
    <w:p>
      <w:pPr>
        <w:spacing w:after="120" w:before="0" w:line="340"/>
        <w:jc w:val="both"/>
      </w:pPr>
      <w:r>
        <w:rPr>
          <w:rFonts w:ascii="Times New Roman" w:eastAsia="標楷體"/>
          <w:b w:val="false"/>
          <w:bCs w:val="false"/>
          <w:color w:val="44546A"/>
          <w:sz w:val="22"/>
          <w:szCs w:val="22"/>
        </w:rPr>
        <w:t xml:space="preserve">【法源】建築法第五章「施工管理」第 53 條至第 69 條（現行條文為民國 111 年 5 月 11 日修正公布）</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建築法第五章以第 53 條至第 69 條規範建造行為自開工至完工期間之管理，其立法核心在於將施工期間之公共安全、公共交通與公共衛生責任，明確分配予起造人、承造人與監造人三方，並賦予主管建築機關隨時介入之權限。以下依條文順序歸納。</w:t>
      </w:r>
    </w:p>
    <w:p>
      <w:pPr>
        <w:spacing w:after="120" w:before="0" w:line="340"/>
        <w:jc w:val="both"/>
      </w:pPr>
      <w:r>
        <w:rPr>
          <w:rFonts w:ascii="Times New Roman" w:eastAsia="標楷體"/>
          <w:b w:val="false"/>
          <w:bCs w:val="false"/>
          <w:sz w:val="24"/>
          <w:szCs w:val="24"/>
        </w:rPr>
        <w:t xml:space="preserve">期限管理方面，第 53 條規定主管建築機關發照時應依建築期限基準核定建築期限，自開工之日起算；承造人因故未能完工者得申請展期一年並以一次為限，逾期則執照失效。第 54 條規定起造人應自領照之日起六個月內開工，並於開工前會同承造人及監造人申報開工日期與承造人施工計畫書，因故不能開工者得申請展期一次、期限三個月，逾期執照亦失其效力。</w:t>
      </w:r>
    </w:p>
    <w:p>
      <w:pPr>
        <w:spacing w:after="120" w:before="0" w:line="340"/>
        <w:jc w:val="both"/>
      </w:pPr>
      <w:r>
        <w:rPr>
          <w:rFonts w:ascii="Times New Roman" w:eastAsia="標楷體"/>
          <w:b w:val="false"/>
          <w:bCs w:val="false"/>
          <w:sz w:val="24"/>
          <w:szCs w:val="24"/>
        </w:rPr>
        <w:t xml:space="preserve">申報與勘驗方面，第 55 條規定變更起造人、承造人、監造人或工程中止、廢止者，應即申報主管建築機關備案；中止工程之可供使用部分應辦理變更設計申請使用，不堪使用部分應由起造人拆除。第 56 條規定建築工程必須勘驗部分，應由承造人會同監造人按時申報後方得繼續施工，主管建築機關並得隨時勘驗；第 62 條則要求勘驗人員應出示身分證明文件，未出示者相關人得拒絕勘驗，此係對行政權之程序性節制。</w:t>
      </w:r>
    </w:p>
    <w:p>
      <w:pPr>
        <w:spacing w:after="120" w:before="0" w:line="340"/>
        <w:jc w:val="both"/>
      </w:pPr>
      <w:r>
        <w:rPr>
          <w:rFonts w:ascii="Times New Roman" w:eastAsia="標楷體"/>
          <w:b w:val="false"/>
          <w:bCs w:val="false"/>
          <w:sz w:val="24"/>
          <w:szCs w:val="24"/>
        </w:rPr>
        <w:t xml:space="preserve">違規處置方面，第 58 條為本章樞紐條文，規定建築物施工中經勘驗發現妨礙都市計畫、妨礙區域計畫、危害公共安全、妨礙公共交通、妨礙公共衛生、主要構造或位置或高度或面積與核定圖說不符，或違反本法其他規定及基於本法所發布之命令等七款情事之一者，應以書面通知承造人或起造人或監造人勒令停工或修改，必要時得強制拆除。第 61 條課予監造人義務，施工中如有第 58 條各款情事，應分別通知承造人及起造人修改，未依規定修改者應即申報主管建築機關處理。第 59 條則處理都市計畫或區域計畫變更之情形，主管建築機關得令已領照未開工或施工中之建築物停工並辦理變更設計，因而必須拆除者應按市價補償。</w:t>
      </w:r>
    </w:p>
    <w:p>
      <w:pPr>
        <w:spacing w:after="120" w:before="0" w:line="340"/>
        <w:jc w:val="both"/>
      </w:pPr>
      <w:r>
        <w:rPr>
          <w:rFonts w:ascii="Times New Roman" w:eastAsia="標楷體"/>
          <w:b w:val="false"/>
          <w:bCs w:val="false"/>
          <w:sz w:val="24"/>
          <w:szCs w:val="24"/>
        </w:rPr>
        <w:t xml:space="preserve">責任分配方面，第 60 條明定建築物由監造人負責監造，施工不合規定或肇致起造人損失時之賠償責任：監造人認為不合規定或承造人擅自施工而必須修改、拆除、重建或補強者，由承造人負賠償責任；承造人未按核准圖說施工而監造人認為合格，經勘驗不合規定必須修改、拆除、重建或補強者，由承造人負賠償責任，承造人之專任工程人員及監造人負連帶責任。</w:t>
      </w:r>
    </w:p>
    <w:p>
      <w:pPr>
        <w:spacing w:after="120" w:before="0" w:line="340"/>
        <w:jc w:val="both"/>
      </w:pPr>
      <w:r>
        <w:rPr>
          <w:rFonts w:ascii="Times New Roman" w:eastAsia="標楷體"/>
          <w:b w:val="false"/>
          <w:bCs w:val="false"/>
          <w:sz w:val="24"/>
          <w:szCs w:val="24"/>
        </w:rPr>
        <w:t xml:space="preserve">工地安全與環境維護方面，第 63 條要求施工場所應有維護安全、防範危險及預防火災之適當設備或措施；第 64 條規定建築材料及機具之堆放不得妨礙交通及公共安全；第 65 條規定工地使用機械施工者不得作使用目的以外之用途、不得超過性能範圍，應備掣動與信號裝置，自身不能穩定者應扶以撐柱或拉索；第 66 條規定二層以上建築物施工時，施工部分距道路境界線或基地境界線不足二公尺半者，或五層以上建築物施工時，應設置防止物體墜落之適當圍籬；第 67 條授權主管建築機關對發生激烈震動、噪音及灰塵散播之施工方法或設備，令其作必要措施或限制作業時間。</w:t>
      </w:r>
    </w:p>
    <w:p>
      <w:pPr>
        <w:spacing w:after="120" w:before="0" w:line="340"/>
        <w:jc w:val="both"/>
      </w:pPr>
      <w:r>
        <w:rPr>
          <w:rFonts w:ascii="Times New Roman" w:eastAsia="標楷體"/>
          <w:b w:val="false"/>
          <w:bCs w:val="false"/>
          <w:sz w:val="24"/>
          <w:szCs w:val="24"/>
        </w:rPr>
        <w:t xml:space="preserve">對第三人及鄰地之保護方面，第 68 條規定承造人施工中不得損及道路、溝渠等公共設施，必須損壞時應先報經各該主管機關核准並約定維護標準、責任及修復期限，損壞原因消失後應即修復；第 69 條規定鄰接其他建築物施行挖土工程時，應視需要作防護傾斜或倒壞之措施，挖土深度在一公尺半以上者，其防護措施之設計圖樣及說明書應於申請建造執照或雜項執照時一併送審。</w:t>
      </w:r>
    </w:p>
    <w:p>
      <w:pPr>
        <w:spacing w:after="120" w:before="0" w:line="340"/>
        <w:jc w:val="both"/>
      </w:pPr>
      <w:r>
        <w:rPr>
          <w:rFonts w:ascii="Times New Roman" w:eastAsia="標楷體"/>
          <w:b w:val="false"/>
          <w:bCs w:val="false"/>
          <w:sz w:val="24"/>
          <w:szCs w:val="24"/>
        </w:rPr>
        <w:t xml:space="preserve">綜言之，第五章之管理邏輯為「期限管制—申報勘驗—違規停工—責任賠償—工地與鄰地安全」五個層次，其中第 58 條與第 60 條分別為公權力介入與私法責任分配之關鍵條文，第 69 條則為近年基地開挖鄰損爭議之直接依據。</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（1）指出章名與條次範圍（第五章施工管理，第 53 至 69 條）</w:t>
      </w:r>
    </w:p>
    <w:p>
      <w:pPr>
        <w:spacing w:after="120" w:before="0" w:line="340"/>
        <w:jc w:val="both"/>
      </w:pPr>
      <w:r>
        <w:rPr>
          <w:rFonts w:ascii="Times New Roman" w:eastAsia="標楷體"/>
          <w:b w:val="false"/>
          <w:bCs w:val="false"/>
          <w:sz w:val="22"/>
          <w:szCs w:val="22"/>
        </w:rPr>
        <w:t xml:space="preserve">（2）第 53、54 條建築期限與開工期限及展期規定</w:t>
      </w:r>
    </w:p>
    <w:p>
      <w:pPr>
        <w:spacing w:after="120" w:before="0" w:line="340"/>
        <w:jc w:val="both"/>
      </w:pPr>
      <w:r>
        <w:rPr>
          <w:rFonts w:ascii="Times New Roman" w:eastAsia="標楷體"/>
          <w:b w:val="false"/>
          <w:bCs w:val="false"/>
          <w:sz w:val="22"/>
          <w:szCs w:val="22"/>
        </w:rPr>
        <w:t xml:space="preserve">（3）第 55、56 條變更申報備案與必須勘驗部分之申報</w:t>
      </w:r>
    </w:p>
    <w:p>
      <w:pPr>
        <w:spacing w:after="120" w:before="0" w:line="340"/>
        <w:jc w:val="both"/>
      </w:pPr>
      <w:r>
        <w:rPr>
          <w:rFonts w:ascii="Times New Roman" w:eastAsia="標楷體"/>
          <w:b w:val="false"/>
          <w:bCs w:val="false"/>
          <w:sz w:val="22"/>
          <w:szCs w:val="22"/>
        </w:rPr>
        <w:t xml:space="preserve">（4）第 58 條勒令停工、修改或強制拆除之七款事由</w:t>
      </w:r>
    </w:p>
    <w:p>
      <w:pPr>
        <w:spacing w:after="120" w:before="0" w:line="340"/>
        <w:jc w:val="both"/>
      </w:pPr>
      <w:r>
        <w:rPr>
          <w:rFonts w:ascii="Times New Roman" w:eastAsia="標楷體"/>
          <w:b w:val="false"/>
          <w:bCs w:val="false"/>
          <w:sz w:val="22"/>
          <w:szCs w:val="22"/>
        </w:rPr>
        <w:t xml:space="preserve">（5）第 60、61 條監造人責任、賠償責任分配與通知申報義務</w:t>
      </w:r>
    </w:p>
    <w:p>
      <w:pPr>
        <w:spacing w:after="120" w:before="0" w:line="340"/>
        <w:jc w:val="both"/>
      </w:pPr>
      <w:r>
        <w:rPr>
          <w:rFonts w:ascii="Times New Roman" w:eastAsia="標楷體"/>
          <w:b w:val="false"/>
          <w:bCs w:val="false"/>
          <w:sz w:val="22"/>
          <w:szCs w:val="22"/>
        </w:rPr>
        <w:t xml:space="preserve">（6）第 63 至 67 條工地安全、材料機具堆放、機械施工、防墜圍籬、震動噪音管制</w:t>
      </w:r>
    </w:p>
    <w:p>
      <w:pPr>
        <w:spacing w:after="120" w:before="0" w:line="340"/>
        <w:jc w:val="both"/>
      </w:pPr>
      <w:r>
        <w:rPr>
          <w:rFonts w:ascii="Times New Roman" w:eastAsia="標楷體"/>
          <w:b w:val="false"/>
          <w:bCs w:val="false"/>
          <w:sz w:val="22"/>
          <w:szCs w:val="22"/>
        </w:rPr>
        <w:t xml:space="preserve">（7）第 68、69 條公共設施損壞處理與鄰接建築物挖土防護（挖土深度 1.5 公尺以上須一併送審）</w:t>
      </w:r>
    </w:p>
    <w:p>
      <w:pPr>
        <w:pStyle w:val="Heading2"/>
        <w:spacing w:after="140" w:before="240"/>
      </w:pPr>
      <w:r>
        <w:rPr>
          <w:rFonts w:ascii="Times New Roman" w:eastAsia="標楷體"/>
          <w:b/>
          <w:bCs/>
          <w:color w:val="1F3864"/>
          <w:sz w:val="26"/>
          <w:szCs w:val="26"/>
        </w:rPr>
        <w:t xml:space="preserve">二、題目（25 分）</w:t>
      </w:r>
    </w:p>
    <w:p>
      <w:pPr>
        <w:spacing w:after="120" w:before="0" w:line="340"/>
        <w:jc w:val="both"/>
      </w:pPr>
      <w:r>
        <w:rPr>
          <w:rFonts w:ascii="Times New Roman" w:eastAsia="標楷體"/>
          <w:b w:val="false"/>
          <w:bCs w:val="false"/>
          <w:sz w:val="24"/>
          <w:szCs w:val="24"/>
        </w:rPr>
        <w:t xml:space="preserve">為使國人有更優質、舒適及健康之居住環境，行政院智慧綠建築推動方案除延續公有新建建築物總工程建造費用達 5 仟萬元以上者應申請綠建築標章及候選證書外，並規定自 102 年 7 月 1 日起，總工程建造費用達 2 億元以上者，同時還必須取得智慧建築標章及候選證書。試依相關規定，概要說明智慧綠建築之定義及其標章各指標之名稱。</w:t>
      </w:r>
    </w:p>
    <w:p>
      <w:pPr>
        <w:spacing w:after="120" w:before="0" w:line="340"/>
        <w:jc w:val="both"/>
      </w:pPr>
      <w:r>
        <w:rPr>
          <w:rFonts w:ascii="Times New Roman" w:eastAsia="標楷體"/>
          <w:b w:val="false"/>
          <w:bCs w:val="false"/>
          <w:color w:val="44546A"/>
          <w:sz w:val="22"/>
          <w:szCs w:val="22"/>
        </w:rPr>
        <w:t xml:space="preserve">【法源】行政院核定「智慧綠建築推動方案」（101 至 104 年，後續由 105 至 109 年「永續智慧城市－智慧綠建築與社區推動方案」接續）；綠建築標章評估系統 EEWH（內政部建築研究所）；智慧建築標章評估手冊（內政部建築研究所，財團法人台灣建築中心受託評定）</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智慧綠建築並非法律用語，而係政策方案所建立之複合性概念。依行政院核定之智慧綠建築推動方案，其意旨為：以綠建築生態、節能、減廢、健康之四大範疇為基礎，導入資訊、通信與自動控制等科技，透過建築自動化系統與系統整合，使建築物在生命週期中同時具備安全、健康、便利、舒適、節能與永續之性能。換言之，綠建築處理的是建築物與環境之關係，智慧建築處理的是建築物與使用者之互動與管理效率，二者疊合始構成智慧綠建築。此一定義應扣合政策文件之文字，答題時宜註明其為行政院方案之政策定義，而非建築法或建築技術規則之法定定義。</w:t>
      </w:r>
    </w:p>
    <w:p>
      <w:pPr>
        <w:spacing w:after="120" w:before="0" w:line="340"/>
        <w:jc w:val="both"/>
      </w:pPr>
      <w:r>
        <w:rPr>
          <w:rFonts w:ascii="Times New Roman" w:eastAsia="標楷體"/>
          <w:b w:val="false"/>
          <w:bCs w:val="false"/>
          <w:sz w:val="24"/>
          <w:szCs w:val="24"/>
        </w:rPr>
        <w:t xml:space="preserve">綠建築標章之評估系統（EEWH）採九大指標，並歸屬於四大範疇。生態範疇包括生物多樣性指標、綠化量指標與基地保水指標；節能範疇為日常節能指標；減廢範疇包括二氧化碳減量指標與廢棄物減量指標；健康範疇包括室內環境指標、水資源指標與污水垃圾改善指標。分級由低而高依序為合格級、銅級、銀級、黃金級、鑽石級五級。取得建造執照而尚在施工階段者取得候選綠建築證書，取得使用執照後始得申請綠建築標章。</w:t>
      </w:r>
    </w:p>
    <w:p>
      <w:pPr>
        <w:spacing w:after="120" w:before="0" w:line="340"/>
        <w:jc w:val="both"/>
      </w:pPr>
      <w:r>
        <w:rPr>
          <w:rFonts w:ascii="Times New Roman" w:eastAsia="標楷體"/>
          <w:b w:val="false"/>
          <w:bCs w:val="false"/>
          <w:sz w:val="24"/>
          <w:szCs w:val="24"/>
        </w:rPr>
        <w:t xml:space="preserve">智慧建築標章之評估系統採八項指標，其中綜合佈線、資訊通信、系統整合、設施管理四項屬基本規定指標，為必須通過之項目；安全防災、節能管理、健康舒適、智慧創新四項屬鼓勵性指標。綜合佈線提供實體網路基礎，資訊通信確保對外連通與服務品質，系統整合處理各子系統間之介面與資料交換，設施管理則涵蓋營運階段之維護管理機制；後四項則分別對應防災應變、能源監控、環境品質與創新加值。</w:t>
      </w:r>
    </w:p>
    <w:p>
      <w:pPr>
        <w:spacing w:after="120" w:before="0" w:line="340"/>
        <w:jc w:val="both"/>
      </w:pPr>
      <w:r>
        <w:rPr>
          <w:rFonts w:ascii="Times New Roman" w:eastAsia="標楷體"/>
          <w:b w:val="false"/>
          <w:bCs w:val="false"/>
          <w:sz w:val="24"/>
          <w:szCs w:val="24"/>
        </w:rPr>
        <w:t xml:space="preserve">就題幹所述之門檻而言，公有新建建築物總工程建造費用達新臺幣五千萬元以上者應取得候選綠建築證書及綠建築標章；自 102 年 7 月 1 日起，總工程建造費用達新臺幣二億元以上之公有新建建築物，並應同時取得候選智慧建築證書及智慧建築標章。此一雙軌門檻即為智慧綠建築政策在公有建築上之具體落實工具。</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（1）說明智慧綠建築為政策方案概念，以綠建築為基礎導入資通訊與建築自動化</w:t>
      </w:r>
    </w:p>
    <w:p>
      <w:pPr>
        <w:spacing w:after="120" w:before="0" w:line="340"/>
        <w:jc w:val="both"/>
      </w:pPr>
      <w:r>
        <w:rPr>
          <w:rFonts w:ascii="Times New Roman" w:eastAsia="標楷體"/>
          <w:b w:val="false"/>
          <w:bCs w:val="false"/>
          <w:sz w:val="22"/>
          <w:szCs w:val="22"/>
        </w:rPr>
        <w:t xml:space="preserve">（2）綠建築九大指標名稱完整（生物多樣性、綠化量、基地保水、日常節能、CO2 減量、廢棄物減量、室內環境、水資源、污水垃圾改善）</w:t>
      </w:r>
    </w:p>
    <w:p>
      <w:pPr>
        <w:spacing w:after="120" w:before="0" w:line="340"/>
        <w:jc w:val="both"/>
      </w:pPr>
      <w:r>
        <w:rPr>
          <w:rFonts w:ascii="Times New Roman" w:eastAsia="標楷體"/>
          <w:b w:val="false"/>
          <w:bCs w:val="false"/>
          <w:sz w:val="22"/>
          <w:szCs w:val="22"/>
        </w:rPr>
        <w:t xml:space="preserve">（3）綠建築四大範疇（生態、節能、減廢、健康）之對應</w:t>
      </w:r>
    </w:p>
    <w:p>
      <w:pPr>
        <w:spacing w:after="120" w:before="0" w:line="340"/>
        <w:jc w:val="both"/>
      </w:pPr>
      <w:r>
        <w:rPr>
          <w:rFonts w:ascii="Times New Roman" w:eastAsia="標楷體"/>
          <w:b w:val="false"/>
          <w:bCs w:val="false"/>
          <w:sz w:val="22"/>
          <w:szCs w:val="22"/>
        </w:rPr>
        <w:t xml:space="preserve">（4）智慧建築八項指標名稱完整（綜合佈線、資訊通信、系統整合、設施管理、安全防災、節能管理、健康舒適、智慧創新）</w:t>
      </w:r>
    </w:p>
    <w:p>
      <w:pPr>
        <w:spacing w:after="120" w:before="0" w:line="340"/>
        <w:jc w:val="both"/>
      </w:pPr>
      <w:r>
        <w:rPr>
          <w:rFonts w:ascii="Times New Roman" w:eastAsia="標楷體"/>
          <w:b w:val="false"/>
          <w:bCs w:val="false"/>
          <w:sz w:val="22"/>
          <w:szCs w:val="22"/>
        </w:rPr>
        <w:t xml:space="preserve">（5）區分基本規定指標四項與鼓勵性指標四項</w:t>
      </w:r>
    </w:p>
    <w:p>
      <w:pPr>
        <w:spacing w:after="120" w:before="0" w:line="340"/>
        <w:jc w:val="both"/>
      </w:pPr>
      <w:r>
        <w:rPr>
          <w:rFonts w:ascii="Times New Roman" w:eastAsia="標楷體"/>
          <w:b w:val="false"/>
          <w:bCs w:val="false"/>
          <w:sz w:val="22"/>
          <w:szCs w:val="22"/>
        </w:rPr>
        <w:t xml:space="preserve">（6）說明 5,000 萬元與 2 億元之公有建築物門檻</w:t>
      </w:r>
    </w:p>
    <w:p>
      <w:pPr>
        <w:pStyle w:val="Heading2"/>
        <w:spacing w:after="140" w:before="240"/>
      </w:pPr>
      <w:r>
        <w:rPr>
          <w:rFonts w:ascii="Times New Roman" w:eastAsia="標楷體"/>
          <w:b/>
          <w:bCs/>
          <w:color w:val="1F3864"/>
          <w:sz w:val="26"/>
          <w:szCs w:val="26"/>
        </w:rPr>
        <w:t xml:space="preserve">三、題目（25 分）</w:t>
      </w:r>
    </w:p>
    <w:p>
      <w:pPr>
        <w:spacing w:after="120" w:before="0" w:line="340"/>
        <w:jc w:val="both"/>
      </w:pPr>
      <w:r>
        <w:rPr>
          <w:rFonts w:ascii="Times New Roman" w:eastAsia="標楷體"/>
          <w:b w:val="false"/>
          <w:bCs w:val="false"/>
          <w:sz w:val="24"/>
          <w:szCs w:val="24"/>
        </w:rPr>
        <w:t xml:space="preserve">依據建築技術規則規定，建築物停車空間應留設供汽車進出用之車道，試概要說明對於每輛停車位長寬、車道之寬度、坡度及曲線半徑之規定，並探討於地下室停車空間設計與施工時應注意事項。</w:t>
      </w:r>
    </w:p>
    <w:p>
      <w:pPr>
        <w:spacing w:after="120" w:before="0" w:line="340"/>
        <w:jc w:val="both"/>
      </w:pPr>
      <w:r>
        <w:rPr>
          <w:rFonts w:ascii="Times New Roman" w:eastAsia="標楷體"/>
          <w:b w:val="false"/>
          <w:bCs w:val="false"/>
          <w:color w:val="44546A"/>
          <w:sz w:val="22"/>
          <w:szCs w:val="22"/>
        </w:rPr>
        <w:t xml:space="preserve">【法源】建築技術規則建築設計施工編第 59 條、第 60 條、第 61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停車位尺寸依建築技術規則建築設計施工編第 60 條第 1 項第 1 款，每輛停車位為寬二點五公尺、長五點五公尺；但停車位角度在三十度以下者，停車位長度為六公尺；大客車每輛停車位為寬四公尺、長十二點四公尺。同條第 2 款規定設置於室內之停車位，其五分之一車位數每輛寬度得寬減二十公分，但停車位長邊鄰接牆壁者不得寬減，且寬減之停車位不得連續設置。第 3 款規定機械停車位每輛為寬二點五公尺、長五點五公尺、淨高一點八公尺以上，不供乘車人進出使用部分寬得為二點二公尺、淨高一點六公尺以上。第 4 款規定設置汽車昇降機者，應留設寬三點五公尺以上、長五點七公尺以上之昇降機道。</w:t>
      </w:r>
    </w:p>
    <w:p>
      <w:pPr>
        <w:spacing w:after="120" w:before="0" w:line="340"/>
        <w:jc w:val="both"/>
      </w:pPr>
      <w:r>
        <w:rPr>
          <w:rFonts w:ascii="Times New Roman" w:eastAsia="標楷體"/>
          <w:b w:val="false"/>
          <w:bCs w:val="false"/>
          <w:sz w:val="24"/>
          <w:szCs w:val="24"/>
        </w:rPr>
        <w:t xml:space="preserve">車道規定依同編第 61 條。車道寬度部分，單車道應為三點五公尺以上，雙車道應為五點五公尺以上；停車位角度超過六十度者，其停車位前方應留設深六公尺、寬五公尺以上之空間。車道坡度部分，不得超過一比六，其表面應用粗面或其他不滑之材料。曲線半徑部分，車道之內側曲線半徑應為五公尺以上。</w:t>
      </w:r>
    </w:p>
    <w:p>
      <w:pPr>
        <w:spacing w:after="120" w:before="0" w:line="340"/>
        <w:jc w:val="both"/>
      </w:pPr>
      <w:r>
        <w:rPr>
          <w:rFonts w:ascii="Times New Roman" w:eastAsia="標楷體"/>
          <w:b w:val="false"/>
          <w:bCs w:val="false"/>
          <w:sz w:val="24"/>
          <w:szCs w:val="24"/>
        </w:rPr>
        <w:t xml:space="preserve">另依第 60 條第 1 項第 5 款，基地面積在一千五百平方公尺以上者，其設於地面層以外樓層之停車空間應設汽車車道（坡道）；第 6 款規定車道供雙向通行且服務車位數未達五十輛者得為單車道寬度，五十輛以上者，自第五十輛車位至汽車進出口及汽車進出口至道路間之通路寬度應為雙車道寬度，但汽車進出口分別設置且供單向通行者，其進口及出口得為單車道寬度。停車空間之設置標準則依第 59 條之附表，按建築物用途分五類，並區分都市計畫內外區域計算。</w:t>
      </w:r>
    </w:p>
    <w:p>
      <w:pPr>
        <w:spacing w:after="120" w:before="0" w:line="340"/>
        <w:jc w:val="both"/>
      </w:pPr>
      <w:r>
        <w:rPr>
          <w:rFonts w:ascii="Times New Roman" w:eastAsia="標楷體"/>
          <w:b w:val="false"/>
          <w:bCs w:val="false"/>
          <w:sz w:val="24"/>
          <w:szCs w:val="24"/>
        </w:rPr>
        <w:t xml:space="preserve">地下室停車空間之設計與施工注意事項，以下屬設計實務考量，並非法條明文，答題時宜與前述法定尺寸分別敘述。設計面應注意：車道坡道之起訖端須設緩衝段以避免車輛托底，坡道與道路交會處須留設平緩之等待空間與視距；柱位與車位、車道之套疊須避免柱角侵入迴轉半徑；地下各層淨高須同時滿足車輛通行、梁深、消防與空調管線及機械停車設備之需求；排水應於坡道底端設置截水溝與集水坑並配置抽水設備；通風換氣須配合一氧化碳濃度偵測與排煙需求；照明與標誌須確保行車與行人動線分離。施工面應注意：開挖擋土支撐系統之設計與監測、鄰接建築物之保護（建築法第 69 條之防護措施及送審義務）、地下水位處理與抽水引致之地層沉陷、結構體之防水與地下水浮力上舉之抗浮設計、以及施工中之交通維持與土方運輸管理。</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（1）停車位尺寸：寬 2.5 公尺、長 5.5 公尺；角度 30 度以下長 6 公尺（第 60 條第 1 款）</w:t>
      </w:r>
    </w:p>
    <w:p>
      <w:pPr>
        <w:spacing w:after="120" w:before="0" w:line="340"/>
        <w:jc w:val="both"/>
      </w:pPr>
      <w:r>
        <w:rPr>
          <w:rFonts w:ascii="Times New Roman" w:eastAsia="標楷體"/>
          <w:b w:val="false"/>
          <w:bCs w:val="false"/>
          <w:sz w:val="22"/>
          <w:szCs w:val="22"/>
        </w:rPr>
        <w:t xml:space="preserve">（2）大客車 4 公尺 × 12.4 公尺、機械停車位淨高 1.8 公尺以上等特殊規定</w:t>
      </w:r>
    </w:p>
    <w:p>
      <w:pPr>
        <w:spacing w:after="120" w:before="0" w:line="340"/>
        <w:jc w:val="both"/>
      </w:pPr>
      <w:r>
        <w:rPr>
          <w:rFonts w:ascii="Times New Roman" w:eastAsia="標楷體"/>
          <w:b w:val="false"/>
          <w:bCs w:val="false"/>
          <w:sz w:val="22"/>
          <w:szCs w:val="22"/>
        </w:rPr>
        <w:t xml:space="preserve">（3）車道寬度：單車道 3.5 公尺以上、雙車道 5.5 公尺以上（第 61 條第 1 款）</w:t>
      </w:r>
    </w:p>
    <w:p>
      <w:pPr>
        <w:spacing w:after="120" w:before="0" w:line="340"/>
        <w:jc w:val="both"/>
      </w:pPr>
      <w:r>
        <w:rPr>
          <w:rFonts w:ascii="Times New Roman" w:eastAsia="標楷體"/>
          <w:b w:val="false"/>
          <w:bCs w:val="false"/>
          <w:sz w:val="22"/>
          <w:szCs w:val="22"/>
        </w:rPr>
        <w:t xml:space="preserve">（4）車道坡度不得超過 1:6，表面應用粗面或不滑材料（第 61 條第 2 款）</w:t>
      </w:r>
    </w:p>
    <w:p>
      <w:pPr>
        <w:spacing w:after="120" w:before="0" w:line="340"/>
        <w:jc w:val="both"/>
      </w:pPr>
      <w:r>
        <w:rPr>
          <w:rFonts w:ascii="Times New Roman" w:eastAsia="標楷體"/>
          <w:b w:val="false"/>
          <w:bCs w:val="false"/>
          <w:sz w:val="22"/>
          <w:szCs w:val="22"/>
        </w:rPr>
        <w:t xml:space="preserve">（5）車道內側曲線半徑 5 公尺以上（第 61 條第 3 款）</w:t>
      </w:r>
    </w:p>
    <w:p>
      <w:pPr>
        <w:spacing w:after="120" w:before="0" w:line="340"/>
        <w:jc w:val="both"/>
      </w:pPr>
      <w:r>
        <w:rPr>
          <w:rFonts w:ascii="Times New Roman" w:eastAsia="標楷體"/>
          <w:b w:val="false"/>
          <w:bCs w:val="false"/>
          <w:sz w:val="22"/>
          <w:szCs w:val="22"/>
        </w:rPr>
        <w:t xml:space="preserve">（6）地下室設計施工注意事項之論述（坡道緩衝、淨高、排水、通風排煙、擋土開挖與鄰房保護、防水抗浮）</w:t>
      </w:r>
    </w:p>
    <w:p>
      <w:pPr>
        <w:pStyle w:val="Heading2"/>
        <w:spacing w:after="140" w:before="240"/>
      </w:pPr>
      <w:r>
        <w:rPr>
          <w:rFonts w:ascii="Times New Roman" w:eastAsia="標楷體"/>
          <w:b/>
          <w:bCs/>
          <w:color w:val="1F3864"/>
          <w:sz w:val="26"/>
          <w:szCs w:val="26"/>
        </w:rPr>
        <w:t xml:space="preserve">四、題目（25 分）</w:t>
      </w:r>
    </w:p>
    <w:p>
      <w:pPr>
        <w:spacing w:after="120" w:before="0" w:line="340"/>
        <w:jc w:val="both"/>
      </w:pPr>
      <w:r>
        <w:rPr>
          <w:rFonts w:ascii="Times New Roman" w:eastAsia="標楷體"/>
          <w:b w:val="false"/>
          <w:bCs w:val="false"/>
          <w:sz w:val="24"/>
          <w:szCs w:val="24"/>
        </w:rPr>
        <w:t xml:space="preserve">為落實政府採購法第 70 條工程採購品質管理及行政院頒「公共工程施工品質管理制度」之規定，機關辦理查核金額以上之工程，其委託監造者，應於招標文件內訂定監造單位應提報監造計畫、設置監造組織。試依相關規定，概要說明監造計畫之內容及對於監造現場人員之資格、每一標案最低人數之要求。</w:t>
      </w:r>
    </w:p>
    <w:p>
      <w:pPr>
        <w:spacing w:after="120" w:before="0" w:line="340"/>
        <w:jc w:val="both"/>
      </w:pPr>
      <w:r>
        <w:rPr>
          <w:rFonts w:ascii="Times New Roman" w:eastAsia="標楷體"/>
          <w:b w:val="false"/>
          <w:bCs w:val="false"/>
          <w:color w:val="44546A"/>
          <w:sz w:val="22"/>
          <w:szCs w:val="22"/>
        </w:rPr>
        <w:t xml:space="preserve">【法源】政府採購法第 70 條；公共工程施工品質管理作業要點第五點、第八點、第十點（現行版本為民國 112 年 5 月 11 日修正）</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監造計畫之提報義務與內容，規定於公共工程施工品質管理作業要點第八點。機關應視工程需要指派具工程相關學經歷之適當人員或委託適當機構負責監造，新臺幣一百五十萬元以上工程，監造單位應提報監造計畫。監造計畫之內容除機關另有規定外，依工程金額分三級：新臺幣五千萬元以上工程，應包括監造範圍、監造組織及權責分工、品質計畫審查作業程序、施工計畫審查作業程序、材料與設備抽驗程序及標準、施工抽查程序及標準、品質稽核、文件紀錄管理系統等；新臺幣一千萬元以上未達五千萬元之工程，應包括監造範圍、監造組織及權責分工、品質計畫審查作業程序、施工計畫審查作業程序、材料與設備抽驗程序及標準、施工抽查程序及標準、文件紀錄管理系統等；未達一千萬元之工程，應包括監造組織及權責分工、品質計畫審查作業程序、施工計畫審查作業程序、材料與設備抽驗程序及標準、施工抽查程序及標準等。工程具運轉類機電設備者，並應增訂設備功能運轉測試等抽驗程序及標準。三級之差異在於品質稽核與文件紀錄管理系統之有無，此即金額愈高、管理層級愈完整之設計邏輯。</w:t>
      </w:r>
    </w:p>
    <w:p>
      <w:pPr>
        <w:spacing w:after="120" w:before="0" w:line="340"/>
        <w:jc w:val="both"/>
      </w:pPr>
      <w:r>
        <w:rPr>
          <w:rFonts w:ascii="Times New Roman" w:eastAsia="標楷體"/>
          <w:b w:val="false"/>
          <w:bCs w:val="false"/>
          <w:sz w:val="24"/>
          <w:szCs w:val="24"/>
        </w:rPr>
        <w:t xml:space="preserve">監造現場人員之資格，依同要點第十點第一項第一款規定，監造單位應比照第五點規定置受訓合格之現場人員。第五點則規定品管人員應接受工程會或其委託訓練機構辦理之公共工程品質管理訓練課程並取得結業證書；取得結業證書逾四年者，應再取得最近四年內之回訓證明，始得擔任品管人員。</w:t>
      </w:r>
    </w:p>
    <w:p>
      <w:pPr>
        <w:spacing w:after="120" w:before="0" w:line="340"/>
        <w:jc w:val="both"/>
      </w:pPr>
      <w:r>
        <w:rPr>
          <w:rFonts w:ascii="Times New Roman" w:eastAsia="標楷體"/>
          <w:b w:val="false"/>
          <w:bCs w:val="false"/>
          <w:sz w:val="24"/>
          <w:szCs w:val="24"/>
        </w:rPr>
        <w:t xml:space="preserve">每一標案最低人數，依第十點第一項第一款規定：新臺幣五千萬元以上未達二億元之工程，至少一人；新臺幣二億元以上之工程，至少二人。同款人員並依第二款規定應專職，不得跨越其他標案，且監造服務期間應在工地執行職務。第三款規定監造單位應於開工前將符合規定之現場人員登錄表經機關核定後，由機關填報於工程會資訊網路系統備查，人員異動或工程竣工時亦同。第四款規定現場人員於進駐工地前一年內或執行業務期間，有因業務上相關之犯罪行為經判刑確定之情事者，監造單位應主動更換人員提報，未提報者機關應通知更換。</w:t>
      </w:r>
    </w:p>
    <w:p>
      <w:pPr>
        <w:spacing w:after="120" w:before="0" w:line="340"/>
        <w:jc w:val="both"/>
      </w:pPr>
      <w:r>
        <w:rPr>
          <w:rFonts w:ascii="Times New Roman" w:eastAsia="標楷體"/>
          <w:b w:val="false"/>
          <w:bCs w:val="false"/>
          <w:sz w:val="24"/>
          <w:szCs w:val="24"/>
        </w:rPr>
        <w:t xml:space="preserve">適用範圍上，第十點第一項所定義務係針對新臺幣五千萬元以上之工程且委託監造者，但性質特殊之工程得報經工程會同意後不適用；未達五千萬元之工程得比照辦理；機關自辦監造者，其現場人員之資格、人數、專職及登錄規定比照前二項辦理，有特殊情形得報經上級機關同意後不適用。</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（1）指出法源：政府採購法第 70 條與公共工程施工品質管理作業要點</w:t>
      </w:r>
    </w:p>
    <w:p>
      <w:pPr>
        <w:spacing w:after="120" w:before="0" w:line="340"/>
        <w:jc w:val="both"/>
      </w:pPr>
      <w:r>
        <w:rPr>
          <w:rFonts w:ascii="Times New Roman" w:eastAsia="標楷體"/>
          <w:b w:val="false"/>
          <w:bCs w:val="false"/>
          <w:sz w:val="22"/>
          <w:szCs w:val="22"/>
        </w:rPr>
        <w:t xml:space="preserve">（2）監造計畫提報門檻為新臺幣 150 萬元以上工程（第八點）</w:t>
      </w:r>
    </w:p>
    <w:p>
      <w:pPr>
        <w:spacing w:after="120" w:before="0" w:line="340"/>
        <w:jc w:val="both"/>
      </w:pPr>
      <w:r>
        <w:rPr>
          <w:rFonts w:ascii="Times New Roman" w:eastAsia="標楷體"/>
          <w:b w:val="false"/>
          <w:bCs w:val="false"/>
          <w:sz w:val="22"/>
          <w:szCs w:val="22"/>
        </w:rPr>
        <w:t xml:space="preserve">（3）監造計畫內容依 5,000 萬元以上、1,000 萬元以上未達 5,000 萬元、未達 1,000 萬元三級分別列舉</w:t>
      </w:r>
    </w:p>
    <w:p>
      <w:pPr>
        <w:spacing w:after="120" w:before="0" w:line="340"/>
        <w:jc w:val="both"/>
      </w:pPr>
      <w:r>
        <w:rPr>
          <w:rFonts w:ascii="Times New Roman" w:eastAsia="標楷體"/>
          <w:b w:val="false"/>
          <w:bCs w:val="false"/>
          <w:sz w:val="22"/>
          <w:szCs w:val="22"/>
        </w:rPr>
        <w:t xml:space="preserve">（4）現場人員資格：比照第五點，須受訓合格取得結業證書，逾四年須有最近四年內回訓證明</w:t>
      </w:r>
    </w:p>
    <w:p>
      <w:pPr>
        <w:spacing w:after="120" w:before="0" w:line="340"/>
        <w:jc w:val="both"/>
      </w:pPr>
      <w:r>
        <w:rPr>
          <w:rFonts w:ascii="Times New Roman" w:eastAsia="標楷體"/>
          <w:b w:val="false"/>
          <w:bCs w:val="false"/>
          <w:sz w:val="22"/>
          <w:szCs w:val="22"/>
        </w:rPr>
        <w:t xml:space="preserve">（5）最低人數：5,000 萬元以上未達 2 億元至少 1 人；2 億元以上至少 2 人</w:t>
      </w:r>
    </w:p>
    <w:p>
      <w:pPr>
        <w:spacing w:after="120" w:before="0" w:line="340"/>
        <w:jc w:val="both"/>
      </w:pPr>
      <w:r>
        <w:rPr>
          <w:rFonts w:ascii="Times New Roman" w:eastAsia="標楷體"/>
          <w:b w:val="false"/>
          <w:bCs w:val="false"/>
          <w:sz w:val="22"/>
          <w:szCs w:val="22"/>
        </w:rPr>
        <w:t xml:space="preserve">（6）現場人員應專職不得跨標案、開工前登錄備查、犯罪判刑確定應更換</w:t>
      </w:r>
    </w:p>
    <w:p>
      <w:r>
        <w:br w:type="page"/>
      </w:r>
    </w:p>
    <w:p>
      <w:pPr>
        <w:pStyle w:val="Heading1"/>
        <w:spacing w:after="140" w:before="400"/>
      </w:pPr>
      <w:r>
        <w:rPr>
          <w:rFonts w:ascii="Times New Roman" w:eastAsia="標楷體"/>
          <w:b/>
          <w:bCs/>
          <w:color w:val="1F3864"/>
          <w:sz w:val="28"/>
          <w:szCs w:val="28"/>
        </w:rPr>
        <w:t xml:space="preserve">105 年公務人員普通考試 建築工程 營建法規概要（試題代號 43650）</w:t>
      </w:r>
    </w:p>
    <w:p>
      <w:pPr>
        <w:pStyle w:val="Heading2"/>
        <w:spacing w:after="140" w:before="240"/>
      </w:pPr>
      <w:r>
        <w:rPr>
          <w:rFonts w:ascii="Times New Roman" w:eastAsia="標楷體"/>
          <w:b/>
          <w:bCs/>
          <w:color w:val="1F3864"/>
          <w:sz w:val="26"/>
          <w:szCs w:val="26"/>
        </w:rPr>
        <w:t xml:space="preserve">一、題目（25 分）</w:t>
      </w:r>
    </w:p>
    <w:p>
      <w:pPr>
        <w:spacing w:after="120" w:before="0" w:line="340"/>
        <w:jc w:val="both"/>
      </w:pPr>
      <w:r>
        <w:rPr>
          <w:rFonts w:ascii="Times New Roman" w:eastAsia="標楷體"/>
          <w:b w:val="false"/>
          <w:bCs w:val="false"/>
          <w:sz w:val="24"/>
          <w:szCs w:val="24"/>
        </w:rPr>
        <w:t xml:space="preserve">請依中央法規標準法、建築法、建築技術規則、住宅法及政府採購法等規定，回答下列問題：⑴各項法律應經立法院通過，總統公布，請列舉具法律位階之營建相關法規 5 種。（5 分）⑵就建築整體生命週期而言，應請領那些建築執照？（5 分）⑶何謂集合住宅？（5 分）⑷請說明制定住宅法之目的。（5 分）⑸請說明工程採購查核金額之額度。（5 分）</w:t>
      </w:r>
    </w:p>
    <w:p>
      <w:pPr>
        <w:spacing w:after="120" w:before="0" w:line="340"/>
        <w:jc w:val="both"/>
      </w:pPr>
      <w:r>
        <w:rPr>
          <w:rFonts w:ascii="Times New Roman" w:eastAsia="標楷體"/>
          <w:b w:val="false"/>
          <w:bCs w:val="false"/>
          <w:color w:val="44546A"/>
          <w:sz w:val="22"/>
          <w:szCs w:val="22"/>
        </w:rPr>
        <w:t xml:space="preserve">【法源】中央法規標準法第 4 條；建築法第 28 條、第 73 條第 2 項；建築技術規則建築設計施工編第 1 條第 21 款；住宅法第 1 條；政府採購法第 12 條第 3 項及行政院公共工程委員會公告之查核金額</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⑴ 依中央法規標準法第 4 條，法律應經立法院通過、總統公布。營建領域中具法律位階者，可列舉建築法、都市計畫法、區域計畫法、住宅法、政府採購法五種；其餘如建築師法、營造業法、都市更新條例、公寓大廈管理條例、國土計畫法、公寓大廈管理條例亦屬之。應注意建築技術規則係依建築法第 97 條授權訂定之法規命令，不具法律位階，不得列入。</w:t>
      </w:r>
    </w:p>
    <w:p>
      <w:pPr>
        <w:spacing w:after="120" w:before="0" w:line="340"/>
        <w:jc w:val="both"/>
      </w:pPr>
      <w:r>
        <w:rPr>
          <w:rFonts w:ascii="Times New Roman" w:eastAsia="標楷體"/>
          <w:b w:val="false"/>
          <w:bCs w:val="false"/>
          <w:sz w:val="24"/>
          <w:szCs w:val="24"/>
        </w:rPr>
        <w:t xml:space="preserve">⑵ 依建築法第 28 條，建築執照分為四種：建造執照，建築物之新建、增建、改建及修建應請領；雜項執照，雜項工作物之建築應請領；使用執照，建築物建造完成後之使用或變更使用應請領；拆除執照，建築物之拆除應請領。就生命週期而言，規劃設計完成後之興建階段請領建造執照，附屬之雜項工作物請領雜項執照，完工後請領使用執照始得接水接電並合法使用（第 73 條第 1 項），使用中變更使用類組或有第 73 條第 2 項所定變更者應申請變更使用執照，建築物生命週期終了拆除時請領拆除執照。</w:t>
      </w:r>
    </w:p>
    <w:p>
      <w:pPr>
        <w:spacing w:after="120" w:before="0" w:line="340"/>
        <w:jc w:val="both"/>
      </w:pPr>
      <w:r>
        <w:rPr>
          <w:rFonts w:ascii="Times New Roman" w:eastAsia="標楷體"/>
          <w:b w:val="false"/>
          <w:bCs w:val="false"/>
          <w:sz w:val="24"/>
          <w:szCs w:val="24"/>
        </w:rPr>
        <w:t xml:space="preserve">⑶ 集合住宅之定義見建築技術規則建築設計施工編第 1 條第 21 款：具有共同基地及共同空間或設備，並有三個住宅單位以上之建築物。其構成要件有三：共同基地、共同空間或設備、三個以上住宅單位，三者缺一不可，此為與連棟住宅、雙併住宅區辨之關鍵。</w:t>
      </w:r>
    </w:p>
    <w:p>
      <w:pPr>
        <w:spacing w:after="120" w:before="0" w:line="340"/>
        <w:jc w:val="both"/>
      </w:pPr>
      <w:r>
        <w:rPr>
          <w:rFonts w:ascii="Times New Roman" w:eastAsia="標楷體"/>
          <w:b w:val="false"/>
          <w:bCs w:val="false"/>
          <w:sz w:val="24"/>
          <w:szCs w:val="24"/>
        </w:rPr>
        <w:t xml:space="preserve">⑷ 依住宅法第 1 條，制定本法之目的為保障國民居住權益、健全住宅市場、提升居住品質，使全體國民居住於適宜之住宅且享有尊嚴之居住環境。四個目的可對應為權益保障、市場健全、品質提升與居住尊嚴。</w:t>
      </w:r>
    </w:p>
    <w:p>
      <w:pPr>
        <w:spacing w:after="120" w:before="0" w:line="340"/>
        <w:jc w:val="both"/>
      </w:pPr>
      <w:r>
        <w:rPr>
          <w:rFonts w:ascii="Times New Roman" w:eastAsia="標楷體"/>
          <w:b w:val="false"/>
          <w:bCs w:val="false"/>
          <w:sz w:val="24"/>
          <w:szCs w:val="24"/>
        </w:rPr>
        <w:t xml:space="preserve">⑸ 依政府採購法第 12 條第 1 項，機關辦理查核金額以上採購之開標、比價、議價、決標及驗收，應於規定期限內檢送相關文件報請上級機關派員監辦；同條第 3 項規定查核金額由主管機關定之。依行政院公共工程委員會公告之採購金額標準，工程採購與財物採購之查核金額均為新臺幣五千萬元，勞務採購為新臺幣一千萬元。題目所問工程採購之查核金額，即新臺幣五千萬元。</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（1）⑴ 舉出五種法律位階法規且不誤列建築技術規則等法規命令</w:t>
      </w:r>
    </w:p>
    <w:p>
      <w:pPr>
        <w:spacing w:after="120" w:before="0" w:line="340"/>
        <w:jc w:val="both"/>
      </w:pPr>
      <w:r>
        <w:rPr>
          <w:rFonts w:ascii="Times New Roman" w:eastAsia="標楷體"/>
          <w:b w:val="false"/>
          <w:bCs w:val="false"/>
          <w:sz w:val="22"/>
          <w:szCs w:val="22"/>
        </w:rPr>
        <w:t xml:space="preserve">（2）⑵ 建造、雜項、使用、拆除四種執照，並能與生命週期各階段對應</w:t>
      </w:r>
    </w:p>
    <w:p>
      <w:pPr>
        <w:spacing w:after="120" w:before="0" w:line="340"/>
        <w:jc w:val="both"/>
      </w:pPr>
      <w:r>
        <w:rPr>
          <w:rFonts w:ascii="Times New Roman" w:eastAsia="標楷體"/>
          <w:b w:val="false"/>
          <w:bCs w:val="false"/>
          <w:sz w:val="22"/>
          <w:szCs w:val="22"/>
        </w:rPr>
        <w:t xml:space="preserve">（3）⑶ 集合住宅三要件：共同基地、共同空間或設備、三個住宅單位以上</w:t>
      </w:r>
    </w:p>
    <w:p>
      <w:pPr>
        <w:spacing w:after="120" w:before="0" w:line="340"/>
        <w:jc w:val="both"/>
      </w:pPr>
      <w:r>
        <w:rPr>
          <w:rFonts w:ascii="Times New Roman" w:eastAsia="標楷體"/>
          <w:b w:val="false"/>
          <w:bCs w:val="false"/>
          <w:sz w:val="22"/>
          <w:szCs w:val="22"/>
        </w:rPr>
        <w:t xml:space="preserve">（4）⑷ 住宅法第 1 條四項立法目的</w:t>
      </w:r>
    </w:p>
    <w:p>
      <w:pPr>
        <w:spacing w:after="120" w:before="0" w:line="340"/>
        <w:jc w:val="both"/>
      </w:pPr>
      <w:r>
        <w:rPr>
          <w:rFonts w:ascii="Times New Roman" w:eastAsia="標楷體"/>
          <w:b w:val="false"/>
          <w:bCs w:val="false"/>
          <w:sz w:val="22"/>
          <w:szCs w:val="22"/>
        </w:rPr>
        <w:t xml:space="preserve">（5）⑸ 工程採購查核金額新臺幣 5,000 萬元，並指出係主管機關公告</w:t>
      </w:r>
    </w:p>
    <w:p>
      <w:pPr>
        <w:pStyle w:val="Heading2"/>
        <w:spacing w:after="140" w:before="240"/>
      </w:pPr>
      <w:r>
        <w:rPr>
          <w:rFonts w:ascii="Times New Roman" w:eastAsia="標楷體"/>
          <w:b/>
          <w:bCs/>
          <w:color w:val="1F3864"/>
          <w:sz w:val="26"/>
          <w:szCs w:val="26"/>
        </w:rPr>
        <w:t xml:space="preserve">二、題目（25 分）</w:t>
      </w:r>
    </w:p>
    <w:p>
      <w:pPr>
        <w:spacing w:after="120" w:before="0" w:line="340"/>
        <w:jc w:val="both"/>
      </w:pPr>
      <w:r>
        <w:rPr>
          <w:rFonts w:ascii="Times New Roman" w:eastAsia="標楷體"/>
          <w:b w:val="false"/>
          <w:bCs w:val="false"/>
          <w:sz w:val="24"/>
          <w:szCs w:val="24"/>
        </w:rPr>
        <w:t xml:space="preserve">請依都市計畫法、都市更新條例回答下列問題：⑴說明都市計畫法在中央及地方之主管機關。（5 分）⑵何謂都市計畫？（10 分）⑶說明都市更新處理方式。（10 分）</w:t>
      </w:r>
    </w:p>
    <w:p>
      <w:pPr>
        <w:spacing w:after="120" w:before="0" w:line="340"/>
        <w:jc w:val="both"/>
      </w:pPr>
      <w:r>
        <w:rPr>
          <w:rFonts w:ascii="Times New Roman" w:eastAsia="標楷體"/>
          <w:b w:val="false"/>
          <w:bCs w:val="false"/>
          <w:color w:val="44546A"/>
          <w:sz w:val="22"/>
          <w:szCs w:val="22"/>
        </w:rPr>
        <w:t xml:space="preserve">【法源】都市計畫法第 3 條、第 4 條；都市更新條例第 4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⑴ 依都市計畫法第 4 條，本法之主管機關在中央為內政部，在直轄市為直轄市政府，在縣（市）為縣（市）政府。應注意主管機關與都市計畫之核定機關不同，後者另依同法第 20 條規定辦理。</w:t>
      </w:r>
    </w:p>
    <w:p>
      <w:pPr>
        <w:spacing w:after="120" w:before="0" w:line="340"/>
        <w:jc w:val="both"/>
      </w:pPr>
      <w:r>
        <w:rPr>
          <w:rFonts w:ascii="Times New Roman" w:eastAsia="標楷體"/>
          <w:b w:val="false"/>
          <w:bCs w:val="false"/>
          <w:sz w:val="24"/>
          <w:szCs w:val="24"/>
        </w:rPr>
        <w:t xml:space="preserve">⑵ 依都市計畫法第 3 條，都市計畫係指在一定地區內有關都市生活之經濟、交通、衛生、保安、國防、文教、康樂等重要設施，作有計畫之發展，並對土地使用作合理之規劃而言。此定義包含三個層次：其一為空間範圍，須為一定地區；其二為計畫標的，涵蓋經濟、交通、衛生、保安、國防、文教、康樂等七類重要設施；其三為手段與目的，即以有計畫之發展與土地使用之合理規劃，作為公權力介入私有土地使用之正當性基礎。都市計畫之種類依同法規定分為市鎮計畫、鄉街計畫及特定區計畫，並依計畫層級區分為主要計畫與細部計畫。</w:t>
      </w:r>
    </w:p>
    <w:p>
      <w:pPr>
        <w:spacing w:after="120" w:before="0" w:line="340"/>
        <w:jc w:val="both"/>
      </w:pPr>
      <w:r>
        <w:rPr>
          <w:rFonts w:ascii="Times New Roman" w:eastAsia="標楷體"/>
          <w:b w:val="false"/>
          <w:bCs w:val="false"/>
          <w:sz w:val="24"/>
          <w:szCs w:val="24"/>
        </w:rPr>
        <w:t xml:space="preserve">⑶ 依都市更新條例第 4 條第 1 項，都市更新處理方式分為三種。重建：指拆除更新單元內原有建築物，重新建築，住戶安置，改進公共設施，並得變更土地使用性質或使用密度。整建：指改建、修建更新單元內建築物或充實其設備，並改進公共設施。維護：指加強更新單元內土地使用及建築管理，改進公共設施，以保持其良好狀況。同條第 2 項並規定，都市更新事業得以前項二種以上處理方式辦理之。三者之強度依序遞減，重建改變實體與權利關係最深，整建保留原建築物主體而改善其性能，維護則不變動實體僅強化管理，實務上得於同一更新單元內分區併用。</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（1）⑴ 中央為內政部、直轄市為直轄市政府、縣（市）為縣（市）政府（第 4 條）</w:t>
      </w:r>
    </w:p>
    <w:p>
      <w:pPr>
        <w:spacing w:after="120" w:before="0" w:line="340"/>
        <w:jc w:val="both"/>
      </w:pPr>
      <w:r>
        <w:rPr>
          <w:rFonts w:ascii="Times New Roman" w:eastAsia="標楷體"/>
          <w:b w:val="false"/>
          <w:bCs w:val="false"/>
          <w:sz w:val="22"/>
          <w:szCs w:val="22"/>
        </w:rPr>
        <w:t xml:space="preserve">（2）⑵ 完整引述第 3 條定義，含七類重要設施與土地使用合理規劃</w:t>
      </w:r>
    </w:p>
    <w:p>
      <w:pPr>
        <w:spacing w:after="120" w:before="0" w:line="340"/>
        <w:jc w:val="both"/>
      </w:pPr>
      <w:r>
        <w:rPr>
          <w:rFonts w:ascii="Times New Roman" w:eastAsia="標楷體"/>
          <w:b w:val="false"/>
          <w:bCs w:val="false"/>
          <w:sz w:val="22"/>
          <w:szCs w:val="22"/>
        </w:rPr>
        <w:t xml:space="preserve">（3）⑵ 能延伸說明計畫種類或主要計畫與細部計畫之層級</w:t>
      </w:r>
    </w:p>
    <w:p>
      <w:pPr>
        <w:spacing w:after="120" w:before="0" w:line="340"/>
        <w:jc w:val="both"/>
      </w:pPr>
      <w:r>
        <w:rPr>
          <w:rFonts w:ascii="Times New Roman" w:eastAsia="標楷體"/>
          <w:b w:val="false"/>
          <w:bCs w:val="false"/>
          <w:sz w:val="22"/>
          <w:szCs w:val="22"/>
        </w:rPr>
        <w:t xml:space="preserve">（4）⑶ 重建、整建、維護三種方式之定義完整（第 4 條第 1 項）</w:t>
      </w:r>
    </w:p>
    <w:p>
      <w:pPr>
        <w:spacing w:after="120" w:before="0" w:line="340"/>
        <w:jc w:val="both"/>
      </w:pPr>
      <w:r>
        <w:rPr>
          <w:rFonts w:ascii="Times New Roman" w:eastAsia="標楷體"/>
          <w:b w:val="false"/>
          <w:bCs w:val="false"/>
          <w:sz w:val="22"/>
          <w:szCs w:val="22"/>
        </w:rPr>
        <w:t xml:space="preserve">（5）⑶ 指出得以二種以上方式併用（第 4 條第 2 項）</w:t>
      </w:r>
    </w:p>
    <w:p>
      <w:pPr>
        <w:pStyle w:val="Heading2"/>
        <w:spacing w:after="140" w:before="240"/>
      </w:pPr>
      <w:r>
        <w:rPr>
          <w:rFonts w:ascii="Times New Roman" w:eastAsia="標楷體"/>
          <w:b/>
          <w:bCs/>
          <w:color w:val="1F3864"/>
          <w:sz w:val="26"/>
          <w:szCs w:val="26"/>
        </w:rPr>
        <w:t xml:space="preserve">三、題目（25 分）</w:t>
      </w:r>
    </w:p>
    <w:p>
      <w:pPr>
        <w:spacing w:after="120" w:before="0" w:line="340"/>
        <w:jc w:val="both"/>
      </w:pPr>
      <w:r>
        <w:rPr>
          <w:rFonts w:ascii="Times New Roman" w:eastAsia="標楷體"/>
          <w:b w:val="false"/>
          <w:bCs w:val="false"/>
          <w:sz w:val="24"/>
          <w:szCs w:val="24"/>
        </w:rPr>
        <w:t xml:space="preserve">請依建築法、建築師法及營造業法回答下列問題：⑴建築法之實施適用於那些地區？（10 分）⑵建築師不得兼任那些職業？（10 分）⑶何謂工地主任？（5 分）</w:t>
      </w:r>
    </w:p>
    <w:p>
      <w:pPr>
        <w:spacing w:after="120" w:before="0" w:line="340"/>
        <w:jc w:val="both"/>
      </w:pPr>
      <w:r>
        <w:rPr>
          <w:rFonts w:ascii="Times New Roman" w:eastAsia="標楷體"/>
          <w:b w:val="false"/>
          <w:bCs w:val="false"/>
          <w:color w:val="44546A"/>
          <w:sz w:val="22"/>
          <w:szCs w:val="22"/>
        </w:rPr>
        <w:t xml:space="preserve">【法源】建築法第 3 條；建築師法第 25 條；營造業法第 3 條第 10 款</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⑴ 依建築法第 3 條第 1 項，本法適用地區有三：實施都市計畫地區、實施區域計畫地區、經內政部指定地區。同條第 2 項並規定，前項地區外供公眾使用及公有建築物，本法亦適用之。第 3 項則規定實施區域計畫地區之適用範圍、申請建築之審查許可、施工管理及使用管理等事項之辦法，由中央主管建築機關定之。就體系而言，第 1 項係以地區為連結因素之屬地適用，第 2 項則以建築物性質為連結因素之屬物適用，兩者合併構成建築法之完整適用範圍。</w:t>
      </w:r>
    </w:p>
    <w:p>
      <w:pPr>
        <w:spacing w:after="120" w:before="0" w:line="340"/>
        <w:jc w:val="both"/>
      </w:pPr>
      <w:r>
        <w:rPr>
          <w:rFonts w:ascii="Times New Roman" w:eastAsia="標楷體"/>
          <w:b w:val="false"/>
          <w:bCs w:val="false"/>
          <w:sz w:val="24"/>
          <w:szCs w:val="24"/>
        </w:rPr>
        <w:t xml:space="preserve">⑵ 依建築師法第 25 條，建築師不得兼任或兼營下列職業：一、依公務人員任用法任用之公務人員。二、營造業、營造業之主任技師或技師，或為營造業承攬工程之保證人。三、建築材料商。其立法目的在於維持建築師執行設計與監造業務之獨立性與公正性，避免設計監造與承造施工、材料供應之間發生利益衝突，此與建築法第 13 條、第 14 條將設計監造人與承造人分立之制度設計相互呼應。</w:t>
      </w:r>
    </w:p>
    <w:p>
      <w:pPr>
        <w:spacing w:after="120" w:before="0" w:line="340"/>
        <w:jc w:val="both"/>
      </w:pPr>
      <w:r>
        <w:rPr>
          <w:rFonts w:ascii="Times New Roman" w:eastAsia="標楷體"/>
          <w:b w:val="false"/>
          <w:bCs w:val="false"/>
          <w:sz w:val="24"/>
          <w:szCs w:val="24"/>
        </w:rPr>
        <w:t xml:space="preserve">⑶ 依營造業法第 3 條第 10 款，工地主任係指受聘於營造業，擔任其所承攬工程之工地事務及施工管理之人員。應與同條第 9 款之專任工程人員區辨：專任工程人員係受聘於營造業之技師或建築師，擔任其所承攬工程之施工技術指導及施工安全之人員，其為技師者稱主任技師，其為建築師者稱主任建築師。二者之差異在於專任工程人員負施工技術指導與施工安全之技術責任，工地主任則負工地事務與施工管理之管理責任。</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（1）⑴ 三款適用地區（實施都市計畫、實施區域計畫、內政部指定）</w:t>
      </w:r>
    </w:p>
    <w:p>
      <w:pPr>
        <w:spacing w:after="120" w:before="0" w:line="340"/>
        <w:jc w:val="both"/>
      </w:pPr>
      <w:r>
        <w:rPr>
          <w:rFonts w:ascii="Times New Roman" w:eastAsia="標楷體"/>
          <w:b w:val="false"/>
          <w:bCs w:val="false"/>
          <w:sz w:val="22"/>
          <w:szCs w:val="22"/>
        </w:rPr>
        <w:t xml:space="preserve">（2）⑴ 第 2 項地區外供公眾使用及公有建築物亦適用</w:t>
      </w:r>
    </w:p>
    <w:p>
      <w:pPr>
        <w:spacing w:after="120" w:before="0" w:line="340"/>
        <w:jc w:val="both"/>
      </w:pPr>
      <w:r>
        <w:rPr>
          <w:rFonts w:ascii="Times New Roman" w:eastAsia="標楷體"/>
          <w:b w:val="false"/>
          <w:bCs w:val="false"/>
          <w:sz w:val="22"/>
          <w:szCs w:val="22"/>
        </w:rPr>
        <w:t xml:space="preserve">（3）⑵ 建築師法第 25 條三款兼任禁止事項完整</w:t>
      </w:r>
    </w:p>
    <w:p>
      <w:pPr>
        <w:spacing w:after="120" w:before="0" w:line="340"/>
        <w:jc w:val="both"/>
      </w:pPr>
      <w:r>
        <w:rPr>
          <w:rFonts w:ascii="Times New Roman" w:eastAsia="標楷體"/>
          <w:b w:val="false"/>
          <w:bCs w:val="false"/>
          <w:sz w:val="22"/>
          <w:szCs w:val="22"/>
        </w:rPr>
        <w:t xml:space="preserve">（4）⑵ 能說明其立法目的為維持獨立性、避免利益衝突</w:t>
      </w:r>
    </w:p>
    <w:p>
      <w:pPr>
        <w:spacing w:after="120" w:before="0" w:line="340"/>
        <w:jc w:val="both"/>
      </w:pPr>
      <w:r>
        <w:rPr>
          <w:rFonts w:ascii="Times New Roman" w:eastAsia="標楷體"/>
          <w:b w:val="false"/>
          <w:bCs w:val="false"/>
          <w:sz w:val="22"/>
          <w:szCs w:val="22"/>
        </w:rPr>
        <w:t xml:space="preserve">（5）⑶ 工地主任定義正確，並能與專任工程人員區辨</w:t>
      </w:r>
    </w:p>
    <w:p>
      <w:pPr>
        <w:pStyle w:val="Heading2"/>
        <w:spacing w:after="140" w:before="240"/>
      </w:pPr>
      <w:r>
        <w:rPr>
          <w:rFonts w:ascii="Times New Roman" w:eastAsia="標楷體"/>
          <w:b/>
          <w:bCs/>
          <w:color w:val="1F3864"/>
          <w:sz w:val="26"/>
          <w:szCs w:val="26"/>
        </w:rPr>
        <w:t xml:space="preserve">四、題目（25 分）</w:t>
      </w:r>
    </w:p>
    <w:p>
      <w:pPr>
        <w:spacing w:after="120" w:before="0" w:line="340"/>
        <w:jc w:val="both"/>
      </w:pPr>
      <w:r>
        <w:rPr>
          <w:rFonts w:ascii="Times New Roman" w:eastAsia="標楷體"/>
          <w:b w:val="false"/>
          <w:bCs w:val="false"/>
          <w:sz w:val="24"/>
          <w:szCs w:val="24"/>
        </w:rPr>
        <w:t xml:space="preserve">請依歷年來推動綠建築及智慧綠建築相關方案內容及建築技術規則等相關法規，回答下列問題：⑴何謂「候選綠建築證書」？其有效期有何規定？（15 分）⑵我國政府如何完成綠建築之法制化工作？（10 分）</w:t>
      </w:r>
    </w:p>
    <w:p>
      <w:pPr>
        <w:spacing w:after="120" w:before="0" w:line="340"/>
        <w:jc w:val="both"/>
      </w:pPr>
      <w:r>
        <w:rPr>
          <w:rFonts w:ascii="Times New Roman" w:eastAsia="標楷體"/>
          <w:b w:val="false"/>
          <w:bCs w:val="false"/>
          <w:color w:val="44546A"/>
          <w:sz w:val="22"/>
          <w:szCs w:val="22"/>
        </w:rPr>
        <w:t xml:space="preserve">【法源】綠建築標章申請審核認可及使用作業要點（民國 104 年 4 月 1 日修正版，為 105 年考試時之現行版本）第二點第二款、第十點；現行版本已更名為綠建築標章及建築能效標示申請審核認可及使用作業要點（114 年 7 月 18 日修正）；建築法第 97 條；建築技術規則建築設計施工編第十七章「綠建築基準」第 298 條至第 323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⑴ 候選綠建築證書之定義，依綠建築標章申請審核認可及使用作業要點（104 年 4 月 1 日修正版）第二點第二款：指取得建造執照之建築物、尚在施工階段之特種建築物、原有合法建築物或社區，經內政部認可符合綠建築評估指標所取得之證書。其制度定位在於，綠建築標章係頒予已取得使用執照之建築物，惟公有建築物之綠建築要求須於設計及施工階段即予確認，故先於施工階段核給候選證書，俟完工取得使用執照後再換發綠建築標章。</w:t>
      </w:r>
    </w:p>
    <w:p>
      <w:pPr>
        <w:spacing w:after="120" w:before="0" w:line="340"/>
        <w:jc w:val="both"/>
      </w:pPr>
      <w:r>
        <w:rPr>
          <w:rFonts w:ascii="Times New Roman" w:eastAsia="標楷體"/>
          <w:b w:val="false"/>
          <w:bCs w:val="false"/>
          <w:sz w:val="24"/>
          <w:szCs w:val="24"/>
        </w:rPr>
        <w:t xml:space="preserve">有效期部分，依同要點第十點，綠建築標章或候選綠建築證書之有效期限為五年；期滿前一個月至三個月內，得由申請人檢具申請書及申請日前六個月內依原標章或證書適用之評估手冊核發之評定書，申請延續認可。同點並特別規定，使用候選綠建築證書之建築物或社區，新建建築物候選綠建築證書自取得使用執照六個月後或取得綠建築標章生效日起失效。換言之，候選綠建築證書之效期有兩層限制：形式上為五年，實質上則於建築物取得使用執照後六個月即失效，其目的在於促使申請人於完工後儘速申請正式標章。</w:t>
      </w:r>
    </w:p>
    <w:p>
      <w:pPr>
        <w:spacing w:after="120" w:before="0" w:line="340"/>
        <w:jc w:val="both"/>
      </w:pPr>
      <w:r>
        <w:rPr>
          <w:rFonts w:ascii="Times New Roman" w:eastAsia="標楷體"/>
          <w:b w:val="false"/>
          <w:bCs w:val="false"/>
          <w:sz w:val="24"/>
          <w:szCs w:val="24"/>
        </w:rPr>
        <w:t xml:space="preserve">應補充說明的是，本要點於 112 年 5 月 31 日修正時更名為綠建築標章及建築能效標示申請審核認可及使用作業要點，現行 114 年 7 月 18 日修正版第十點僅規定綠建築標章或建築能效標示之有效期限為五年，候選綠建築證書則改依第十一點末項規定，其建造執照依建築法第 53 條第 2 項及第 54 條第 2 項規定失其效力者，候選綠建築證書失其效力。教學上宜將 105 年當時之規定與現行規定並陳，避免學生以舊法作答現行考題。</w:t>
      </w:r>
    </w:p>
    <w:p>
      <w:pPr>
        <w:spacing w:after="120" w:before="0" w:line="340"/>
        <w:jc w:val="both"/>
      </w:pPr>
      <w:r>
        <w:rPr>
          <w:rFonts w:ascii="Times New Roman" w:eastAsia="標楷體"/>
          <w:b w:val="false"/>
          <w:bCs w:val="false"/>
          <w:sz w:val="24"/>
          <w:szCs w:val="24"/>
        </w:rPr>
        <w:t xml:space="preserve">⑵ 我國綠建築法制化之路徑可分三個層次說明。第一，由政策方案先行：內政部自 88 年起推動綠建築標章制度，並經行政院核定綠建築推動方案、生態城市綠建築推動方案、智慧綠建築推動方案，以公有建築物之強制門檻帶動市場。第二，將技術要求納入法規命令：依建築法第 97 條授權訂定之建築技術規則，於建築設計施工編增訂第十七章「綠建築基準」（第 298 條至第 323 條），自 94 年 1 月 1 日施行，使綠建築由獎勵性標章轉為建築許可之強制門檻。依第 298 條，本章適用範圍為五項：建築基地綠化、建築基地保水、建築物節約能源、建築物雨水或生活雜排水回收再利用、綠建材，並分別訂有適用對象與排除規定。第三，以行政規則建立標章之申請、評定與認可程序：即前述綠建築標章相關作業要點，並委由評定專業機構辦理評定，分為合格級、銅級、銀級、黃金級、鑽石級五級。三個層次合計形成「政策方案帶動、技術規則強制、標章制度分級」之完整法制架構。</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（1）⑴ 候選綠建築證書定義：取得建造執照之建築物、施工階段之特種建築物、原有合法建築物或社區，經內政部認可者</w:t>
      </w:r>
    </w:p>
    <w:p>
      <w:pPr>
        <w:spacing w:after="120" w:before="0" w:line="340"/>
        <w:jc w:val="both"/>
      </w:pPr>
      <w:r>
        <w:rPr>
          <w:rFonts w:ascii="Times New Roman" w:eastAsia="標楷體"/>
          <w:b w:val="false"/>
          <w:bCs w:val="false"/>
          <w:sz w:val="22"/>
          <w:szCs w:val="22"/>
        </w:rPr>
        <w:t xml:space="preserve">（2）⑴ 有效期限五年，期滿前 1 至 3 個月得申請延續認可</w:t>
      </w:r>
    </w:p>
    <w:p>
      <w:pPr>
        <w:spacing w:after="120" w:before="0" w:line="340"/>
        <w:jc w:val="both"/>
      </w:pPr>
      <w:r>
        <w:rPr>
          <w:rFonts w:ascii="Times New Roman" w:eastAsia="標楷體"/>
          <w:b w:val="false"/>
          <w:bCs w:val="false"/>
          <w:sz w:val="22"/>
          <w:szCs w:val="22"/>
        </w:rPr>
        <w:t xml:space="preserve">（3）⑴ 新建建築物候選證書自取得使用執照六個月後或取得標章生效日起失效</w:t>
      </w:r>
    </w:p>
    <w:p>
      <w:pPr>
        <w:spacing w:after="120" w:before="0" w:line="340"/>
        <w:jc w:val="both"/>
      </w:pPr>
      <w:r>
        <w:rPr>
          <w:rFonts w:ascii="Times New Roman" w:eastAsia="標楷體"/>
          <w:b w:val="false"/>
          <w:bCs w:val="false"/>
          <w:sz w:val="22"/>
          <w:szCs w:val="22"/>
        </w:rPr>
        <w:t xml:space="preserve">（4）⑵ 建築法第 97 條授權訂定建築技術規則</w:t>
      </w:r>
    </w:p>
    <w:p>
      <w:pPr>
        <w:spacing w:after="120" w:before="0" w:line="340"/>
        <w:jc w:val="both"/>
      </w:pPr>
      <w:r>
        <w:rPr>
          <w:rFonts w:ascii="Times New Roman" w:eastAsia="標楷體"/>
          <w:b w:val="false"/>
          <w:bCs w:val="false"/>
          <w:sz w:val="22"/>
          <w:szCs w:val="22"/>
        </w:rPr>
        <w:t xml:space="preserve">（5）⑵ 建築技術規則建築設計施工編第十七章綠建築基準（第 298 至 323 條），94 年 1 月 1 日施行</w:t>
      </w:r>
    </w:p>
    <w:p>
      <w:pPr>
        <w:spacing w:after="120" w:before="0" w:line="340"/>
        <w:jc w:val="both"/>
      </w:pPr>
      <w:r>
        <w:rPr>
          <w:rFonts w:ascii="Times New Roman" w:eastAsia="標楷體"/>
          <w:b w:val="false"/>
          <w:bCs w:val="false"/>
          <w:sz w:val="22"/>
          <w:szCs w:val="22"/>
        </w:rPr>
        <w:t xml:space="preserve">（6）⑵ 第 298 條五項適用範圍：綠化、保水、節約能源、雨水及生活雜排水回收再利用、綠建材</w:t>
      </w:r>
    </w:p>
    <w:p>
      <w:pPr>
        <w:spacing w:after="120" w:before="0" w:line="340"/>
        <w:jc w:val="both"/>
      </w:pPr>
      <w:r>
        <w:rPr>
          <w:rFonts w:ascii="Times New Roman" w:eastAsia="標楷體"/>
          <w:b w:val="false"/>
          <w:bCs w:val="false"/>
          <w:sz w:val="22"/>
          <w:szCs w:val="22"/>
        </w:rPr>
        <w:t xml:space="preserve">（7）⑵ 標章制度與五級分級之補充</w:t>
      </w:r>
    </w:p>
    <w:p>
      <w:r>
        <w:br w:type="page"/>
      </w:r>
    </w:p>
    <w:p>
      <w:pPr>
        <w:pStyle w:val="Heading1"/>
        <w:spacing w:after="140" w:before="400"/>
      </w:pPr>
      <w:r>
        <w:rPr>
          <w:rFonts w:ascii="Times New Roman" w:eastAsia="標楷體"/>
          <w:b/>
          <w:bCs/>
          <w:color w:val="1F3864"/>
          <w:sz w:val="28"/>
          <w:szCs w:val="28"/>
        </w:rPr>
        <w:t xml:space="preserve">106 年公務人員普通考試 建築工程 營建法規概要（試題代號 43450）</w:t>
      </w:r>
    </w:p>
    <w:p>
      <w:pPr>
        <w:pStyle w:val="Heading2"/>
        <w:spacing w:after="140" w:before="240"/>
      </w:pPr>
      <w:r>
        <w:rPr>
          <w:rFonts w:ascii="Times New Roman" w:eastAsia="標楷體"/>
          <w:b/>
          <w:bCs/>
          <w:color w:val="1F3864"/>
          <w:sz w:val="26"/>
          <w:szCs w:val="26"/>
        </w:rPr>
        <w:t xml:space="preserve">一、題目（25 分）</w:t>
      </w:r>
    </w:p>
    <w:p>
      <w:pPr>
        <w:spacing w:after="120" w:before="0" w:line="340"/>
        <w:jc w:val="both"/>
      </w:pPr>
      <w:r>
        <w:rPr>
          <w:rFonts w:ascii="Times New Roman" w:eastAsia="標楷體"/>
          <w:b w:val="false"/>
          <w:bCs w:val="false"/>
          <w:sz w:val="24"/>
          <w:szCs w:val="24"/>
        </w:rPr>
        <w:t xml:space="preserve">民國 104 年 5 月，臺北市政府以違反建築法第 58 條的相關規定，對大巨蛋案勒令停工，但也引起該 BOT 案的投資廠商向法院聲請大巨蛋停止停工處分。請說明建築法第 58 條所規定對於施工中建築物，主管建築機關得因為那些理由，勒令停工或修改？</w:t>
      </w:r>
    </w:p>
    <w:p>
      <w:pPr>
        <w:spacing w:after="120" w:before="0" w:line="340"/>
        <w:jc w:val="both"/>
      </w:pPr>
      <w:r>
        <w:rPr>
          <w:rFonts w:ascii="Times New Roman" w:eastAsia="標楷體"/>
          <w:b w:val="false"/>
          <w:bCs w:val="false"/>
          <w:color w:val="44546A"/>
          <w:sz w:val="22"/>
          <w:szCs w:val="22"/>
        </w:rPr>
        <w:t xml:space="preserve">【法源】建築法第 58 條（現行條文為民國 111 年 5 月 11 日修正公布）</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建築法第 58 條為施工中建築物之公權力介入條款。其發動要件為：建築物在施工中，直轄市、縣（市）（局）主管建築機關認有必要時，得隨時加以勘驗；勘驗發現法定情事之一者，應以書面通知承造人或起造人或監造人，勒令停工或修改；必要時，得強制拆除。此處值得注意者有三：其一，通知對象為承造人、起造人或監造人，主管機關得擇一或併為通知；其二，處分手段依情節輕重分為停工、修改與強制拆除三個層級，強制拆除須以必要性為要件，受比例原則拘束；其三，本條為書面處分，屬行政處分，受處分人得依法提起訴願及行政訴訟。</w:t>
      </w:r>
    </w:p>
    <w:p>
      <w:pPr>
        <w:spacing w:after="120" w:before="0" w:line="340"/>
        <w:jc w:val="both"/>
      </w:pPr>
      <w:r>
        <w:rPr>
          <w:rFonts w:ascii="Times New Roman" w:eastAsia="標楷體"/>
          <w:b w:val="false"/>
          <w:bCs w:val="false"/>
          <w:sz w:val="24"/>
          <w:szCs w:val="24"/>
        </w:rPr>
        <w:t xml:space="preserve">得勒令停工或修改之情事共七款。第一款妨礙都市計畫者；第二款妨礙區域計畫者；第三款危害公共安全者；第四款妨礙公共交通者；第五款妨礙公共衛生者；第六款主要構造或位置或高度或面積與核定工程圖樣及說明書不符者；第七款違反本法其他規定或基於本法所發布之命令者。</w:t>
      </w:r>
    </w:p>
    <w:p>
      <w:pPr>
        <w:spacing w:after="120" w:before="0" w:line="340"/>
        <w:jc w:val="both"/>
      </w:pPr>
      <w:r>
        <w:rPr>
          <w:rFonts w:ascii="Times New Roman" w:eastAsia="標楷體"/>
          <w:b w:val="false"/>
          <w:bCs w:val="false"/>
          <w:sz w:val="24"/>
          <w:szCs w:val="24"/>
        </w:rPr>
        <w:t xml:space="preserve">就體系而言，前五款係以建築行為對外部公益之侵害為著眼，其中第一款、第二款保護的是計畫秩序，第三款至第五款保護的是公共安全、交通與衛生；第六款則轉向內部管制，處理施工結果與核定圖說不符之情形，是實務上最常見的違規態樣；第七款為概括條款，使本條得以涵蓋建築法及其授權命令之其他違反行為。</w:t>
      </w:r>
    </w:p>
    <w:p>
      <w:pPr>
        <w:spacing w:after="120" w:before="0" w:line="340"/>
        <w:jc w:val="both"/>
      </w:pPr>
      <w:r>
        <w:rPr>
          <w:rFonts w:ascii="Times New Roman" w:eastAsia="標楷體"/>
          <w:b w:val="false"/>
          <w:bCs w:val="false"/>
          <w:sz w:val="24"/>
          <w:szCs w:val="24"/>
        </w:rPr>
        <w:t xml:space="preserve">本條並有配套規定。第 61 條課予監造人義務，建築物施工中如有第 58 條各款情事之一時，監造人應分別通知承造人及起造人修改，其未依照規定修改者，應即申報該管主管建築機關處理，是為第 58 條之前端把關機制。第 93 條則規定依本法勒令停工之建築物，非經許可不得擅自復工；未經許可擅自復工經制止不從者，除強制拆除其建築物或勒令恢復原狀外，處一年以下有期徒刑、拘役或科或併科三萬元以下罰金，是為停工處分之後端強制力。題幹所述大巨蛋案，臺北市政府即以本條為據作成停工處分，其爭議核心在於「危害公共安全」之認定與停工處分是否合於比例原則，屬事實認定與行政裁量層次之問題，並不影響本條法定事由之解釋。</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（1）指出建築法第58條及其發動要件（隨時勘驗、書面通知承造人或起造人或監造人）</w:t>
      </w:r>
    </w:p>
    <w:p>
      <w:pPr>
        <w:spacing w:after="120" w:before="0" w:line="340"/>
        <w:jc w:val="both"/>
      </w:pPr>
      <w:r>
        <w:rPr>
          <w:rFonts w:ascii="Times New Roman" w:eastAsia="標楷體"/>
          <w:b w:val="false"/>
          <w:bCs w:val="false"/>
          <w:sz w:val="22"/>
          <w:szCs w:val="22"/>
        </w:rPr>
        <w:t xml:space="preserve">（2）妨礙都市計畫、妨礙區域計畫二款</w:t>
      </w:r>
    </w:p>
    <w:p>
      <w:pPr>
        <w:spacing w:after="120" w:before="0" w:line="340"/>
        <w:jc w:val="both"/>
      </w:pPr>
      <w:r>
        <w:rPr>
          <w:rFonts w:ascii="Times New Roman" w:eastAsia="標楷體"/>
          <w:b w:val="false"/>
          <w:bCs w:val="false"/>
          <w:sz w:val="22"/>
          <w:szCs w:val="22"/>
        </w:rPr>
        <w:t xml:space="preserve">（3）危害公共安全、妨礙公共交通、妨礙公共衛生三款</w:t>
      </w:r>
    </w:p>
    <w:p>
      <w:pPr>
        <w:spacing w:after="120" w:before="0" w:line="340"/>
        <w:jc w:val="both"/>
      </w:pPr>
      <w:r>
        <w:rPr>
          <w:rFonts w:ascii="Times New Roman" w:eastAsia="標楷體"/>
          <w:b w:val="false"/>
          <w:bCs w:val="false"/>
          <w:sz w:val="22"/>
          <w:szCs w:val="22"/>
        </w:rPr>
        <w:t xml:space="preserve">（4）主要構造或位置或高度或面積與核定工程圖樣及說明書不符</w:t>
      </w:r>
    </w:p>
    <w:p>
      <w:pPr>
        <w:spacing w:after="120" w:before="0" w:line="340"/>
        <w:jc w:val="both"/>
      </w:pPr>
      <w:r>
        <w:rPr>
          <w:rFonts w:ascii="Times New Roman" w:eastAsia="標楷體"/>
          <w:b w:val="false"/>
          <w:bCs w:val="false"/>
          <w:sz w:val="22"/>
          <w:szCs w:val="22"/>
        </w:rPr>
        <w:t xml:space="preserve">（5）違反本法其他規定或基於本法所發布之命令（概括條款）</w:t>
      </w:r>
    </w:p>
    <w:p>
      <w:pPr>
        <w:spacing w:after="120" w:before="0" w:line="340"/>
        <w:jc w:val="both"/>
      </w:pPr>
      <w:r>
        <w:rPr>
          <w:rFonts w:ascii="Times New Roman" w:eastAsia="標楷體"/>
          <w:b w:val="false"/>
          <w:bCs w:val="false"/>
          <w:sz w:val="22"/>
          <w:szCs w:val="22"/>
        </w:rPr>
        <w:t xml:space="preserve">（6）三種處置手段：勒令停工、修改、必要時強制拆除</w:t>
      </w:r>
    </w:p>
    <w:p>
      <w:pPr>
        <w:spacing w:after="120" w:before="0" w:line="340"/>
        <w:jc w:val="both"/>
      </w:pPr>
      <w:r>
        <w:rPr>
          <w:rFonts w:ascii="Times New Roman" w:eastAsia="標楷體"/>
          <w:b w:val="false"/>
          <w:bCs w:val="false"/>
          <w:sz w:val="22"/>
          <w:szCs w:val="22"/>
        </w:rPr>
        <w:t xml:space="preserve">（7）延伸說明第61條監造人通知義務或第93條擅自復工之罰則</w:t>
      </w:r>
    </w:p>
    <w:p>
      <w:pPr>
        <w:pStyle w:val="Heading2"/>
        <w:spacing w:after="140" w:before="240"/>
      </w:pPr>
      <w:r>
        <w:rPr>
          <w:rFonts w:ascii="Times New Roman" w:eastAsia="標楷體"/>
          <w:b/>
          <w:bCs/>
          <w:color w:val="1F3864"/>
          <w:sz w:val="26"/>
          <w:szCs w:val="26"/>
        </w:rPr>
        <w:t xml:space="preserve">二、題目（25 分）</w:t>
      </w:r>
    </w:p>
    <w:p>
      <w:pPr>
        <w:spacing w:after="120" w:before="0" w:line="340"/>
        <w:jc w:val="both"/>
      </w:pPr>
      <w:r>
        <w:rPr>
          <w:rFonts w:ascii="Times New Roman" w:eastAsia="標楷體"/>
          <w:b w:val="false"/>
          <w:bCs w:val="false"/>
          <w:sz w:val="24"/>
          <w:szCs w:val="24"/>
        </w:rPr>
        <w:t xml:space="preserve">請依政府採購法第 47 條規定，說明機關辦理採購，得於那些情況下不訂底價？</w:t>
      </w:r>
    </w:p>
    <w:p>
      <w:pPr>
        <w:spacing w:after="120" w:before="0" w:line="340"/>
        <w:jc w:val="both"/>
      </w:pPr>
      <w:r>
        <w:rPr>
          <w:rFonts w:ascii="Times New Roman" w:eastAsia="標楷體"/>
          <w:b w:val="false"/>
          <w:bCs w:val="false"/>
          <w:color w:val="44546A"/>
          <w:sz w:val="22"/>
          <w:szCs w:val="22"/>
        </w:rPr>
        <w:t xml:space="preserve">【法源】政府採購法第 47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政府採購法以訂定底價為原則，第 46 條規定機關辦理採購除本法另有規定外，應訂定底價。第 47 條則為例外規定，列舉三種得不訂底價之情形，並課予機關說明義務。</w:t>
      </w:r>
    </w:p>
    <w:p>
      <w:pPr>
        <w:spacing w:after="120" w:before="0" w:line="340"/>
        <w:jc w:val="both"/>
      </w:pPr>
      <w:r>
        <w:rPr>
          <w:rFonts w:ascii="Times New Roman" w:eastAsia="標楷體"/>
          <w:b w:val="false"/>
          <w:bCs w:val="false"/>
          <w:sz w:val="24"/>
          <w:szCs w:val="24"/>
        </w:rPr>
        <w:t xml:space="preserve">依第 47 條第 1 項，機關辦理下列採購得不訂底價，但應於招標文件內敘明理由及決標條件與原則：第一款，訂定底價確有困難之特殊或複雜案件；第二款，以最有利標決標之採購；第三款，小額採購。三款之立法理由並不相同。第一款著眼於標的難以估價，如特殊工法或創新技術；第二款係因最有利標之決標基準為綜合評選結果而非最低價，訂定底價將與其制度目的扞格；第三款則為行政成本之考量。</w:t>
      </w:r>
    </w:p>
    <w:p>
      <w:pPr>
        <w:spacing w:after="120" w:before="0" w:line="340"/>
        <w:jc w:val="both"/>
      </w:pPr>
      <w:r>
        <w:rPr>
          <w:rFonts w:ascii="Times New Roman" w:eastAsia="標楷體"/>
          <w:b w:val="false"/>
          <w:bCs w:val="false"/>
          <w:sz w:val="24"/>
          <w:szCs w:val="24"/>
        </w:rPr>
        <w:t xml:space="preserve">同條第 2 項規定，前項第一款及第二款之採購，得規定廠商於投標文件內詳列報價內容。此係在不訂底價之情形下，仍保留機關審查價格合理性之工具，避免價格失控。</w:t>
      </w:r>
    </w:p>
    <w:p>
      <w:pPr>
        <w:spacing w:after="120" w:before="0" w:line="340"/>
        <w:jc w:val="both"/>
      </w:pPr>
      <w:r>
        <w:rPr>
          <w:rFonts w:ascii="Times New Roman" w:eastAsia="標楷體"/>
          <w:b w:val="false"/>
          <w:bCs w:val="false"/>
          <w:sz w:val="24"/>
          <w:szCs w:val="24"/>
        </w:rPr>
        <w:t xml:space="preserve">同條第 3 項規定，小額採購之金額，在中央由主管機關定之，在地方由直轄市或縣（市）政府定之，但均不得逾公告金額十分之一；地方未定者，比照中央規定辦理。依行政院公共工程委員會現行公告，公告金額為新臺幣一百五十萬元，中央機關小額採購金額為新臺幣十五萬元以下。答題時應強調「不訂底價並非免除價格審查」，機關仍須於招標文件敘明決標條件與原則，此為本條之核心精神。</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（1）指出第47條為第46條應訂底價原則之例外</w:t>
      </w:r>
    </w:p>
    <w:p>
      <w:pPr>
        <w:spacing w:after="120" w:before="0" w:line="340"/>
        <w:jc w:val="both"/>
      </w:pPr>
      <w:r>
        <w:rPr>
          <w:rFonts w:ascii="Times New Roman" w:eastAsia="標楷體"/>
          <w:b w:val="false"/>
          <w:bCs w:val="false"/>
          <w:sz w:val="22"/>
          <w:szCs w:val="22"/>
        </w:rPr>
        <w:t xml:space="preserve">（2）第一款：訂定底價確有困難之特殊或複雜案件</w:t>
      </w:r>
    </w:p>
    <w:p>
      <w:pPr>
        <w:spacing w:after="120" w:before="0" w:line="340"/>
        <w:jc w:val="both"/>
      </w:pPr>
      <w:r>
        <w:rPr>
          <w:rFonts w:ascii="Times New Roman" w:eastAsia="標楷體"/>
          <w:b w:val="false"/>
          <w:bCs w:val="false"/>
          <w:sz w:val="22"/>
          <w:szCs w:val="22"/>
        </w:rPr>
        <w:t xml:space="preserve">（3）第二款：以最有利標決標之採購</w:t>
      </w:r>
    </w:p>
    <w:p>
      <w:pPr>
        <w:spacing w:after="120" w:before="0" w:line="340"/>
        <w:jc w:val="both"/>
      </w:pPr>
      <w:r>
        <w:rPr>
          <w:rFonts w:ascii="Times New Roman" w:eastAsia="標楷體"/>
          <w:b w:val="false"/>
          <w:bCs w:val="false"/>
          <w:sz w:val="22"/>
          <w:szCs w:val="22"/>
        </w:rPr>
        <w:t xml:space="preserve">（4）第三款：小額採購</w:t>
      </w:r>
    </w:p>
    <w:p>
      <w:pPr>
        <w:spacing w:after="120" w:before="0" w:line="340"/>
        <w:jc w:val="both"/>
      </w:pPr>
      <w:r>
        <w:rPr>
          <w:rFonts w:ascii="Times New Roman" w:eastAsia="標楷體"/>
          <w:b w:val="false"/>
          <w:bCs w:val="false"/>
          <w:sz w:val="22"/>
          <w:szCs w:val="22"/>
        </w:rPr>
        <w:t xml:space="preserve">（5）但書：應於招標文件內敘明理由及決標條件與原則</w:t>
      </w:r>
    </w:p>
    <w:p>
      <w:pPr>
        <w:spacing w:after="120" w:before="0" w:line="340"/>
        <w:jc w:val="both"/>
      </w:pPr>
      <w:r>
        <w:rPr>
          <w:rFonts w:ascii="Times New Roman" w:eastAsia="標楷體"/>
          <w:b w:val="false"/>
          <w:bCs w:val="false"/>
          <w:sz w:val="22"/>
          <w:szCs w:val="22"/>
        </w:rPr>
        <w:t xml:space="preserve">（6）第2項：第一、二款得規定廠商於投標文件內詳列報價內容</w:t>
      </w:r>
    </w:p>
    <w:p>
      <w:pPr>
        <w:spacing w:after="120" w:before="0" w:line="340"/>
        <w:jc w:val="both"/>
      </w:pPr>
      <w:r>
        <w:rPr>
          <w:rFonts w:ascii="Times New Roman" w:eastAsia="標楷體"/>
          <w:b w:val="false"/>
          <w:bCs w:val="false"/>
          <w:sz w:val="22"/>
          <w:szCs w:val="22"/>
        </w:rPr>
        <w:t xml:space="preserve">（7）第3項：小額採購金額不得逾公告金額十分之一</w:t>
      </w:r>
    </w:p>
    <w:p>
      <w:pPr>
        <w:pStyle w:val="Heading2"/>
        <w:spacing w:after="140" w:before="240"/>
      </w:pPr>
      <w:r>
        <w:rPr>
          <w:rFonts w:ascii="Times New Roman" w:eastAsia="標楷體"/>
          <w:b/>
          <w:bCs/>
          <w:color w:val="1F3864"/>
          <w:sz w:val="26"/>
          <w:szCs w:val="26"/>
        </w:rPr>
        <w:t xml:space="preserve">三、題目（25 分）</w:t>
      </w:r>
    </w:p>
    <w:p>
      <w:pPr>
        <w:spacing w:after="120" w:before="0" w:line="340"/>
        <w:jc w:val="both"/>
      </w:pPr>
      <w:r>
        <w:rPr>
          <w:rFonts w:ascii="Times New Roman" w:eastAsia="標楷體"/>
          <w:b w:val="false"/>
          <w:bCs w:val="false"/>
          <w:sz w:val="24"/>
          <w:szCs w:val="24"/>
        </w:rPr>
        <w:t xml:space="preserve">職業安全衛生法第 23 條第 1 項規定，雇主應依其事業單位之規模、性質，訂定職業安全衛生管理計畫；並設置安全衛生組織、人員，實施安全衛生管理及自動檢查。請說明職業安全衛生管理計畫應包括那些主要內容？</w:t>
      </w:r>
    </w:p>
    <w:p>
      <w:pPr>
        <w:spacing w:after="120" w:before="0" w:line="340"/>
        <w:jc w:val="both"/>
      </w:pPr>
      <w:r>
        <w:rPr>
          <w:rFonts w:ascii="Times New Roman" w:eastAsia="標楷體"/>
          <w:b w:val="false"/>
          <w:bCs w:val="false"/>
          <w:color w:val="44546A"/>
          <w:sz w:val="22"/>
          <w:szCs w:val="22"/>
        </w:rPr>
        <w:t xml:space="preserve">【法源】職業安全衛生法第 23 條；職業安全衛生管理辦法第 12 條之 1（本題命題當時之規定係職業安全衛生法施行細則第 31 條，該條嗣後刪除，內容移列職業安全衛生管理辦法第 12 條之 1）</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職業安全衛生法第 23 條第 1 項規定，雇主應依其事業單位之規模、性質，設置安全衛生組織、人員；並訂定職業安全衛生管理計畫，實施安全衛生管理及自動檢查。同條第 2 項規定達一定規模或有第 15 條第 1 項所定工作場所者，應建置職業安全衛生管理系統；第 4 項規定安全衛生管理應由雇主、雇主代理人或工作場所負責人綜理，並由各級主管依其職責指揮、監督所屬人員執行；第 5 項則授權中央主管機關訂定相關辦法。</w:t>
      </w:r>
    </w:p>
    <w:p>
      <w:pPr>
        <w:spacing w:after="120" w:before="0" w:line="340"/>
        <w:jc w:val="both"/>
      </w:pPr>
      <w:r>
        <w:rPr>
          <w:rFonts w:ascii="Times New Roman" w:eastAsia="標楷體"/>
          <w:b w:val="false"/>
          <w:bCs w:val="false"/>
          <w:sz w:val="24"/>
          <w:szCs w:val="24"/>
        </w:rPr>
        <w:t xml:space="preserve">應特別提醒的是法源的變動。本題命題時，職業安全衛生管理計畫應包括之事項規定於職業安全衛生法施行細則第 31 條；該條現已刪除，相關內容移列至職業安全衛生管理辦法第 12 條之 1。作答時宜引用現行法源，並可註明沿革。</w:t>
      </w:r>
    </w:p>
    <w:p>
      <w:pPr>
        <w:spacing w:after="120" w:before="0" w:line="340"/>
        <w:jc w:val="both"/>
      </w:pPr>
      <w:r>
        <w:rPr>
          <w:rFonts w:ascii="Times New Roman" w:eastAsia="標楷體"/>
          <w:b w:val="false"/>
          <w:bCs w:val="false"/>
          <w:sz w:val="24"/>
          <w:szCs w:val="24"/>
        </w:rPr>
        <w:t xml:space="preserve">依職業安全衛生管理辦法第 12 條之 1，雇主使勞工從事工作前，應就工作場所內之建築物、機械、設備、器具、原料、材料等或作業活動及其他可能引起之危害因素實施風險評估，並依評估結果採取必要之預防設備及措施；並應依事業單位之規模、性質及風險評估結果訂定職業安全衛生管理計畫，要求各級主管依其職責指揮、監督所屬人員執行。勞工人數未滿三十人之事業單位，得以安全衛生管理執行紀錄或文件代替；勞工人數在一百人以上者，應另訂定職業安全衛生管理規章。</w:t>
      </w:r>
    </w:p>
    <w:p>
      <w:pPr>
        <w:spacing w:after="120" w:before="0" w:line="340"/>
        <w:jc w:val="both"/>
      </w:pPr>
      <w:r>
        <w:rPr>
          <w:rFonts w:ascii="Times New Roman" w:eastAsia="標楷體"/>
          <w:b w:val="false"/>
          <w:bCs w:val="false"/>
          <w:sz w:val="24"/>
          <w:szCs w:val="24"/>
        </w:rPr>
        <w:t xml:space="preserve">職業安全衛生管理計畫應包括之事項共十五項：機械、設備或器具之管理；危害性化學品之分類、標示、通識及管理；有害作業環境之採樣策略規劃及監測；危險性工作場所之製程或施工安全評估；採購管理、承攬管理及變更管理；安全衛生作業標準；定期檢查、重點檢查、作業檢點及現場巡視；安全衛生教育訓練；個人防護具之管理；健康檢查、管理及促進；安全衛生資訊之蒐集、分享及運用；緊急應變措施；職業災害、虛驚事故、影響身心健康事件之調查處理及統計分析；安全衛生管理稽核及績效評估措施；其他安全衛生管理措施。上開管理事項之執行應作成紀錄，並保存三年。就建築工程而言，其中採購管理與承攬管理、危險性工作場所之施工安全評估、緊急應變措施三項與營造工地關聯最深。</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（1）引用職業安全衛生法第23條第1項及其授權架構</w:t>
      </w:r>
    </w:p>
    <w:p>
      <w:pPr>
        <w:spacing w:after="120" w:before="0" w:line="340"/>
        <w:jc w:val="both"/>
      </w:pPr>
      <w:r>
        <w:rPr>
          <w:rFonts w:ascii="Times New Roman" w:eastAsia="標楷體"/>
          <w:b w:val="false"/>
          <w:bCs w:val="false"/>
          <w:sz w:val="22"/>
          <w:szCs w:val="22"/>
        </w:rPr>
        <w:t xml:space="preserve">（2）指出計畫內容之現行法源為職業安全衛生管理辦法第12條之1（原施行細則第31條已刪除）</w:t>
      </w:r>
    </w:p>
    <w:p>
      <w:pPr>
        <w:spacing w:after="120" w:before="0" w:line="340"/>
        <w:jc w:val="both"/>
      </w:pPr>
      <w:r>
        <w:rPr>
          <w:rFonts w:ascii="Times New Roman" w:eastAsia="標楷體"/>
          <w:b w:val="false"/>
          <w:bCs w:val="false"/>
          <w:sz w:val="22"/>
          <w:szCs w:val="22"/>
        </w:rPr>
        <w:t xml:space="preserve">（3）機械設備器具管理、危害性化學品分類標示通識及管理</w:t>
      </w:r>
    </w:p>
    <w:p>
      <w:pPr>
        <w:spacing w:after="120" w:before="0" w:line="340"/>
        <w:jc w:val="both"/>
      </w:pPr>
      <w:r>
        <w:rPr>
          <w:rFonts w:ascii="Times New Roman" w:eastAsia="標楷體"/>
          <w:b w:val="false"/>
          <w:bCs w:val="false"/>
          <w:sz w:val="22"/>
          <w:szCs w:val="22"/>
        </w:rPr>
        <w:t xml:space="preserve">（4）作業環境監測、危險性工作場所製程或施工安全評估</w:t>
      </w:r>
    </w:p>
    <w:p>
      <w:pPr>
        <w:spacing w:after="120" w:before="0" w:line="340"/>
        <w:jc w:val="both"/>
      </w:pPr>
      <w:r>
        <w:rPr>
          <w:rFonts w:ascii="Times New Roman" w:eastAsia="標楷體"/>
          <w:b w:val="false"/>
          <w:bCs w:val="false"/>
          <w:sz w:val="22"/>
          <w:szCs w:val="22"/>
        </w:rPr>
        <w:t xml:space="preserve">（5）採購管理承攬管理及變更管理、安全衛生作業標準、定期檢查與作業檢點</w:t>
      </w:r>
    </w:p>
    <w:p>
      <w:pPr>
        <w:spacing w:after="120" w:before="0" w:line="340"/>
        <w:jc w:val="both"/>
      </w:pPr>
      <w:r>
        <w:rPr>
          <w:rFonts w:ascii="Times New Roman" w:eastAsia="標楷體"/>
          <w:b w:val="false"/>
          <w:bCs w:val="false"/>
          <w:sz w:val="22"/>
          <w:szCs w:val="22"/>
        </w:rPr>
        <w:t xml:space="preserve">（6）教育訓練、個人防護具管理、健康檢查管理及促進</w:t>
      </w:r>
    </w:p>
    <w:p>
      <w:pPr>
        <w:spacing w:after="120" w:before="0" w:line="340"/>
        <w:jc w:val="both"/>
      </w:pPr>
      <w:r>
        <w:rPr>
          <w:rFonts w:ascii="Times New Roman" w:eastAsia="標楷體"/>
          <w:b w:val="false"/>
          <w:bCs w:val="false"/>
          <w:sz w:val="22"/>
          <w:szCs w:val="22"/>
        </w:rPr>
        <w:t xml:space="preserve">（7）緊急應變措施、職業災害調查處理與統計分析、管理稽核及績效評估</w:t>
      </w:r>
    </w:p>
    <w:p>
      <w:pPr>
        <w:pStyle w:val="Heading2"/>
        <w:spacing w:after="140" w:before="240"/>
      </w:pPr>
      <w:r>
        <w:rPr>
          <w:rFonts w:ascii="Times New Roman" w:eastAsia="標楷體"/>
          <w:b/>
          <w:bCs/>
          <w:color w:val="1F3864"/>
          <w:sz w:val="26"/>
          <w:szCs w:val="26"/>
        </w:rPr>
        <w:t xml:space="preserve">四、題目（25 分）</w:t>
      </w:r>
    </w:p>
    <w:p>
      <w:pPr>
        <w:spacing w:after="120" w:before="0" w:line="340"/>
        <w:jc w:val="both"/>
      </w:pPr>
      <w:r>
        <w:rPr>
          <w:rFonts w:ascii="Times New Roman" w:eastAsia="標楷體"/>
          <w:b w:val="false"/>
          <w:bCs w:val="false"/>
          <w:sz w:val="24"/>
          <w:szCs w:val="24"/>
        </w:rPr>
        <w:t xml:space="preserve">建築物新建時，需先取得建造執照才能施工。請依建築法第 31 條之規定，說明建造執照申請書應載明那些事項？</w:t>
      </w:r>
    </w:p>
    <w:p>
      <w:pPr>
        <w:spacing w:after="120" w:before="0" w:line="340"/>
        <w:jc w:val="both"/>
      </w:pPr>
      <w:r>
        <w:rPr>
          <w:rFonts w:ascii="Times New Roman" w:eastAsia="標楷體"/>
          <w:b w:val="false"/>
          <w:bCs w:val="false"/>
          <w:color w:val="44546A"/>
          <w:sz w:val="22"/>
          <w:szCs w:val="22"/>
        </w:rPr>
        <w:t xml:space="preserve">【法源】建築法第 31 條；並涉第 30 條、第 32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建築法就建造執照之申請，採「申請書載明事項」與「應備文件」分立之立法方式。第 30 條規定起造人申請建造執照或雜項執照時，應備具申請書、土地權利證明文件、工程圖樣及說明書；第 31 條規定申請書應載明之事項；第 32 條則規定工程圖樣及說明書應包括之內容。三條合觀，始為完整之申請要件。</w:t>
      </w:r>
    </w:p>
    <w:p>
      <w:pPr>
        <w:spacing w:after="120" w:before="0" w:line="340"/>
        <w:jc w:val="both"/>
      </w:pPr>
      <w:r>
        <w:rPr>
          <w:rFonts w:ascii="Times New Roman" w:eastAsia="標楷體"/>
          <w:b w:val="false"/>
          <w:bCs w:val="false"/>
          <w:sz w:val="24"/>
          <w:szCs w:val="24"/>
        </w:rPr>
        <w:t xml:space="preserve">依第 31 條，建造執照或雜項執照申請書應載明下列事項：第一款，起造人之姓名、年齡、住址，起造人為法人者，其名稱及事務所；第二款，設計人之姓名、住址、所領證書字號及簽章；第三款，建築地址；第四款，基地面積、建築面積、基地面積與建築面積之百分比；第五款，建築物用途；第六款，工程概算；第七款，建築期限。</w:t>
      </w:r>
    </w:p>
    <w:p>
      <w:pPr>
        <w:spacing w:after="120" w:before="0" w:line="340"/>
        <w:jc w:val="both"/>
      </w:pPr>
      <w:r>
        <w:rPr>
          <w:rFonts w:ascii="Times New Roman" w:eastAsia="標楷體"/>
          <w:b w:val="false"/>
          <w:bCs w:val="false"/>
          <w:sz w:val="24"/>
          <w:szCs w:val="24"/>
        </w:rPr>
        <w:t xml:space="preserve">七款事項可歸納為三類。第一款與第二款為主體資訊，確認起造人與設計人之身分及設計人之資格；第三款至第五款為標的資訊，確認基地位置、量體規模、建蔽率與使用用途，是主管機關審查是否符合都市計畫土地使用分區管制與建築技術規則之基礎；第六款與第七款為執行資訊，工程概算為第 29 條規費計收之依據，建築期限則與第 53 條建築期限之核定相銜接。</w:t>
      </w:r>
    </w:p>
    <w:p>
      <w:pPr>
        <w:spacing w:after="120" w:before="0" w:line="340"/>
        <w:jc w:val="both"/>
      </w:pPr>
      <w:r>
        <w:rPr>
          <w:rFonts w:ascii="Times New Roman" w:eastAsia="標楷體"/>
          <w:b w:val="false"/>
          <w:bCs w:val="false"/>
          <w:sz w:val="24"/>
          <w:szCs w:val="24"/>
        </w:rPr>
        <w:t xml:space="preserve">答題時若能一併指出第 30 條之應備文件與第 32 條工程圖樣及說明書之八款內容，並說明三條之分工，較能展現體系理解。</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（1）指出建築法第31條並說明與第30條、第32條之分工</w:t>
      </w:r>
    </w:p>
    <w:p>
      <w:pPr>
        <w:spacing w:after="120" w:before="0" w:line="340"/>
        <w:jc w:val="both"/>
      </w:pPr>
      <w:r>
        <w:rPr>
          <w:rFonts w:ascii="Times New Roman" w:eastAsia="標楷體"/>
          <w:b w:val="false"/>
          <w:bCs w:val="false"/>
          <w:sz w:val="22"/>
          <w:szCs w:val="22"/>
        </w:rPr>
        <w:t xml:space="preserve">（2）起造人之姓名、年齡、住址；法人者其名稱及事務所</w:t>
      </w:r>
    </w:p>
    <w:p>
      <w:pPr>
        <w:spacing w:after="120" w:before="0" w:line="340"/>
        <w:jc w:val="both"/>
      </w:pPr>
      <w:r>
        <w:rPr>
          <w:rFonts w:ascii="Times New Roman" w:eastAsia="標楷體"/>
          <w:b w:val="false"/>
          <w:bCs w:val="false"/>
          <w:sz w:val="22"/>
          <w:szCs w:val="22"/>
        </w:rPr>
        <w:t xml:space="preserve">（3）設計人之姓名、住址、所領證書字號及簽章</w:t>
      </w:r>
    </w:p>
    <w:p>
      <w:pPr>
        <w:spacing w:after="120" w:before="0" w:line="340"/>
        <w:jc w:val="both"/>
      </w:pPr>
      <w:r>
        <w:rPr>
          <w:rFonts w:ascii="Times New Roman" w:eastAsia="標楷體"/>
          <w:b w:val="false"/>
          <w:bCs w:val="false"/>
          <w:sz w:val="22"/>
          <w:szCs w:val="22"/>
        </w:rPr>
        <w:t xml:space="preserve">（4）建築地址；基地面積、建築面積及其百分比</w:t>
      </w:r>
    </w:p>
    <w:p>
      <w:pPr>
        <w:spacing w:after="120" w:before="0" w:line="340"/>
        <w:jc w:val="both"/>
      </w:pPr>
      <w:r>
        <w:rPr>
          <w:rFonts w:ascii="Times New Roman" w:eastAsia="標楷體"/>
          <w:b w:val="false"/>
          <w:bCs w:val="false"/>
          <w:sz w:val="22"/>
          <w:szCs w:val="22"/>
        </w:rPr>
        <w:t xml:space="preserve">（5）建築物用途</w:t>
      </w:r>
    </w:p>
    <w:p>
      <w:pPr>
        <w:spacing w:after="120" w:before="0" w:line="340"/>
        <w:jc w:val="both"/>
      </w:pPr>
      <w:r>
        <w:rPr>
          <w:rFonts w:ascii="Times New Roman" w:eastAsia="標楷體"/>
          <w:b w:val="false"/>
          <w:bCs w:val="false"/>
          <w:sz w:val="22"/>
          <w:szCs w:val="22"/>
        </w:rPr>
        <w:t xml:space="preserve">（6）工程概算</w:t>
      </w:r>
    </w:p>
    <w:p>
      <w:pPr>
        <w:spacing w:after="120" w:before="0" w:line="340"/>
        <w:jc w:val="both"/>
      </w:pPr>
      <w:r>
        <w:rPr>
          <w:rFonts w:ascii="Times New Roman" w:eastAsia="標楷體"/>
          <w:b w:val="false"/>
          <w:bCs w:val="false"/>
          <w:sz w:val="22"/>
          <w:szCs w:val="22"/>
        </w:rPr>
        <w:t xml:space="preserve">（7）建築期限</w:t>
      </w:r>
    </w:p>
    <w:p>
      <w:r>
        <w:br w:type="page"/>
      </w:r>
    </w:p>
    <w:p>
      <w:pPr>
        <w:pStyle w:val="Heading1"/>
        <w:spacing w:after="140" w:before="400"/>
      </w:pPr>
      <w:r>
        <w:rPr>
          <w:rFonts w:ascii="Times New Roman" w:eastAsia="標楷體"/>
          <w:b/>
          <w:bCs/>
          <w:color w:val="1F3864"/>
          <w:sz w:val="28"/>
          <w:szCs w:val="28"/>
        </w:rPr>
        <w:t xml:space="preserve">107 年公務人員普通考試 建築工程 營建法規概要（試題代號 43850）</w:t>
      </w:r>
    </w:p>
    <w:p>
      <w:pPr>
        <w:pStyle w:val="Heading2"/>
        <w:spacing w:after="140" w:before="240"/>
      </w:pPr>
      <w:r>
        <w:rPr>
          <w:rFonts w:ascii="Times New Roman" w:eastAsia="標楷體"/>
          <w:b/>
          <w:bCs/>
          <w:color w:val="1F3864"/>
          <w:sz w:val="26"/>
          <w:szCs w:val="26"/>
        </w:rPr>
        <w:t xml:space="preserve">一、題目（25 分）</w:t>
      </w:r>
    </w:p>
    <w:p>
      <w:pPr>
        <w:spacing w:after="120" w:before="0" w:line="340"/>
        <w:jc w:val="both"/>
      </w:pPr>
      <w:r>
        <w:rPr>
          <w:rFonts w:ascii="Times New Roman" w:eastAsia="標楷體"/>
          <w:b w:val="false"/>
          <w:bCs w:val="false"/>
          <w:sz w:val="24"/>
          <w:szCs w:val="24"/>
        </w:rPr>
        <w:t xml:space="preserve">試詳述政府採購法對特殊採購之定義。</w:t>
      </w:r>
    </w:p>
    <w:p>
      <w:pPr>
        <w:spacing w:after="120" w:before="0" w:line="340"/>
        <w:jc w:val="both"/>
      </w:pPr>
      <w:r>
        <w:rPr>
          <w:rFonts w:ascii="Times New Roman" w:eastAsia="標楷體"/>
          <w:b w:val="false"/>
          <w:bCs w:val="false"/>
          <w:color w:val="44546A"/>
          <w:sz w:val="22"/>
          <w:szCs w:val="22"/>
        </w:rPr>
        <w:t xml:space="preserve">【法源】投標廠商資格與特殊或巨額採購認定標準第 6 條、第 7 條、第 7 條之 1（依政府採購法第 36 條第 4 項授權訂定）；並涉政府採購法第 36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應先辨明法源。政府採購法本文並未直接定義特殊採購，而是於第 36 條規定機關得訂定投標廠商之基本資格與特定資格，並於第 4 項授權主管機關訂定「投標廠商資格與特殊或巨額採購認定標準」。特殊採購之定義即規定於該標準第 6 條至第 7 條之 1。其制度功能在於，採購案件一經認定為特殊採購，機關即得訂定較嚴格之特定資格，以確保廠商具備完成該案之能力。</w:t>
      </w:r>
    </w:p>
    <w:p>
      <w:pPr>
        <w:spacing w:after="120" w:before="0" w:line="340"/>
        <w:jc w:val="both"/>
      </w:pPr>
      <w:r>
        <w:rPr>
          <w:rFonts w:ascii="Times New Roman" w:eastAsia="標楷體"/>
          <w:b w:val="false"/>
          <w:bCs w:val="false"/>
          <w:sz w:val="24"/>
          <w:szCs w:val="24"/>
        </w:rPr>
        <w:t xml:space="preserve">工程採購之特殊採購，依該標準第 6 條，有下列情形之一者屬之：興建構造物，地面高度超過五十公尺或地面樓層超過十五層者；興建構造物，單一跨徑在五十公尺以上者；開挖深度在十五公尺以上者；興建隧道，長度在一千公尺以上者；於地面下或水面下施工者；使用特殊施工方法或技術者；古蹟構造物之修建或拆遷；其他經主管機關認定者。前七款可再歸納為以量體規模認定者（前四款）、以施工環境認定者（第五款）、以工法技術認定者（第六款）與以標的性質認定者（第七款）。</w:t>
      </w:r>
    </w:p>
    <w:p>
      <w:pPr>
        <w:spacing w:after="120" w:before="0" w:line="340"/>
        <w:jc w:val="both"/>
      </w:pPr>
      <w:r>
        <w:rPr>
          <w:rFonts w:ascii="Times New Roman" w:eastAsia="標楷體"/>
          <w:b w:val="false"/>
          <w:bCs w:val="false"/>
          <w:sz w:val="24"/>
          <w:szCs w:val="24"/>
        </w:rPr>
        <w:t xml:space="preserve">財物或勞務採購之特殊採購，依該標準第 7 條，有下列情形之一者屬之：採購標的之規格、製程、供應或使用性質特殊者；採購標的需要特殊專業或技術人才始能完成者；採購標的需要特殊機具、設備或技術始能完成者；藝術品或具有歷史文化紀念價值之古物；其他經主管機關認定者。</w:t>
      </w:r>
    </w:p>
    <w:p>
      <w:pPr>
        <w:spacing w:after="120" w:before="0" w:line="340"/>
        <w:jc w:val="both"/>
      </w:pPr>
      <w:r>
        <w:rPr>
          <w:rFonts w:ascii="Times New Roman" w:eastAsia="標楷體"/>
          <w:b w:val="false"/>
          <w:bCs w:val="false"/>
          <w:sz w:val="24"/>
          <w:szCs w:val="24"/>
        </w:rPr>
        <w:t xml:space="preserve">另依同標準第 7 條之 1，採購兼有工程、財物或勞務二種以上性質，而以其中之一認定其歸屬者，其他性質符合前二條情形之一，得以該其他性質於該採購所占比例或相關部分訂定特定資格。此一規定係為處理綜合性採購之認定困難。答題時宜將特殊採購與同標準第 8 條之巨額採購（工程二億元、財物一億元、勞務二千萬元）並列說明，以突顯前者以性質認定、後者以金額認定之差異。</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（1）指出法源為投標廠商資格與特殊或巨額採購認定標準（政府採購法第36條授權）</w:t>
      </w:r>
    </w:p>
    <w:p>
      <w:pPr>
        <w:spacing w:after="120" w:before="0" w:line="340"/>
        <w:jc w:val="both"/>
      </w:pPr>
      <w:r>
        <w:rPr>
          <w:rFonts w:ascii="Times New Roman" w:eastAsia="標楷體"/>
          <w:b w:val="false"/>
          <w:bCs w:val="false"/>
          <w:sz w:val="22"/>
          <w:szCs w:val="22"/>
        </w:rPr>
        <w:t xml:space="preserve">（2）工程特殊採購：地面高度超過50公尺或地面樓層超過15層</w:t>
      </w:r>
    </w:p>
    <w:p>
      <w:pPr>
        <w:spacing w:after="120" w:before="0" w:line="340"/>
        <w:jc w:val="both"/>
      </w:pPr>
      <w:r>
        <w:rPr>
          <w:rFonts w:ascii="Times New Roman" w:eastAsia="標楷體"/>
          <w:b w:val="false"/>
          <w:bCs w:val="false"/>
          <w:sz w:val="22"/>
          <w:szCs w:val="22"/>
        </w:rPr>
        <w:t xml:space="preserve">（3）工程特殊採購：單一跨徑50公尺以上、開挖深度15公尺以上、隧道長度1000公尺以上</w:t>
      </w:r>
    </w:p>
    <w:p>
      <w:pPr>
        <w:spacing w:after="120" w:before="0" w:line="340"/>
        <w:jc w:val="both"/>
      </w:pPr>
      <w:r>
        <w:rPr>
          <w:rFonts w:ascii="Times New Roman" w:eastAsia="標楷體"/>
          <w:b w:val="false"/>
          <w:bCs w:val="false"/>
          <w:sz w:val="22"/>
          <w:szCs w:val="22"/>
        </w:rPr>
        <w:t xml:space="preserve">（4）工程特殊採購：地面下或水面下施工、使用特殊施工方法或技術、古蹟修建或拆遷</w:t>
      </w:r>
    </w:p>
    <w:p>
      <w:pPr>
        <w:spacing w:after="120" w:before="0" w:line="340"/>
        <w:jc w:val="both"/>
      </w:pPr>
      <w:r>
        <w:rPr>
          <w:rFonts w:ascii="Times New Roman" w:eastAsia="標楷體"/>
          <w:b w:val="false"/>
          <w:bCs w:val="false"/>
          <w:sz w:val="22"/>
          <w:szCs w:val="22"/>
        </w:rPr>
        <w:t xml:space="preserve">（5）財物或勞務特殊採購：規格製程供應或使用性質特殊</w:t>
      </w:r>
    </w:p>
    <w:p>
      <w:pPr>
        <w:spacing w:after="120" w:before="0" w:line="340"/>
        <w:jc w:val="both"/>
      </w:pPr>
      <w:r>
        <w:rPr>
          <w:rFonts w:ascii="Times New Roman" w:eastAsia="標楷體"/>
          <w:b w:val="false"/>
          <w:bCs w:val="false"/>
          <w:sz w:val="22"/>
          <w:szCs w:val="22"/>
        </w:rPr>
        <w:t xml:space="preserve">（6）財物或勞務特殊採購：需特殊專業或技術人才、特殊機具設備或技術、藝術品或古物</w:t>
      </w:r>
    </w:p>
    <w:p>
      <w:pPr>
        <w:spacing w:after="120" w:before="0" w:line="340"/>
        <w:jc w:val="both"/>
      </w:pPr>
      <w:r>
        <w:rPr>
          <w:rFonts w:ascii="Times New Roman" w:eastAsia="標楷體"/>
          <w:b w:val="false"/>
          <w:bCs w:val="false"/>
          <w:sz w:val="22"/>
          <w:szCs w:val="22"/>
        </w:rPr>
        <w:t xml:space="preserve">（7）與巨額採購之區辨（工程2億、財物1億、勞務2000萬）</w:t>
      </w:r>
    </w:p>
    <w:p>
      <w:pPr>
        <w:pStyle w:val="Heading2"/>
        <w:spacing w:after="140" w:before="240"/>
      </w:pPr>
      <w:r>
        <w:rPr>
          <w:rFonts w:ascii="Times New Roman" w:eastAsia="標楷體"/>
          <w:b/>
          <w:bCs/>
          <w:color w:val="1F3864"/>
          <w:sz w:val="26"/>
          <w:szCs w:val="26"/>
        </w:rPr>
        <w:t xml:space="preserve">二、題目（25 分）</w:t>
      </w:r>
    </w:p>
    <w:p>
      <w:pPr>
        <w:spacing w:after="120" w:before="0" w:line="340"/>
        <w:jc w:val="both"/>
      </w:pPr>
      <w:r>
        <w:rPr>
          <w:rFonts w:ascii="Times New Roman" w:eastAsia="標楷體"/>
          <w:b w:val="false"/>
          <w:bCs w:val="false"/>
          <w:sz w:val="24"/>
          <w:szCs w:val="24"/>
        </w:rPr>
        <w:t xml:space="preserve">試述政府通過「都市更新發展計畫」之主要目的及大致內容。</w:t>
      </w:r>
    </w:p>
    <w:p>
      <w:pPr>
        <w:spacing w:after="120" w:before="0" w:line="340"/>
        <w:jc w:val="both"/>
      </w:pPr>
      <w:r>
        <w:rPr>
          <w:rFonts w:ascii="Times New Roman" w:eastAsia="標楷體"/>
          <w:b w:val="false"/>
          <w:bCs w:val="false"/>
          <w:color w:val="44546A"/>
          <w:sz w:val="22"/>
          <w:szCs w:val="22"/>
        </w:rPr>
        <w:t xml:space="preserve">【法源】都市更新條例；都市危險及老舊建築物加速重建條例；內政部主管之都市更新中程施政計畫（本題所稱「都市更新發展計畫」為行政院核定之施政計畫，其核定文號與計畫年期未能自公開資料查證，作答時宜以內政部公告版本為準，本參考答案僅就政策目的與內容架構說明）</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須先說明的是，「都市更新發展計畫」屬行政院核定、由內政部執行之中程施政計畫，並非法律或法規命令。本參考答案就其政策目的與內容架構說明，具體計畫年期與核定文號請以內政部公告為準；答題時若不確定計畫版本，宜以政策目的與法制工具作答，不宜杜撰計畫名稱與數據。</w:t>
      </w:r>
    </w:p>
    <w:p>
      <w:pPr>
        <w:spacing w:after="120" w:before="0" w:line="340"/>
        <w:jc w:val="both"/>
      </w:pPr>
      <w:r>
        <w:rPr>
          <w:rFonts w:ascii="Times New Roman" w:eastAsia="標楷體"/>
          <w:b w:val="false"/>
          <w:bCs w:val="false"/>
          <w:sz w:val="24"/>
          <w:szCs w:val="24"/>
        </w:rPr>
        <w:t xml:space="preserve">就主要目的而言，可歸納為四項。其一，加速老舊窳陋地區之更新，改善居住環境品質並提升防災與耐震能力，回應九二一地震以來社會對老舊建築物耐震安全之疑慮。其二，健全都市機能與土地使用效率，透過更新導入公共設施、開放空間與都市防災空間系統。其三，建立政府作為主導者之角色，扭轉早期完全依賴民間實施者所生之整合困難與信任不足。其四，透過制度誘因促成民間參與，包括容積獎勵、稅捐減免與融資協助。</w:t>
      </w:r>
    </w:p>
    <w:p>
      <w:pPr>
        <w:spacing w:after="120" w:before="0" w:line="340"/>
        <w:jc w:val="both"/>
      </w:pPr>
      <w:r>
        <w:rPr>
          <w:rFonts w:ascii="Times New Roman" w:eastAsia="標楷體"/>
          <w:b w:val="false"/>
          <w:bCs w:val="false"/>
          <w:sz w:val="24"/>
          <w:szCs w:val="24"/>
        </w:rPr>
        <w:t xml:space="preserve">就大致內容而言，通常包含下列面向：更新地區之劃定與更新計畫之擬訂，作為擬訂都市更新事業計畫之指導；公有土地與公有建築物之帶頭示範，由政府機關（構）或專責法人擔任實施者；權利變換制度之精進與估價爭議之處理；容積獎勵之項目、額度與審議機制之檢討；自主更新之補助與專業協助；以及與都市危險及老舊建築物加速重建條例之分工，由後者處理規模較小、屋齡較高且有耐震疑慮之個案，以簡化程序、時程獎勵與稅捐減免加速重建。</w:t>
      </w:r>
    </w:p>
    <w:p>
      <w:pPr>
        <w:spacing w:after="120" w:before="0" w:line="340"/>
        <w:jc w:val="both"/>
      </w:pPr>
      <w:r>
        <w:rPr>
          <w:rFonts w:ascii="Times New Roman" w:eastAsia="標楷體"/>
          <w:b w:val="false"/>
          <w:bCs w:val="false"/>
          <w:sz w:val="24"/>
          <w:szCs w:val="24"/>
        </w:rPr>
        <w:t xml:space="preserve">就法制配套而言，都市更新條例第 3 條定義更新地區、都市更新計畫、都市更新事業、更新單元、實施者與權利變換；第 22 條規定事業概要之申請與同意比率；第 29 條規定各級主管機關應以合議制及公開方式辦理審議，且專家學者及民間團體代表不得少於二分之一，任一性別比例不得少於三分之一；第 32 條規定事業計畫之審議、核定、公開展覽與公聽會程序；第 65 條規定容積獎勵之上限，原則不得超過基準容積之一點五倍。這些條文即為政策目的落實為法制工具之具體展現。</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（1）指出其為行政院核定之施政計畫而非法律，並以政策目的與法制工具作答</w:t>
      </w:r>
    </w:p>
    <w:p>
      <w:pPr>
        <w:spacing w:after="120" w:before="0" w:line="340"/>
        <w:jc w:val="both"/>
      </w:pPr>
      <w:r>
        <w:rPr>
          <w:rFonts w:ascii="Times New Roman" w:eastAsia="標楷體"/>
          <w:b w:val="false"/>
          <w:bCs w:val="false"/>
          <w:sz w:val="22"/>
          <w:szCs w:val="22"/>
        </w:rPr>
        <w:t xml:space="preserve">（2）目的：改善老舊窳陋地區居住環境、提升防災與耐震安全</w:t>
      </w:r>
    </w:p>
    <w:p>
      <w:pPr>
        <w:spacing w:after="120" w:before="0" w:line="340"/>
        <w:jc w:val="both"/>
      </w:pPr>
      <w:r>
        <w:rPr>
          <w:rFonts w:ascii="Times New Roman" w:eastAsia="標楷體"/>
          <w:b w:val="false"/>
          <w:bCs w:val="false"/>
          <w:sz w:val="22"/>
          <w:szCs w:val="22"/>
        </w:rPr>
        <w:t xml:space="preserve">（3）目的：健全都市機能、提升土地使用效率、增加公共設施與開放空間</w:t>
      </w:r>
    </w:p>
    <w:p>
      <w:pPr>
        <w:spacing w:after="120" w:before="0" w:line="340"/>
        <w:jc w:val="both"/>
      </w:pPr>
      <w:r>
        <w:rPr>
          <w:rFonts w:ascii="Times New Roman" w:eastAsia="標楷體"/>
          <w:b w:val="false"/>
          <w:bCs w:val="false"/>
          <w:sz w:val="22"/>
          <w:szCs w:val="22"/>
        </w:rPr>
        <w:t xml:space="preserve">（4）目的：政府主導示範並以誘因促成民間參與</w:t>
      </w:r>
    </w:p>
    <w:p>
      <w:pPr>
        <w:spacing w:after="120" w:before="0" w:line="340"/>
        <w:jc w:val="both"/>
      </w:pPr>
      <w:r>
        <w:rPr>
          <w:rFonts w:ascii="Times New Roman" w:eastAsia="標楷體"/>
          <w:b w:val="false"/>
          <w:bCs w:val="false"/>
          <w:sz w:val="22"/>
          <w:szCs w:val="22"/>
        </w:rPr>
        <w:t xml:space="preserve">（5）內容：更新地區劃定與都市更新計畫作為事業計畫之指導</w:t>
      </w:r>
    </w:p>
    <w:p>
      <w:pPr>
        <w:spacing w:after="120" w:before="0" w:line="340"/>
        <w:jc w:val="both"/>
      </w:pPr>
      <w:r>
        <w:rPr>
          <w:rFonts w:ascii="Times New Roman" w:eastAsia="標楷體"/>
          <w:b w:val="false"/>
          <w:bCs w:val="false"/>
          <w:sz w:val="22"/>
          <w:szCs w:val="22"/>
        </w:rPr>
        <w:t xml:space="preserve">（6）內容：權利變換制度、審議機制與自主更新協助</w:t>
      </w:r>
    </w:p>
    <w:p>
      <w:pPr>
        <w:spacing w:after="120" w:before="0" w:line="340"/>
        <w:jc w:val="both"/>
      </w:pPr>
      <w:r>
        <w:rPr>
          <w:rFonts w:ascii="Times New Roman" w:eastAsia="標楷體"/>
          <w:b w:val="false"/>
          <w:bCs w:val="false"/>
          <w:sz w:val="22"/>
          <w:szCs w:val="22"/>
        </w:rPr>
        <w:t xml:space="preserve">（7）內容：與都市危險及老舊建築物加速重建條例之分工</w:t>
      </w:r>
    </w:p>
    <w:p>
      <w:pPr>
        <w:pStyle w:val="Heading2"/>
        <w:spacing w:after="140" w:before="240"/>
      </w:pPr>
      <w:r>
        <w:rPr>
          <w:rFonts w:ascii="Times New Roman" w:eastAsia="標楷體"/>
          <w:b/>
          <w:bCs/>
          <w:color w:val="1F3864"/>
          <w:sz w:val="26"/>
          <w:szCs w:val="26"/>
        </w:rPr>
        <w:t xml:space="preserve">三、題目（25 分）</w:t>
      </w:r>
    </w:p>
    <w:p>
      <w:pPr>
        <w:spacing w:after="120" w:before="0" w:line="340"/>
        <w:jc w:val="both"/>
      </w:pPr>
      <w:r>
        <w:rPr>
          <w:rFonts w:ascii="Times New Roman" w:eastAsia="標楷體"/>
          <w:b w:val="false"/>
          <w:bCs w:val="false"/>
          <w:sz w:val="24"/>
          <w:szCs w:val="24"/>
        </w:rPr>
        <w:t xml:space="preserve">試述目前建築物無障礙設施設計規範之法令定位、適用範圍及考慮對象。</w:t>
      </w:r>
    </w:p>
    <w:p>
      <w:pPr>
        <w:spacing w:after="120" w:before="0" w:line="340"/>
        <w:jc w:val="both"/>
      </w:pPr>
      <w:r>
        <w:rPr>
          <w:rFonts w:ascii="Times New Roman" w:eastAsia="標楷體"/>
          <w:b w:val="false"/>
          <w:bCs w:val="false"/>
          <w:color w:val="44546A"/>
          <w:sz w:val="22"/>
          <w:szCs w:val="22"/>
        </w:rPr>
        <w:t xml:space="preserve">【法源】建築技術規則建築設計施工編第十章「無障礙建築物」第 167 條；建築物無障礙設施設計規範（依第 167 條第 4 項授權，由中央主管建築機關定之）</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就法令定位而言，建築物無障礙設施設計規範並非法律，亦非法規命令，而是依建築技術規則建築設計施工編第 167 條第 4 項授權，由中央主管建築機關訂定之技術規範。其位階可追溯為：建築法第 97 條授權訂定建築技術規則，建築技術規則建築設計施工編第十章規定無障礙建築物之設置義務，再由該編第 167 條第 4 項授權訂定設計規範。因此規範本身雖為技術性文件，但因建築技術規則之強制力而具有事實上之拘束效果，違反者將無法通過建造執照與使用執照之審查。</w:t>
      </w:r>
    </w:p>
    <w:p>
      <w:pPr>
        <w:spacing w:after="120" w:before="0" w:line="340"/>
        <w:jc w:val="both"/>
      </w:pPr>
      <w:r>
        <w:rPr>
          <w:rFonts w:ascii="Times New Roman" w:eastAsia="標楷體"/>
          <w:b w:val="false"/>
          <w:bCs w:val="false"/>
          <w:sz w:val="24"/>
          <w:szCs w:val="24"/>
        </w:rPr>
        <w:t xml:space="preserve">就適用範圍而言，依第 167 條第 1 項，為便利行動不便者進出及使用建築物，新建或增建建築物應依該章規定設置無障礙設施；但有下列情形之一者不在此限：獨棟或連棟建築物，該棟自地面層至最上層均屬同一住宅單位且第二層以上僅供住宅使用；供住宅使用之公寓大廈專有及約定專用部分；除公共建築物外，建築基地面積未達一百五十平方公尺或每棟每層樓地板面積均未達一百平方公尺。第 2 項並規定，前項各款之建築物地面層仍應設置無障礙通路，此為除外規定之再限縮，不可遺漏。第 3 項規定因建築基地地形、垂直增建、構造或使用用途特殊，設置無障礙設施確有困難，經當地主管建築機關核准者，得不適用該章一部或全部之規定。</w:t>
      </w:r>
    </w:p>
    <w:p>
      <w:pPr>
        <w:spacing w:after="120" w:before="0" w:line="340"/>
        <w:jc w:val="both"/>
      </w:pPr>
      <w:r>
        <w:rPr>
          <w:rFonts w:ascii="Times New Roman" w:eastAsia="標楷體"/>
          <w:b w:val="false"/>
          <w:bCs w:val="false"/>
          <w:sz w:val="24"/>
          <w:szCs w:val="24"/>
        </w:rPr>
        <w:t xml:space="preserve">就考慮對象而言，條文使用「行動不便者」一語。實務上其涵蓋範圍不以領有身心障礙證明者為限，尚包括因肢體、視覺、聽覺障礙而行動或感知受限者，以及高齡者、孕婦、傷病者、推嬰兒車者等暫時性行動不便之使用者。此即通用設計思維在法規上的體現：無障礙設施之受益者為全體使用者，而非特定群體。</w:t>
      </w:r>
    </w:p>
    <w:p>
      <w:pPr>
        <w:spacing w:after="120" w:before="0" w:line="340"/>
        <w:jc w:val="both"/>
      </w:pPr>
      <w:r>
        <w:rPr>
          <w:rFonts w:ascii="Times New Roman" w:eastAsia="標楷體"/>
          <w:b w:val="false"/>
          <w:bCs w:val="false"/>
          <w:sz w:val="24"/>
          <w:szCs w:val="24"/>
        </w:rPr>
        <w:t xml:space="preserve">答題時應注意兩個常見錯誤。其一是將設計規範誤認為法律位階；其二是遺漏第 2 項「地面層仍應設置無障礙通路」之規定，逕稱除外情形完全免設。</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（1）法令定位：依建築技術規則建築設計施工編第167條授權訂定之技術規範，非法律</w:t>
      </w:r>
    </w:p>
    <w:p>
      <w:pPr>
        <w:spacing w:after="120" w:before="0" w:line="340"/>
        <w:jc w:val="both"/>
      </w:pPr>
      <w:r>
        <w:rPr>
          <w:rFonts w:ascii="Times New Roman" w:eastAsia="標楷體"/>
          <w:b w:val="false"/>
          <w:bCs w:val="false"/>
          <w:sz w:val="22"/>
          <w:szCs w:val="22"/>
        </w:rPr>
        <w:t xml:space="preserve">（2）位階脈絡：建築法第97條→建築技術規則→第十章無障礙建築物→設計規範</w:t>
      </w:r>
    </w:p>
    <w:p>
      <w:pPr>
        <w:spacing w:after="120" w:before="0" w:line="340"/>
        <w:jc w:val="both"/>
      </w:pPr>
      <w:r>
        <w:rPr>
          <w:rFonts w:ascii="Times New Roman" w:eastAsia="標楷體"/>
          <w:b w:val="false"/>
          <w:bCs w:val="false"/>
          <w:sz w:val="22"/>
          <w:szCs w:val="22"/>
        </w:rPr>
        <w:t xml:space="preserve">（3）適用範圍：新建或增建建築物應設置無障礙設施</w:t>
      </w:r>
    </w:p>
    <w:p>
      <w:pPr>
        <w:spacing w:after="120" w:before="0" w:line="340"/>
        <w:jc w:val="both"/>
      </w:pPr>
      <w:r>
        <w:rPr>
          <w:rFonts w:ascii="Times New Roman" w:eastAsia="標楷體"/>
          <w:b w:val="false"/>
          <w:bCs w:val="false"/>
          <w:sz w:val="22"/>
          <w:szCs w:val="22"/>
        </w:rPr>
        <w:t xml:space="preserve">（4）除外情形：同一住宅單位之獨棟或連棟建築物、公寓大廈專有及約定專用部分</w:t>
      </w:r>
    </w:p>
    <w:p>
      <w:pPr>
        <w:spacing w:after="120" w:before="0" w:line="340"/>
        <w:jc w:val="both"/>
      </w:pPr>
      <w:r>
        <w:rPr>
          <w:rFonts w:ascii="Times New Roman" w:eastAsia="標楷體"/>
          <w:b w:val="false"/>
          <w:bCs w:val="false"/>
          <w:sz w:val="22"/>
          <w:szCs w:val="22"/>
        </w:rPr>
        <w:t xml:space="preserve">（5）除外情形：基地面積未達150平方公尺或每棟每層樓地板面積未達100平方公尺</w:t>
      </w:r>
    </w:p>
    <w:p>
      <w:pPr>
        <w:spacing w:after="120" w:before="0" w:line="340"/>
        <w:jc w:val="both"/>
      </w:pPr>
      <w:r>
        <w:rPr>
          <w:rFonts w:ascii="Times New Roman" w:eastAsia="標楷體"/>
          <w:b w:val="false"/>
          <w:bCs w:val="false"/>
          <w:sz w:val="22"/>
          <w:szCs w:val="22"/>
        </w:rPr>
        <w:t xml:space="preserve">（6）除外情形之再限縮：地面層仍應設置無障礙通路</w:t>
      </w:r>
    </w:p>
    <w:p>
      <w:pPr>
        <w:spacing w:after="120" w:before="0" w:line="340"/>
        <w:jc w:val="both"/>
      </w:pPr>
      <w:r>
        <w:rPr>
          <w:rFonts w:ascii="Times New Roman" w:eastAsia="標楷體"/>
          <w:b w:val="false"/>
          <w:bCs w:val="false"/>
          <w:sz w:val="22"/>
          <w:szCs w:val="22"/>
        </w:rPr>
        <w:t xml:space="preserve">（7）考慮對象：行動不便者，並涵蓋高齡者、孕婦等暫時性行動不便之使用者</w:t>
      </w:r>
    </w:p>
    <w:p>
      <w:pPr>
        <w:pStyle w:val="Heading2"/>
        <w:spacing w:after="140" w:before="240"/>
      </w:pPr>
      <w:r>
        <w:rPr>
          <w:rFonts w:ascii="Times New Roman" w:eastAsia="標楷體"/>
          <w:b/>
          <w:bCs/>
          <w:color w:val="1F3864"/>
          <w:sz w:val="26"/>
          <w:szCs w:val="26"/>
        </w:rPr>
        <w:t xml:space="preserve">四、題目（25 分）</w:t>
      </w:r>
    </w:p>
    <w:p>
      <w:pPr>
        <w:spacing w:after="120" w:before="0" w:line="340"/>
        <w:jc w:val="both"/>
      </w:pPr>
      <w:r>
        <w:rPr>
          <w:rFonts w:ascii="Times New Roman" w:eastAsia="標楷體"/>
          <w:b w:val="false"/>
          <w:bCs w:val="false"/>
          <w:sz w:val="24"/>
          <w:szCs w:val="24"/>
        </w:rPr>
        <w:t xml:space="preserve">試說明建築法第 9 條所稱建造，係指那些行為？</w:t>
      </w:r>
    </w:p>
    <w:p>
      <w:pPr>
        <w:spacing w:after="120" w:before="0" w:line="340"/>
        <w:jc w:val="both"/>
      </w:pPr>
      <w:r>
        <w:rPr>
          <w:rFonts w:ascii="Times New Roman" w:eastAsia="標楷體"/>
          <w:b w:val="false"/>
          <w:bCs w:val="false"/>
          <w:color w:val="44546A"/>
          <w:sz w:val="22"/>
          <w:szCs w:val="22"/>
        </w:rPr>
        <w:t xml:space="preserve">【法源】建築法第 9 條；並涉第 28 條、第 25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建築法第 9 條規定，本法所稱建造，係指下列行為：第一款新建，為新建造之建築物或將原建築物全部拆除而重行建築者；第二款增建，於原建築物增加其面積或高度者，但以過廊與原建築物連接者，應視為新建；第三款改建，將建築物之一部分拆除，於原建築基地範圍內改造，而不增高或擴大面積者；第四款修建，建築物之基礎、樑柱、承重牆壁、樓地板、屋架及屋頂，其中任何一種有過半之修理或變更者。</w:t>
      </w:r>
    </w:p>
    <w:p>
      <w:pPr>
        <w:spacing w:after="120" w:before="0" w:line="340"/>
        <w:jc w:val="both"/>
      </w:pPr>
      <w:r>
        <w:rPr>
          <w:rFonts w:ascii="Times New Roman" w:eastAsia="標楷體"/>
          <w:b w:val="false"/>
          <w:bCs w:val="false"/>
          <w:sz w:val="24"/>
          <w:szCs w:val="24"/>
        </w:rPr>
        <w:t xml:space="preserve">四種行為之區辨要領如下。新建之核心在於「從無到有」，包含全部拆除後重行建築之情形；增建之核心在於面積或高度之增加，但以過廊連接者因結構與使用機能均獨立，故視為新建；改建之核心在於「不增高、不擴大面積」，僅於原基地範圍內就一部分拆除改造；修建之核心在於「過半」，且限於基礎、樑柱、承重牆壁、樓地板、屋架、屋頂等六種構造，其中任何一種有過半之修理或變更即屬之。</w:t>
      </w:r>
    </w:p>
    <w:p>
      <w:pPr>
        <w:spacing w:after="120" w:before="0" w:line="340"/>
        <w:jc w:val="both"/>
      </w:pPr>
      <w:r>
        <w:rPr>
          <w:rFonts w:ascii="Times New Roman" w:eastAsia="標楷體"/>
          <w:b w:val="false"/>
          <w:bCs w:val="false"/>
          <w:sz w:val="24"/>
          <w:szCs w:val="24"/>
        </w:rPr>
        <w:t xml:space="preserve">第 9 條之實益在於連結建築許可制度。依第 28 條第一款，建築物之新建、增建、改建及修建應請領建造執照；依第 25 條，建築物非經申請主管建築機關之審查許可並發給執照，不得擅自建造或使用或拆除。因此建造行為之認定，直接決定行為人是否負有請領建造執照之義務，未經許可而為之者，依第 86 條第一款處以建築物造價千分之五十以下罰鍰，並勒令停工補辦手續，必要時得強制拆除。</w:t>
      </w:r>
    </w:p>
    <w:p>
      <w:pPr>
        <w:spacing w:after="120" w:before="0" w:line="340"/>
        <w:jc w:val="both"/>
      </w:pPr>
      <w:r>
        <w:rPr>
          <w:rFonts w:ascii="Times New Roman" w:eastAsia="標楷體"/>
          <w:b w:val="false"/>
          <w:bCs w:val="false"/>
          <w:sz w:val="24"/>
          <w:szCs w:val="24"/>
        </w:rPr>
        <w:t xml:space="preserve">答題時宜特別說明「過半」與「六種構造」為修建之雙重要件，此為實務上最常出現爭議之處；亦可指出建造行為與第 7 條雜項工作物之建築（請領雜項執照）分屬不同管制軌道。</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（1）新建：新建造之建築物或將原建築物全部拆除而重行建築</w:t>
      </w:r>
    </w:p>
    <w:p>
      <w:pPr>
        <w:spacing w:after="120" w:before="0" w:line="340"/>
        <w:jc w:val="both"/>
      </w:pPr>
      <w:r>
        <w:rPr>
          <w:rFonts w:ascii="Times New Roman" w:eastAsia="標楷體"/>
          <w:b w:val="false"/>
          <w:bCs w:val="false"/>
          <w:sz w:val="22"/>
          <w:szCs w:val="22"/>
        </w:rPr>
        <w:t xml:space="preserve">（2）增建：於原建築物增加其面積或高度</w:t>
      </w:r>
    </w:p>
    <w:p>
      <w:pPr>
        <w:spacing w:after="120" w:before="0" w:line="340"/>
        <w:jc w:val="both"/>
      </w:pPr>
      <w:r>
        <w:rPr>
          <w:rFonts w:ascii="Times New Roman" w:eastAsia="標楷體"/>
          <w:b w:val="false"/>
          <w:bCs w:val="false"/>
          <w:sz w:val="22"/>
          <w:szCs w:val="22"/>
        </w:rPr>
        <w:t xml:space="preserve">（3）增建但書：以過廊與原建築物連接者視為新建</w:t>
      </w:r>
    </w:p>
    <w:p>
      <w:pPr>
        <w:spacing w:after="120" w:before="0" w:line="340"/>
        <w:jc w:val="both"/>
      </w:pPr>
      <w:r>
        <w:rPr>
          <w:rFonts w:ascii="Times New Roman" w:eastAsia="標楷體"/>
          <w:b w:val="false"/>
          <w:bCs w:val="false"/>
          <w:sz w:val="22"/>
          <w:szCs w:val="22"/>
        </w:rPr>
        <w:t xml:space="preserve">（4）改建：一部分拆除、於原建築基地範圍內改造，不增高或擴大面積</w:t>
      </w:r>
    </w:p>
    <w:p>
      <w:pPr>
        <w:spacing w:after="120" w:before="0" w:line="340"/>
        <w:jc w:val="both"/>
      </w:pPr>
      <w:r>
        <w:rPr>
          <w:rFonts w:ascii="Times New Roman" w:eastAsia="標楷體"/>
          <w:b w:val="false"/>
          <w:bCs w:val="false"/>
          <w:sz w:val="22"/>
          <w:szCs w:val="22"/>
        </w:rPr>
        <w:t xml:space="preserve">（5）修建：基礎、樑柱、承重牆壁、樓地板、屋架及屋頂</w:t>
      </w:r>
    </w:p>
    <w:p>
      <w:pPr>
        <w:spacing w:after="120" w:before="0" w:line="340"/>
        <w:jc w:val="both"/>
      </w:pPr>
      <w:r>
        <w:rPr>
          <w:rFonts w:ascii="Times New Roman" w:eastAsia="標楷體"/>
          <w:b w:val="false"/>
          <w:bCs w:val="false"/>
          <w:sz w:val="22"/>
          <w:szCs w:val="22"/>
        </w:rPr>
        <w:t xml:space="preserve">（6）修建之過半要件</w:t>
      </w:r>
    </w:p>
    <w:p>
      <w:pPr>
        <w:spacing w:after="120" w:before="0" w:line="340"/>
        <w:jc w:val="both"/>
      </w:pPr>
      <w:r>
        <w:rPr>
          <w:rFonts w:ascii="Times New Roman" w:eastAsia="標楷體"/>
          <w:b w:val="false"/>
          <w:bCs w:val="false"/>
          <w:sz w:val="22"/>
          <w:szCs w:val="22"/>
        </w:rPr>
        <w:t xml:space="preserve">（7）延伸：建造行為應請領建造執照（第28條）及擅自建造之處罰</w:t>
      </w:r>
    </w:p>
    <w:p>
      <w:r>
        <w:br w:type="page"/>
      </w:r>
    </w:p>
    <w:p>
      <w:pPr>
        <w:pStyle w:val="Heading1"/>
        <w:spacing w:after="140" w:before="400"/>
      </w:pPr>
      <w:r>
        <w:rPr>
          <w:rFonts w:ascii="Times New Roman" w:eastAsia="標楷體"/>
          <w:b/>
          <w:bCs/>
          <w:color w:val="1F3864"/>
          <w:sz w:val="28"/>
          <w:szCs w:val="28"/>
        </w:rPr>
        <w:t xml:space="preserve">108 年公務人員普通考試 建築工程 營建法規概要（試題代號 43750）</w:t>
      </w:r>
    </w:p>
    <w:p>
      <w:pPr>
        <w:pStyle w:val="Heading2"/>
        <w:spacing w:after="140" w:before="240"/>
      </w:pPr>
      <w:r>
        <w:rPr>
          <w:rFonts w:ascii="Times New Roman" w:eastAsia="標楷體"/>
          <w:b/>
          <w:bCs/>
          <w:color w:val="1F3864"/>
          <w:sz w:val="26"/>
          <w:szCs w:val="26"/>
        </w:rPr>
        <w:t xml:space="preserve">一、題目（20 分）</w:t>
      </w:r>
    </w:p>
    <w:p>
      <w:pPr>
        <w:spacing w:after="120" w:before="0" w:line="340"/>
        <w:jc w:val="both"/>
      </w:pPr>
      <w:r>
        <w:rPr>
          <w:rFonts w:ascii="Times New Roman" w:eastAsia="標楷體"/>
          <w:b w:val="false"/>
          <w:bCs w:val="false"/>
          <w:sz w:val="24"/>
          <w:szCs w:val="24"/>
        </w:rPr>
        <w:t xml:space="preserve">請依建築技術規則規定，說明「樓層高度」與「天花板高度」有何異同？</w:t>
      </w:r>
    </w:p>
    <w:p>
      <w:pPr>
        <w:spacing w:after="120" w:before="0" w:line="340"/>
        <w:jc w:val="both"/>
      </w:pPr>
      <w:r>
        <w:rPr>
          <w:rFonts w:ascii="Times New Roman" w:eastAsia="標楷體"/>
          <w:b w:val="false"/>
          <w:bCs w:val="false"/>
          <w:color w:val="44546A"/>
          <w:sz w:val="22"/>
          <w:szCs w:val="22"/>
        </w:rPr>
        <w:t xml:space="preserve">【法源】建築技術規則建築設計施工編第 1 條第 13 款、第 14 款；並涉第 1 條第 16 款地下層</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兩者之相同處在於：均為建築技術規則建築設計施工編第 1 條所定之建築技術用語，均以「自室內地板面」起算之垂直高度，均為建築設計與建築管理上判斷空間品質、樓層認定與容積計算之基礎，且同條均設有「同一空間高度不同時」之換算規定，以樓地板面積除容積之商作為計算值，避免高度不一致造成認定困難。</w:t>
      </w:r>
    </w:p>
    <w:p>
      <w:pPr>
        <w:spacing w:after="120" w:before="0" w:line="340"/>
        <w:jc w:val="both"/>
      </w:pPr>
      <w:r>
        <w:rPr>
          <w:rFonts w:ascii="Times New Roman" w:eastAsia="標楷體"/>
          <w:b w:val="false"/>
          <w:bCs w:val="false"/>
          <w:sz w:val="24"/>
          <w:szCs w:val="24"/>
        </w:rPr>
        <w:t xml:space="preserve">兩者之相異處有三。其一為計量終點不同：樓層高度依第 13 款，係自室內地板面至其直上層地板面之高度，最上層之高度為至其天花板高度；天花板高度依第 14 款，係自室內地板面至天花板之高度。故樓層高度含樓板厚度與梁深，天花板高度則為實際可感知之室內淨空間。</w:t>
      </w:r>
    </w:p>
    <w:p>
      <w:pPr>
        <w:spacing w:after="120" w:before="0" w:line="340"/>
        <w:jc w:val="both"/>
      </w:pPr>
      <w:r>
        <w:rPr>
          <w:rFonts w:ascii="Times New Roman" w:eastAsia="標楷體"/>
          <w:b w:val="false"/>
          <w:bCs w:val="false"/>
          <w:sz w:val="24"/>
          <w:szCs w:val="24"/>
        </w:rPr>
        <w:t xml:space="preserve">其二為換算單位不同：樓層高度於同一樓層之高度不同者，以其室內樓地板面積除該樓層容積之商視為樓層高度；天花板高度於同一室內之天花板高度不同時，以其室內樓地板面積除室內容積之商作天花板高度。前者以「樓層」為計算單元，後者以「室」為計算單元，此為兩者最容易被忽略的差異。</w:t>
      </w:r>
    </w:p>
    <w:p>
      <w:pPr>
        <w:spacing w:after="120" w:before="0" w:line="340"/>
        <w:jc w:val="both"/>
      </w:pPr>
      <w:r>
        <w:rPr>
          <w:rFonts w:ascii="Times New Roman" w:eastAsia="標楷體"/>
          <w:b w:val="false"/>
          <w:bCs w:val="false"/>
          <w:sz w:val="24"/>
          <w:szCs w:val="24"/>
        </w:rPr>
        <w:t xml:space="preserve">其三為規範功能不同：樓層高度主要用於建築物高度、層數、容積與夾層之認定，並影響建築物高度限制與日照檢討；天花板高度則直接關係居室之空間品質與衛生條件，並為第 1 條第 16 款判斷地下層是否視為地面層之依據，即天花板高度有三分之二以上在基地地面上者視為地面層。答題時舉出此一具體應用，最能顯示對兩者差異之掌握。</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（1）指出兩者均規定於建築技術規則建築設計施工編第1條（第13、14款）</w:t>
      </w:r>
    </w:p>
    <w:p>
      <w:pPr>
        <w:spacing w:after="120" w:before="0" w:line="340"/>
        <w:jc w:val="both"/>
      </w:pPr>
      <w:r>
        <w:rPr>
          <w:rFonts w:ascii="Times New Roman" w:eastAsia="標楷體"/>
          <w:b w:val="false"/>
          <w:bCs w:val="false"/>
          <w:sz w:val="22"/>
          <w:szCs w:val="22"/>
        </w:rPr>
        <w:t xml:space="preserve">（2）樓層高度：自室內地板面至其直上層地板面之高度</w:t>
      </w:r>
    </w:p>
    <w:p>
      <w:pPr>
        <w:spacing w:after="120" w:before="0" w:line="340"/>
        <w:jc w:val="both"/>
      </w:pPr>
      <w:r>
        <w:rPr>
          <w:rFonts w:ascii="Times New Roman" w:eastAsia="標楷體"/>
          <w:b w:val="false"/>
          <w:bCs w:val="false"/>
          <w:sz w:val="22"/>
          <w:szCs w:val="22"/>
        </w:rPr>
        <w:t xml:space="preserve">（3）樓層高度：最上層之高度為至其天花板高度</w:t>
      </w:r>
    </w:p>
    <w:p>
      <w:pPr>
        <w:spacing w:after="120" w:before="0" w:line="340"/>
        <w:jc w:val="both"/>
      </w:pPr>
      <w:r>
        <w:rPr>
          <w:rFonts w:ascii="Times New Roman" w:eastAsia="標楷體"/>
          <w:b w:val="false"/>
          <w:bCs w:val="false"/>
          <w:sz w:val="22"/>
          <w:szCs w:val="22"/>
        </w:rPr>
        <w:t xml:space="preserve">（4）天花板高度：自室內地板面至天花板之高度</w:t>
      </w:r>
    </w:p>
    <w:p>
      <w:pPr>
        <w:spacing w:after="120" w:before="0" w:line="340"/>
        <w:jc w:val="both"/>
      </w:pPr>
      <w:r>
        <w:rPr>
          <w:rFonts w:ascii="Times New Roman" w:eastAsia="標楷體"/>
          <w:b w:val="false"/>
          <w:bCs w:val="false"/>
          <w:sz w:val="22"/>
          <w:szCs w:val="22"/>
        </w:rPr>
        <w:t xml:space="preserve">（5）相同點：均自室內地板面起算，且均設有以樓地板面積除容積之商的換算規定</w:t>
      </w:r>
    </w:p>
    <w:p>
      <w:pPr>
        <w:spacing w:after="120" w:before="0" w:line="340"/>
        <w:jc w:val="both"/>
      </w:pPr>
      <w:r>
        <w:rPr>
          <w:rFonts w:ascii="Times New Roman" w:eastAsia="標楷體"/>
          <w:b w:val="false"/>
          <w:bCs w:val="false"/>
          <w:sz w:val="22"/>
          <w:szCs w:val="22"/>
        </w:rPr>
        <w:t xml:space="preserve">（6）相異點：換算單元不同，樓層高度以樓層為單元、天花板高度以室內為單元</w:t>
      </w:r>
    </w:p>
    <w:p>
      <w:pPr>
        <w:spacing w:after="120" w:before="0" w:line="340"/>
        <w:jc w:val="both"/>
      </w:pPr>
      <w:r>
        <w:rPr>
          <w:rFonts w:ascii="Times New Roman" w:eastAsia="標楷體"/>
          <w:b w:val="false"/>
          <w:bCs w:val="false"/>
          <w:sz w:val="22"/>
          <w:szCs w:val="22"/>
        </w:rPr>
        <w:t xml:space="preserve">（7）功能差異：樓層高度用於高度層數容積認定；天花板高度用於居室品質及地下層是否視為地面層</w:t>
      </w:r>
    </w:p>
    <w:p>
      <w:pPr>
        <w:pStyle w:val="Heading2"/>
        <w:spacing w:after="140" w:before="240"/>
      </w:pPr>
      <w:r>
        <w:rPr>
          <w:rFonts w:ascii="Times New Roman" w:eastAsia="標楷體"/>
          <w:b/>
          <w:bCs/>
          <w:color w:val="1F3864"/>
          <w:sz w:val="26"/>
          <w:szCs w:val="26"/>
        </w:rPr>
        <w:t xml:space="preserve">二、題目（20 分）</w:t>
      </w:r>
    </w:p>
    <w:p>
      <w:pPr>
        <w:spacing w:after="120" w:before="0" w:line="340"/>
        <w:jc w:val="both"/>
      </w:pPr>
      <w:r>
        <w:rPr>
          <w:rFonts w:ascii="Times New Roman" w:eastAsia="標楷體"/>
          <w:b w:val="false"/>
          <w:bCs w:val="false"/>
          <w:sz w:val="24"/>
          <w:szCs w:val="24"/>
        </w:rPr>
        <w:t xml:space="preserve">請說明辦理都市更新的流程？</w:t>
      </w:r>
    </w:p>
    <w:p>
      <w:pPr>
        <w:spacing w:after="120" w:before="0" w:line="340"/>
        <w:jc w:val="both"/>
      </w:pPr>
      <w:r>
        <w:rPr>
          <w:rFonts w:ascii="Times New Roman" w:eastAsia="標楷體"/>
          <w:b w:val="false"/>
          <w:bCs w:val="false"/>
          <w:color w:val="44546A"/>
          <w:sz w:val="22"/>
          <w:szCs w:val="22"/>
        </w:rPr>
        <w:t xml:space="preserve">【法源】都市更新條例第 3 條、第 7 條、第 8 條、第 22 條、第 29 條、第 32 條、第 48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都市更新之辦理流程，可分為劃定、事業概要、事業計畫、權利變換與實施完成五個階段。第 3 條先行界定用詞：都市更新指依本條例所定程序，在都市計畫範圍內實施重建、整建或維護措施；更新地區指依本條例或都市計畫法規定程序，於都市計畫特定範圍內劃定或變更應進行都市更新之地區；都市更新計畫係作為擬訂都市更新事業計畫之指導；更新單元指可單獨實施都市更新事業之範圍；實施者指政府機關（構）、專責法人或機構、都市更新會、都市更新事業機構。</w:t>
      </w:r>
    </w:p>
    <w:p>
      <w:pPr>
        <w:spacing w:after="120" w:before="0" w:line="340"/>
        <w:jc w:val="both"/>
      </w:pPr>
      <w:r>
        <w:rPr>
          <w:rFonts w:ascii="Times New Roman" w:eastAsia="標楷體"/>
          <w:b w:val="false"/>
          <w:bCs w:val="false"/>
          <w:sz w:val="24"/>
          <w:szCs w:val="24"/>
        </w:rPr>
        <w:t xml:space="preserve">第一階段為更新地區之劃定。由各級主管機關依第 7 條、第 8 條規定劃定或變更更新地區，並擬訂都市更新計畫，作為後續事業計畫之指導。第二階段為事業概要之申請與核准。依第 22 條，經劃定或變更應實施更新之地區，其土地及合法建築物所有權人得就主管機關劃定之更新單元或依基準自行劃定更新單元，舉辦公聽會，擬具事業概要，連同公聽會紀錄，申請當地直轄市、縣（市）主管機關依第 29 條規定審議核准。申請應經該更新單元範圍內私有土地及私有合法建築物所有權人均超過二分之一，並其所有土地總面積及合法建築物總樓地板面積均超過二分之一之同意；同意比率已達第 37 條規定者，得免擬具事業概要，逕行擬訂都市更新事業計畫。核准之事業概要，主管機關應即公告三十日並通知相關權利人。</w:t>
      </w:r>
    </w:p>
    <w:p>
      <w:pPr>
        <w:spacing w:after="120" w:before="0" w:line="340"/>
        <w:jc w:val="both"/>
      </w:pPr>
      <w:r>
        <w:rPr>
          <w:rFonts w:ascii="Times New Roman" w:eastAsia="標楷體"/>
          <w:b w:val="false"/>
          <w:bCs w:val="false"/>
          <w:sz w:val="24"/>
          <w:szCs w:val="24"/>
        </w:rPr>
        <w:t xml:space="preserve">第三階段為都市更新事業計畫之擬訂與核定。依第 32 條，事業計畫由實施者擬訂，送當地直轄市、縣（市）主管機關審議通過後核定發布實施，並即公告三十日及通知相關權利人。擬訂或變更期間應舉辦公聽會；送審議前應於各該直轄市、縣（市）政府或鄉（鎮、市）公所公開展覽三十日並舉辦公聽會，實施者已取得全體私有土地及私有合法建築物所有權人同意者，公開展覽期間得縮短為十五日。公開展覽期間內任何人民或團體得以書面提出意見供審議參考；經審議修正者免再公開展覽。審議程序依第 29 條，應遴聘學者、專家、社會公正人士及相關機關代表，以合議制及公開方式辦理，其中專家學者及民間團體代表不得少於二分之一，任一性別比例不得少於三分之一。</w:t>
      </w:r>
    </w:p>
    <w:p>
      <w:pPr>
        <w:spacing w:after="120" w:before="0" w:line="340"/>
        <w:jc w:val="both"/>
      </w:pPr>
      <w:r>
        <w:rPr>
          <w:rFonts w:ascii="Times New Roman" w:eastAsia="標楷體"/>
          <w:b w:val="false"/>
          <w:bCs w:val="false"/>
          <w:sz w:val="24"/>
          <w:szCs w:val="24"/>
        </w:rPr>
        <w:t xml:space="preserve">第四階段為權利變換。依第 48 條，以權利變換方式實施都市更新時，實施者應於都市更新事業計畫核定發布實施後，擬具權利變換計畫，依第 32 條及第 33 條規定程序辦理；變更時亦同；但必要時權利變換計畫之擬訂報核，得與都市更新事業計畫一併辦理。第五階段為依核定計畫實施、辦理拆遷安置、興建、分配與登記，完成後辦理竣工與清算。整體流程之設計邏輯，是以同意比率確保私權基礎、以公開展覽與公聽會確保程序參與、以合議制審議確保專業與公正，三者缺一不可。</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（1）階段一：主管機關依第7條、第8條劃定或變更更新地區並擬訂都市更新計畫</w:t>
      </w:r>
    </w:p>
    <w:p>
      <w:pPr>
        <w:spacing w:after="120" w:before="0" w:line="340"/>
        <w:jc w:val="both"/>
      </w:pPr>
      <w:r>
        <w:rPr>
          <w:rFonts w:ascii="Times New Roman" w:eastAsia="標楷體"/>
          <w:b w:val="false"/>
          <w:bCs w:val="false"/>
          <w:sz w:val="22"/>
          <w:szCs w:val="22"/>
        </w:rPr>
        <w:t xml:space="preserve">（2）階段二：舉辦公聽會、擬具事業概要、申請審議核准（第22條）</w:t>
      </w:r>
    </w:p>
    <w:p>
      <w:pPr>
        <w:spacing w:after="120" w:before="0" w:line="340"/>
        <w:jc w:val="both"/>
      </w:pPr>
      <w:r>
        <w:rPr>
          <w:rFonts w:ascii="Times New Roman" w:eastAsia="標楷體"/>
          <w:b w:val="false"/>
          <w:bCs w:val="false"/>
          <w:sz w:val="22"/>
          <w:szCs w:val="22"/>
        </w:rPr>
        <w:t xml:space="preserve">（3）事業概要同意比率：所有權人及面積、樓地板面積均超過二分之一</w:t>
      </w:r>
    </w:p>
    <w:p>
      <w:pPr>
        <w:spacing w:after="120" w:before="0" w:line="340"/>
        <w:jc w:val="both"/>
      </w:pPr>
      <w:r>
        <w:rPr>
          <w:rFonts w:ascii="Times New Roman" w:eastAsia="標楷體"/>
          <w:b w:val="false"/>
          <w:bCs w:val="false"/>
          <w:sz w:val="22"/>
          <w:szCs w:val="22"/>
        </w:rPr>
        <w:t xml:space="preserve">（4）階段三：事業計畫由實施者擬訂，審議通過後核定發布實施並公告三十日</w:t>
      </w:r>
    </w:p>
    <w:p>
      <w:pPr>
        <w:spacing w:after="120" w:before="0" w:line="340"/>
        <w:jc w:val="both"/>
      </w:pPr>
      <w:r>
        <w:rPr>
          <w:rFonts w:ascii="Times New Roman" w:eastAsia="標楷體"/>
          <w:b w:val="false"/>
          <w:bCs w:val="false"/>
          <w:sz w:val="22"/>
          <w:szCs w:val="22"/>
        </w:rPr>
        <w:t xml:space="preserve">（5）公開展覽三十日並舉辦公聽會，全體同意者得縮短為十五日</w:t>
      </w:r>
    </w:p>
    <w:p>
      <w:pPr>
        <w:spacing w:after="120" w:before="0" w:line="340"/>
        <w:jc w:val="both"/>
      </w:pPr>
      <w:r>
        <w:rPr>
          <w:rFonts w:ascii="Times New Roman" w:eastAsia="標楷體"/>
          <w:b w:val="false"/>
          <w:bCs w:val="false"/>
          <w:sz w:val="22"/>
          <w:szCs w:val="22"/>
        </w:rPr>
        <w:t xml:space="preserve">（6）審議機制：合議制、公開方式，專家學者及民間團體代表不得少於二分之一</w:t>
      </w:r>
    </w:p>
    <w:p>
      <w:pPr>
        <w:spacing w:after="120" w:before="0" w:line="340"/>
        <w:jc w:val="both"/>
      </w:pPr>
      <w:r>
        <w:rPr>
          <w:rFonts w:ascii="Times New Roman" w:eastAsia="標楷體"/>
          <w:b w:val="false"/>
          <w:bCs w:val="false"/>
          <w:sz w:val="22"/>
          <w:szCs w:val="22"/>
        </w:rPr>
        <w:t xml:space="preserve">（7）階段四：權利變換計畫於事業計畫核定發布實施後擬具，必要時得一併辦理</w:t>
      </w:r>
    </w:p>
    <w:p>
      <w:pPr>
        <w:pStyle w:val="Heading2"/>
        <w:spacing w:after="140" w:before="240"/>
      </w:pPr>
      <w:r>
        <w:rPr>
          <w:rFonts w:ascii="Times New Roman" w:eastAsia="標楷體"/>
          <w:b/>
          <w:bCs/>
          <w:color w:val="1F3864"/>
          <w:sz w:val="26"/>
          <w:szCs w:val="26"/>
        </w:rPr>
        <w:t xml:space="preserve">三、題目（20 分）</w:t>
      </w:r>
    </w:p>
    <w:p>
      <w:pPr>
        <w:spacing w:after="120" w:before="0" w:line="340"/>
        <w:jc w:val="both"/>
      </w:pPr>
      <w:r>
        <w:rPr>
          <w:rFonts w:ascii="Times New Roman" w:eastAsia="標楷體"/>
          <w:b w:val="false"/>
          <w:bCs w:val="false"/>
          <w:sz w:val="24"/>
          <w:szCs w:val="24"/>
        </w:rPr>
        <w:t xml:space="preserve">108 年 4 月 30 日立法院三讀通過政府採購法第 101 條文修正，請問廠商發生那些重大違約情形時，機關得刊登於政府採購公報，列為不良廠商予以停權？</w:t>
      </w:r>
    </w:p>
    <w:p>
      <w:pPr>
        <w:spacing w:after="120" w:before="0" w:line="340"/>
        <w:jc w:val="both"/>
      </w:pPr>
      <w:r>
        <w:rPr>
          <w:rFonts w:ascii="Times New Roman" w:eastAsia="標楷體"/>
          <w:b w:val="false"/>
          <w:bCs w:val="false"/>
          <w:color w:val="44546A"/>
          <w:sz w:val="22"/>
          <w:szCs w:val="22"/>
        </w:rPr>
        <w:t xml:space="preserve">【法源】政府採購法第 101 條（108 年 5 月修正公布之現行條文）；並涉第 102 條、第 103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政府採購法第 101 條第 1 項規定，機關辦理採購，發現廠商有下列情形之一，應將其事實、理由及依第 103 條第 1 項所定期間通知廠商，並附記如未提出異議者，將刊登政府採購公報。列為不良廠商並刊登公報後，依第 103 條發生一定期間內不得參加投標或作為決標對象或分包廠商之效果，即實務所稱停權。</w:t>
      </w:r>
    </w:p>
    <w:p>
      <w:pPr>
        <w:spacing w:after="120" w:before="0" w:line="340"/>
        <w:jc w:val="both"/>
      </w:pPr>
      <w:r>
        <w:rPr>
          <w:rFonts w:ascii="Times New Roman" w:eastAsia="標楷體"/>
          <w:b w:val="false"/>
          <w:bCs w:val="false"/>
          <w:sz w:val="24"/>
          <w:szCs w:val="24"/>
        </w:rPr>
        <w:t xml:space="preserve">十五款情形如下：容許他人借用本人名義或證件參加投標者；借用或冒用他人名義或證件投標者；擅自減省工料，情節重大者；以虛偽不實之文件投標、訂約或履約，情節重大者；受停業處分期間仍參加投標者；犯第 87 條至第 92 條之罪，經第一審為有罪判決者；得標後無正當理由而不訂約者；查驗或驗收不合格，情節重大者；驗收後不履行保固責任，情節重大者；因可歸責於廠商之事由，致延誤履約期限，情節重大者；違反第 65 條規定轉包者；因可歸責於廠商之事由，致解除或終止契約，情節重大者；破產程序中之廠商；歧視性別、原住民、身心障礙或弱勢團體人士，情節重大者；對採購有關人員行求、期約或交付不正利益者。</w:t>
      </w:r>
    </w:p>
    <w:p>
      <w:pPr>
        <w:spacing w:after="120" w:before="0" w:line="340"/>
        <w:jc w:val="both"/>
      </w:pPr>
      <w:r>
        <w:rPr>
          <w:rFonts w:ascii="Times New Roman" w:eastAsia="標楷體"/>
          <w:b w:val="false"/>
          <w:bCs w:val="false"/>
          <w:sz w:val="24"/>
          <w:szCs w:val="24"/>
        </w:rPr>
        <w:t xml:space="preserve">108 年修正之重點，在於為停權制度增設程序保障與比例原則之控制。第 101 條第 3 項規定，機關為第 1 項通知前，應給予廠商口頭或書面陳述意見之機會，機關並應成立採購工作及審查小組認定廠商是否該當第 1 項各款情形之一；第 4 項規定，機關審酌第 1 項所定情節重大，應考量機關所受損害之輕重、廠商可歸責之程度、廠商之實際補救或賠償措施等情形。此外第 2 項並將廠商之履約連帶保證廠商經通知履行連帶保證責任者，一併納入適用。</w:t>
      </w:r>
    </w:p>
    <w:p>
      <w:pPr>
        <w:spacing w:after="120" w:before="0" w:line="340"/>
        <w:jc w:val="both"/>
      </w:pPr>
      <w:r>
        <w:rPr>
          <w:rFonts w:ascii="Times New Roman" w:eastAsia="標楷體"/>
          <w:b w:val="false"/>
          <w:bCs w:val="false"/>
          <w:sz w:val="24"/>
          <w:szCs w:val="24"/>
        </w:rPr>
        <w:t xml:space="preserve">答題時應把握兩個層次：一是列舉法定事由，二是說明「情節重大」為多數款次之要件，且機關認定時須經工作及審查小組並給予陳述意見機會，此即 108 年修法之核心，也是本題命題的時事背景。</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（1）指出第101條之效果為刊登政府採購公報、列為不良廠商並依第103條停權</w:t>
      </w:r>
    </w:p>
    <w:p>
      <w:pPr>
        <w:spacing w:after="120" w:before="0" w:line="340"/>
        <w:jc w:val="both"/>
      </w:pPr>
      <w:r>
        <w:rPr>
          <w:rFonts w:ascii="Times New Roman" w:eastAsia="標楷體"/>
          <w:b w:val="false"/>
          <w:bCs w:val="false"/>
          <w:sz w:val="22"/>
          <w:szCs w:val="22"/>
        </w:rPr>
        <w:t xml:space="preserve">（2）借用或容許他人借用名義證件投標、以虛偽不實文件投標訂約或履約</w:t>
      </w:r>
    </w:p>
    <w:p>
      <w:pPr>
        <w:spacing w:after="120" w:before="0" w:line="340"/>
        <w:jc w:val="both"/>
      </w:pPr>
      <w:r>
        <w:rPr>
          <w:rFonts w:ascii="Times New Roman" w:eastAsia="標楷體"/>
          <w:b w:val="false"/>
          <w:bCs w:val="false"/>
          <w:sz w:val="22"/>
          <w:szCs w:val="22"/>
        </w:rPr>
        <w:t xml:space="preserve">（3）擅自減省工料、查驗或驗收不合格、驗收後不履行保固責任</w:t>
      </w:r>
    </w:p>
    <w:p>
      <w:pPr>
        <w:spacing w:after="120" w:before="0" w:line="340"/>
        <w:jc w:val="both"/>
      </w:pPr>
      <w:r>
        <w:rPr>
          <w:rFonts w:ascii="Times New Roman" w:eastAsia="標楷體"/>
          <w:b w:val="false"/>
          <w:bCs w:val="false"/>
          <w:sz w:val="22"/>
          <w:szCs w:val="22"/>
        </w:rPr>
        <w:t xml:space="preserve">（4）延誤履約期限、轉包、致解除或終止契約、得標後無正當理由不訂約</w:t>
      </w:r>
    </w:p>
    <w:p>
      <w:pPr>
        <w:spacing w:after="120" w:before="0" w:line="340"/>
        <w:jc w:val="both"/>
      </w:pPr>
      <w:r>
        <w:rPr>
          <w:rFonts w:ascii="Times New Roman" w:eastAsia="標楷體"/>
          <w:b w:val="false"/>
          <w:bCs w:val="false"/>
          <w:sz w:val="22"/>
          <w:szCs w:val="22"/>
        </w:rPr>
        <w:t xml:space="preserve">（5）受停業處分期間仍參加投標、犯第87至92條之罪經第一審有罪判決、破產程序中之廠商</w:t>
      </w:r>
    </w:p>
    <w:p>
      <w:pPr>
        <w:spacing w:after="120" w:before="0" w:line="340"/>
        <w:jc w:val="both"/>
      </w:pPr>
      <w:r>
        <w:rPr>
          <w:rFonts w:ascii="Times New Roman" w:eastAsia="標楷體"/>
          <w:b w:val="false"/>
          <w:bCs w:val="false"/>
          <w:sz w:val="22"/>
          <w:szCs w:val="22"/>
        </w:rPr>
        <w:t xml:space="preserve">（6）歧視性別原住民身心障礙或弱勢團體、行求期約或交付不正利益</w:t>
      </w:r>
    </w:p>
    <w:p>
      <w:pPr>
        <w:spacing w:after="120" w:before="0" w:line="340"/>
        <w:jc w:val="both"/>
      </w:pPr>
      <w:r>
        <w:rPr>
          <w:rFonts w:ascii="Times New Roman" w:eastAsia="標楷體"/>
          <w:b w:val="false"/>
          <w:bCs w:val="false"/>
          <w:sz w:val="22"/>
          <w:szCs w:val="22"/>
        </w:rPr>
        <w:t xml:space="preserve">（7）108年修法要點：情節重大之考量因素、陳述意見機會與採購工作及審查小組認定</w:t>
      </w:r>
    </w:p>
    <w:p>
      <w:pPr>
        <w:pStyle w:val="Heading2"/>
        <w:spacing w:after="140" w:before="240"/>
      </w:pPr>
      <w:r>
        <w:rPr>
          <w:rFonts w:ascii="Times New Roman" w:eastAsia="標楷體"/>
          <w:b/>
          <w:bCs/>
          <w:color w:val="1F3864"/>
          <w:sz w:val="26"/>
          <w:szCs w:val="26"/>
        </w:rPr>
        <w:t xml:space="preserve">四、題目（20 分）</w:t>
      </w:r>
    </w:p>
    <w:p>
      <w:pPr>
        <w:spacing w:after="120" w:before="0" w:line="340"/>
        <w:jc w:val="both"/>
      </w:pPr>
      <w:r>
        <w:rPr>
          <w:rFonts w:ascii="Times New Roman" w:eastAsia="標楷體"/>
          <w:b w:val="false"/>
          <w:bCs w:val="false"/>
          <w:sz w:val="24"/>
          <w:szCs w:val="24"/>
        </w:rPr>
        <w:t xml:space="preserve">什麼是社會住宅包租代管？有那兩種方案？</w:t>
      </w:r>
    </w:p>
    <w:p>
      <w:pPr>
        <w:spacing w:after="120" w:before="0" w:line="340"/>
        <w:jc w:val="both"/>
      </w:pPr>
      <w:r>
        <w:rPr>
          <w:rFonts w:ascii="Times New Roman" w:eastAsia="標楷體"/>
          <w:b w:val="false"/>
          <w:bCs w:val="false"/>
          <w:color w:val="44546A"/>
          <w:sz w:val="22"/>
          <w:szCs w:val="22"/>
        </w:rPr>
        <w:t xml:space="preserve">【法源】住宅法第 3 條第 2 款、第 19 條第 1 項第 5 款及第 6 款；並涉第 52 條第 2 項租屋服務事業</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社會住宅包租代管，係政府為擴大社會住宅存量、又不必負擔全部興建成本所設計之政策工具。其核心概念是將既有民間空餘住宅導入社會住宅體系，由政府或其委託之租屋服務事業介入媒合與管理，以租金優惠與稅賦減免誘因換取房東釋出房源，並保障弱勢承租人之居住權益。依住宅法第 3 條第 2 款，社會住宅指由政府興辦或獎勵民間興辦，專供出租之用之住宅及其必要附屬設施；包租代管即屬「獎勵民間興辦」與「政府興辦」之中間型態。</w:t>
      </w:r>
    </w:p>
    <w:p>
      <w:pPr>
        <w:spacing w:after="120" w:before="0" w:line="340"/>
        <w:jc w:val="both"/>
      </w:pPr>
      <w:r>
        <w:rPr>
          <w:rFonts w:ascii="Times New Roman" w:eastAsia="標楷體"/>
          <w:b w:val="false"/>
          <w:bCs w:val="false"/>
          <w:sz w:val="24"/>
          <w:szCs w:val="24"/>
        </w:rPr>
        <w:t xml:space="preserve">其法源為住宅法第 19 條第 1 項所定主管機關興辦社會住宅之方式。該項第 5 款為「承租民間住宅並轉租及代為管理」，第 6 款為「獎勵、輔導或補助第 52 條第 2 項租屋服務事業承租民間住宅並轉租及代為管理，或媒合承、出租雙方及代為管理」。同條第 3 項並規定，以第 1 項第 5 款或第 6 款方式承租及代為管理者，不適用政府採購法規定，以簡化行政程序。</w:t>
      </w:r>
    </w:p>
    <w:p>
      <w:pPr>
        <w:spacing w:after="120" w:before="0" w:line="340"/>
        <w:jc w:val="both"/>
      </w:pPr>
      <w:r>
        <w:rPr>
          <w:rFonts w:ascii="Times New Roman" w:eastAsia="標楷體"/>
          <w:b w:val="false"/>
          <w:bCs w:val="false"/>
          <w:sz w:val="24"/>
          <w:szCs w:val="24"/>
        </w:rPr>
        <w:t xml:space="preserve">兩種方案之區別如下。包租型，係由業者向房東承租房屋，再轉租予符合資格之承租人，並代為管理。此型態下房東之契約相對人為業者，業者承擔空租期與租金收取風險，房東可獲得穩定租金收入，故房東接受度較高，但業者風險與政府補助成本亦較高。代管型，係由業者媒合房東與承租人直接簽訂租約，業者僅提供代為管理服務，包括收租、修繕協調與糾紛處理。此型態下房東之契約相對人為承租人，空租風險由房東自負，業者僅收取管理費，政府補助成本較低，但對房東誘因較弱。</w:t>
      </w:r>
    </w:p>
    <w:p>
      <w:pPr>
        <w:spacing w:after="120" w:before="0" w:line="340"/>
        <w:jc w:val="both"/>
      </w:pPr>
      <w:r>
        <w:rPr>
          <w:rFonts w:ascii="Times New Roman" w:eastAsia="標楷體"/>
          <w:b w:val="false"/>
          <w:bCs w:val="false"/>
          <w:sz w:val="24"/>
          <w:szCs w:val="24"/>
        </w:rPr>
        <w:t xml:space="preserve">答題時應把握「兩種方案」即包租與代管，並能說明其在契約關係、風險承擔與誘因設計上之差異；若能一併指出第 19 條第 3 項排除政府採購法適用之規定，更能展現對制度設計的理解。</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（1）指出法源為住宅法第19條第1項第5款、第6款</w:t>
      </w:r>
    </w:p>
    <w:p>
      <w:pPr>
        <w:spacing w:after="120" w:before="0" w:line="340"/>
        <w:jc w:val="both"/>
      </w:pPr>
      <w:r>
        <w:rPr>
          <w:rFonts w:ascii="Times New Roman" w:eastAsia="標楷體"/>
          <w:b w:val="false"/>
          <w:bCs w:val="false"/>
          <w:sz w:val="22"/>
          <w:szCs w:val="22"/>
        </w:rPr>
        <w:t xml:space="preserve">（2）社會住宅之定義：政府興辦或獎勵民間興辦，專供出租之用</w:t>
      </w:r>
    </w:p>
    <w:p>
      <w:pPr>
        <w:spacing w:after="120" w:before="0" w:line="340"/>
        <w:jc w:val="both"/>
      </w:pPr>
      <w:r>
        <w:rPr>
          <w:rFonts w:ascii="Times New Roman" w:eastAsia="標楷體"/>
          <w:b w:val="false"/>
          <w:bCs w:val="false"/>
          <w:sz w:val="22"/>
          <w:szCs w:val="22"/>
        </w:rPr>
        <w:t xml:space="preserve">（3）兩種方案：包租、代管</w:t>
      </w:r>
    </w:p>
    <w:p>
      <w:pPr>
        <w:spacing w:after="120" w:before="0" w:line="340"/>
        <w:jc w:val="both"/>
      </w:pPr>
      <w:r>
        <w:rPr>
          <w:rFonts w:ascii="Times New Roman" w:eastAsia="標楷體"/>
          <w:b w:val="false"/>
          <w:bCs w:val="false"/>
          <w:sz w:val="22"/>
          <w:szCs w:val="22"/>
        </w:rPr>
        <w:t xml:space="preserve">（4）包租型：業者向房東承租再轉租並代為管理，業者承擔空租風險</w:t>
      </w:r>
    </w:p>
    <w:p>
      <w:pPr>
        <w:spacing w:after="120" w:before="0" w:line="340"/>
        <w:jc w:val="both"/>
      </w:pPr>
      <w:r>
        <w:rPr>
          <w:rFonts w:ascii="Times New Roman" w:eastAsia="標楷體"/>
          <w:b w:val="false"/>
          <w:bCs w:val="false"/>
          <w:sz w:val="22"/>
          <w:szCs w:val="22"/>
        </w:rPr>
        <w:t xml:space="preserve">（5）代管型：媒合房東與承租人直接簽約，業者僅提供管理服務</w:t>
      </w:r>
    </w:p>
    <w:p>
      <w:pPr>
        <w:spacing w:after="120" w:before="0" w:line="340"/>
        <w:jc w:val="both"/>
      </w:pPr>
      <w:r>
        <w:rPr>
          <w:rFonts w:ascii="Times New Roman" w:eastAsia="標楷體"/>
          <w:b w:val="false"/>
          <w:bCs w:val="false"/>
          <w:sz w:val="22"/>
          <w:szCs w:val="22"/>
        </w:rPr>
        <w:t xml:space="preserve">（6）由租屋服務事業辦理，政府得獎勵輔導或補助</w:t>
      </w:r>
    </w:p>
    <w:p>
      <w:pPr>
        <w:spacing w:after="120" w:before="0" w:line="340"/>
        <w:jc w:val="both"/>
      </w:pPr>
      <w:r>
        <w:rPr>
          <w:rFonts w:ascii="Times New Roman" w:eastAsia="標楷體"/>
          <w:b w:val="false"/>
          <w:bCs w:val="false"/>
          <w:sz w:val="22"/>
          <w:szCs w:val="22"/>
        </w:rPr>
        <w:t xml:space="preserve">（7）以第5款或第6款方式辦理者不適用政府採購法</w:t>
      </w:r>
    </w:p>
    <w:p>
      <w:pPr>
        <w:pStyle w:val="Heading2"/>
        <w:spacing w:after="140" w:before="240"/>
      </w:pPr>
      <w:r>
        <w:rPr>
          <w:rFonts w:ascii="Times New Roman" w:eastAsia="標楷體"/>
          <w:b/>
          <w:bCs/>
          <w:color w:val="1F3864"/>
          <w:sz w:val="26"/>
          <w:szCs w:val="26"/>
        </w:rPr>
        <w:t xml:space="preserve">五、題目（20 分）</w:t>
      </w:r>
    </w:p>
    <w:p>
      <w:pPr>
        <w:spacing w:after="120" w:before="0" w:line="340"/>
        <w:jc w:val="both"/>
      </w:pPr>
      <w:r>
        <w:rPr>
          <w:rFonts w:ascii="Times New Roman" w:eastAsia="標楷體"/>
          <w:b w:val="false"/>
          <w:bCs w:val="false"/>
          <w:sz w:val="24"/>
          <w:szCs w:val="24"/>
        </w:rPr>
        <w:t xml:space="preserve">何謂「室內裝修」？應如何申請及辦理「室內裝修合格證明」？</w:t>
      </w:r>
    </w:p>
    <w:p>
      <w:pPr>
        <w:spacing w:after="120" w:before="0" w:line="340"/>
        <w:jc w:val="both"/>
      </w:pPr>
      <w:r>
        <w:rPr>
          <w:rFonts w:ascii="Times New Roman" w:eastAsia="標楷體"/>
          <w:b w:val="false"/>
          <w:bCs w:val="false"/>
          <w:color w:val="44546A"/>
          <w:sz w:val="22"/>
          <w:szCs w:val="22"/>
        </w:rPr>
        <w:t xml:space="preserve">【法源】建築物室內裝修管理辦法第 3 條、第 33 條；並涉建築法第 77 條之 2</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室內裝修之定義，規定於建築物室內裝修管理辦法第 3 條。所稱室內裝修，指除壁紙、壁布、窗簾、家具、活動隔屏、地氈等之黏貼及擺設外之下列行為：固著於建築物構造體之天花板裝修；內部牆面裝修；高度超過地板面以上一點二公尺固定之隔屏或兼作櫥櫃使用之隔屏裝修；分間牆變更。定義採「排除加列舉」之立法方式，先排除可移動、非固著之裝飾行為，再列舉四種須受管制之行為，其共同特徵在於固著性與對防火避難性能之潛在影響。</w:t>
      </w:r>
    </w:p>
    <w:p>
      <w:pPr>
        <w:spacing w:after="120" w:before="0" w:line="340"/>
        <w:jc w:val="both"/>
      </w:pPr>
      <w:r>
        <w:rPr>
          <w:rFonts w:ascii="Times New Roman" w:eastAsia="標楷體"/>
          <w:b w:val="false"/>
          <w:bCs w:val="false"/>
          <w:sz w:val="24"/>
          <w:szCs w:val="24"/>
        </w:rPr>
        <w:t xml:space="preserve">其上位法源為建築法第 77 條之 2，該條規定供公眾使用建築物之室內裝修應申請審查許可，非供公眾使用建築物經內政部認有必要時亦同；裝修材料應合於建築技術規則之規定；不得妨害或破壞防火避難設施、消防設備、防火區劃及主要構造；不得妨害或破壞保護民眾隱私權設施。室內裝修應由經內政部登記許可之室內裝修從業者辦理。</w:t>
      </w:r>
    </w:p>
    <w:p>
      <w:pPr>
        <w:spacing w:after="120" w:before="0" w:line="340"/>
        <w:jc w:val="both"/>
      </w:pPr>
      <w:r>
        <w:rPr>
          <w:rFonts w:ascii="Times New Roman" w:eastAsia="標楷體"/>
          <w:b w:val="false"/>
          <w:bCs w:val="false"/>
          <w:sz w:val="24"/>
          <w:szCs w:val="24"/>
        </w:rPr>
        <w:t xml:space="preserve">室內裝修合格證明之申請，原則程序為申請審查許可、施工、竣工查驗後核發。惟同辦法第 33 條另定有簡化程序：申請室內裝修之建築物，其申請範圍用途為住宅，或申請樓層之樓地板面積符合一定規模，且在裝修範圍內以一小時以上防火時效之防火牆、防火門窗區劃分隔，其未變更防火避難設施、消防安全設備、防火區劃及主要構造者，得檢附經依法登記開業之建築師或室內裝修業專業設計技術人員簽章負責之室內裝修圖說，向當地主管建築機關或審查機構申報施工，經主管建築機關核給期限後准予施工。</w:t>
      </w:r>
    </w:p>
    <w:p>
      <w:pPr>
        <w:spacing w:after="120" w:before="0" w:line="340"/>
        <w:jc w:val="both"/>
      </w:pPr>
      <w:r>
        <w:rPr>
          <w:rFonts w:ascii="Times New Roman" w:eastAsia="標楷體"/>
          <w:b w:val="false"/>
          <w:bCs w:val="false"/>
          <w:sz w:val="24"/>
          <w:szCs w:val="24"/>
        </w:rPr>
        <w:t xml:space="preserve">所稱一定規模，依第 33 條第 1 項各款為：十層以下樓層及地下室各層，室內裝修之樓地板面積在三百平方公尺以下者；十一層以上樓層，室內裝修之樓地板面積在一百平方公尺以下者。裝修範圍貫通二層以上者應累加合計，且合計值不得超過任一樓層之最小允許值。工程完竣後，應檢附申請書、建築物權利證明文件，及經營造業專任工程人員或室內裝修業專業施工技術人員竣工查驗合格簽章負責之檢查表，向當地主管建築機關或審查機構申請審查許可，審核文件齊全後發給室內裝修合格證明；主管建築機關對簽章負責項目得視實際需要抽查之。此一設計即以專業簽證責任替代逐案實質審查，兼顧效率與安全。</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（1）室內裝修之排除範圍：壁紙、壁布、窗簾、家具、活動隔屏、地氈之黏貼及擺設</w:t>
      </w:r>
    </w:p>
    <w:p>
      <w:pPr>
        <w:spacing w:after="120" w:before="0" w:line="340"/>
        <w:jc w:val="both"/>
      </w:pPr>
      <w:r>
        <w:rPr>
          <w:rFonts w:ascii="Times New Roman" w:eastAsia="標楷體"/>
          <w:b w:val="false"/>
          <w:bCs w:val="false"/>
          <w:sz w:val="22"/>
          <w:szCs w:val="22"/>
        </w:rPr>
        <w:t xml:space="preserve">（2）四種室內裝修行為：固著於構造體之天花板裝修、內部牆面裝修</w:t>
      </w:r>
    </w:p>
    <w:p>
      <w:pPr>
        <w:spacing w:after="120" w:before="0" w:line="340"/>
        <w:jc w:val="both"/>
      </w:pPr>
      <w:r>
        <w:rPr>
          <w:rFonts w:ascii="Times New Roman" w:eastAsia="標楷體"/>
          <w:b w:val="false"/>
          <w:bCs w:val="false"/>
          <w:sz w:val="22"/>
          <w:szCs w:val="22"/>
        </w:rPr>
        <w:t xml:space="preserve">（3）高度超過地板面以上1.2公尺固定之隔屏或兼作櫥櫃使用之隔屏裝修；分間牆變更</w:t>
      </w:r>
    </w:p>
    <w:p>
      <w:pPr>
        <w:spacing w:after="120" w:before="0" w:line="340"/>
        <w:jc w:val="both"/>
      </w:pPr>
      <w:r>
        <w:rPr>
          <w:rFonts w:ascii="Times New Roman" w:eastAsia="標楷體"/>
          <w:b w:val="false"/>
          <w:bCs w:val="false"/>
          <w:sz w:val="22"/>
          <w:szCs w:val="22"/>
        </w:rPr>
        <w:t xml:space="preserve">（4）上位法源建築法第77條之2及其四項規定</w:t>
      </w:r>
    </w:p>
    <w:p>
      <w:pPr>
        <w:spacing w:after="120" w:before="0" w:line="340"/>
        <w:jc w:val="both"/>
      </w:pPr>
      <w:r>
        <w:rPr>
          <w:rFonts w:ascii="Times New Roman" w:eastAsia="標楷體"/>
          <w:b w:val="false"/>
          <w:bCs w:val="false"/>
          <w:sz w:val="22"/>
          <w:szCs w:val="22"/>
        </w:rPr>
        <w:t xml:space="preserve">（5）簡化程序要件：住宅用途或一定樓地板面積，並以一小時以上防火時效區劃分隔</w:t>
      </w:r>
    </w:p>
    <w:p>
      <w:pPr>
        <w:spacing w:after="120" w:before="0" w:line="340"/>
        <w:jc w:val="both"/>
      </w:pPr>
      <w:r>
        <w:rPr>
          <w:rFonts w:ascii="Times New Roman" w:eastAsia="標楷體"/>
          <w:b w:val="false"/>
          <w:bCs w:val="false"/>
          <w:sz w:val="22"/>
          <w:szCs w:val="22"/>
        </w:rPr>
        <w:t xml:space="preserve">（6）規模門檻：十層以下及地下室各層300平方公尺以下；十一層以上100平方公尺以下</w:t>
      </w:r>
    </w:p>
    <w:p>
      <w:pPr>
        <w:spacing w:after="120" w:before="0" w:line="340"/>
        <w:jc w:val="both"/>
      </w:pPr>
      <w:r>
        <w:rPr>
          <w:rFonts w:ascii="Times New Roman" w:eastAsia="標楷體"/>
          <w:b w:val="false"/>
          <w:bCs w:val="false"/>
          <w:sz w:val="22"/>
          <w:szCs w:val="22"/>
        </w:rPr>
        <w:t xml:space="preserve">（7）完竣後檢附竣工查驗合格簽章之檢查表申請審查許可，發給室內裝修合格證明</w:t>
      </w:r>
    </w:p>
    <w:p>
      <w:r>
        <w:br w:type="page"/>
      </w:r>
    </w:p>
    <w:p>
      <w:pPr>
        <w:pStyle w:val="Heading1"/>
        <w:spacing w:after="140" w:before="400"/>
      </w:pPr>
      <w:r>
        <w:rPr>
          <w:rFonts w:ascii="Times New Roman" w:eastAsia="標楷體"/>
          <w:b/>
          <w:bCs/>
          <w:color w:val="1F3864"/>
          <w:sz w:val="28"/>
          <w:szCs w:val="28"/>
        </w:rPr>
        <w:t xml:space="preserve">109 年公務人員普通考試 建築工程 營建法規概要（試題代號 43850）</w:t>
      </w:r>
    </w:p>
    <w:p>
      <w:pPr>
        <w:pStyle w:val="Heading2"/>
        <w:spacing w:after="140" w:before="240"/>
      </w:pPr>
      <w:r>
        <w:rPr>
          <w:rFonts w:ascii="Times New Roman" w:eastAsia="標楷體"/>
          <w:b/>
          <w:bCs/>
          <w:color w:val="1F3864"/>
          <w:sz w:val="26"/>
          <w:szCs w:val="26"/>
        </w:rPr>
        <w:t xml:space="preserve">一、題目（25 分）</w:t>
      </w:r>
    </w:p>
    <w:p>
      <w:pPr>
        <w:spacing w:after="120" w:before="0" w:line="340"/>
        <w:jc w:val="both"/>
      </w:pPr>
      <w:r>
        <w:rPr>
          <w:rFonts w:ascii="Times New Roman" w:eastAsia="標楷體"/>
          <w:b w:val="false"/>
          <w:bCs w:val="false"/>
          <w:sz w:val="24"/>
          <w:szCs w:val="24"/>
        </w:rPr>
        <w:t xml:space="preserve">請依政府採購法、建築技術規則及都市更新條例等規定，回答下列問題：⑴請說明制定政府採購法之目的以及其適用之對象。（10 分）⑵請說明「分戶牆」與「分間牆」有何異同？（10 分）⑶請說明何謂都市更新之「實施者」。（5 分）</w:t>
      </w:r>
    </w:p>
    <w:p>
      <w:pPr>
        <w:spacing w:after="120" w:before="0" w:line="340"/>
        <w:jc w:val="both"/>
      </w:pPr>
      <w:r>
        <w:rPr>
          <w:rFonts w:ascii="Times New Roman" w:eastAsia="標楷體"/>
          <w:b w:val="false"/>
          <w:bCs w:val="false"/>
          <w:color w:val="44546A"/>
          <w:sz w:val="22"/>
          <w:szCs w:val="22"/>
        </w:rPr>
        <w:t xml:space="preserve">【法源】政府採購法第 1 條、第 3 條；建築技術規則建築設計施工編第 1 條第 23 款、第 24 款；都市更新條例第 3 條第 6 款</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第一小題。依政府採購法第 1 條，制定本法之目的為建立政府採購制度，依公平、公開之採購程序，提升採購效率與功能，確保採購品質。四項目的可再分為程序面之公平公開，與實體面之效率、功能與品質。依第 3 條，政府機關、公立學校、公營事業（本法簡稱機關）辦理採購，依本法之規定；本法未規定者，適用其他法律之規定。故適用對象為政府機關、公立學校與公營事業三類，並採本法優先、其他法律補充之適用順序。</w:t>
      </w:r>
    </w:p>
    <w:p>
      <w:pPr>
        <w:spacing w:after="120" w:before="0" w:line="340"/>
        <w:jc w:val="both"/>
      </w:pPr>
      <w:r>
        <w:rPr>
          <w:rFonts w:ascii="Times New Roman" w:eastAsia="標楷體"/>
          <w:b w:val="false"/>
          <w:bCs w:val="false"/>
          <w:sz w:val="24"/>
          <w:szCs w:val="24"/>
        </w:rPr>
        <w:t xml:space="preserve">第二小題。分間牆與分戶牆均規定於建築技術規則建築設計施工編第 1 條。第 23 款規定，分間牆指分隔建築物內部空間之牆壁；第 24 款規定，分戶牆指分隔住宅單位與住宅單位或住戶與住戶或不同用途區劃間之牆壁。相同處在於兩者均為非承重之分隔牆，均不承載結構載重，且均屬室內裝修與防火區劃檢討之對象。</w:t>
      </w:r>
    </w:p>
    <w:p>
      <w:pPr>
        <w:spacing w:after="120" w:before="0" w:line="340"/>
        <w:jc w:val="both"/>
      </w:pPr>
      <w:r>
        <w:rPr>
          <w:rFonts w:ascii="Times New Roman" w:eastAsia="標楷體"/>
          <w:b w:val="false"/>
          <w:bCs w:val="false"/>
          <w:sz w:val="24"/>
          <w:szCs w:val="24"/>
        </w:rPr>
        <w:t xml:space="preserve">相異處有二。其一為分隔對象不同：分間牆分隔的是同一使用單位內部的空間，例如住宅內部之臥室與客廳；分戶牆分隔的是不同的住宅單位、不同住戶或不同用途區劃，例如兩戶之間或住宅與店鋪之間。其二為法規要求不同：因分戶牆界定不同權利主體與不同使用型態之界線，其防火時效、隔音性能與構造要求均較分間牆嚴格，且分間牆之變更依建築物室內裝修管理辦法第 3 條第 4 款屬室內裝修行為，須依規定申請審查許可。</w:t>
      </w:r>
    </w:p>
    <w:p>
      <w:pPr>
        <w:spacing w:after="120" w:before="0" w:line="340"/>
        <w:jc w:val="both"/>
      </w:pPr>
      <w:r>
        <w:rPr>
          <w:rFonts w:ascii="Times New Roman" w:eastAsia="標楷體"/>
          <w:b w:val="false"/>
          <w:bCs w:val="false"/>
          <w:sz w:val="24"/>
          <w:szCs w:val="24"/>
        </w:rPr>
        <w:t xml:space="preserve">第三小題。依都市更新條例第 3 條第 6 款，實施者指依本條例規定實施都市更新事業之政府機關（構）、專責法人或機構、都市更新會、都市更新事業機構。四類主體中，政府機關（構）與專責法人或機構為公部門主導型態，都市更新會為土地及合法建築物所有權人自行組織之自主更新型態，都市更新事業機構則為民間業者受託或自行實施之型態。實施者為都市更新事業之權利義務主體，負責擬訂事業計畫與權利變換計畫並執行之。</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（1）政府採購法第1條之立法目的：建立採購制度、公平公開程序、提升效率與功能、確保品質</w:t>
      </w:r>
    </w:p>
    <w:p>
      <w:pPr>
        <w:spacing w:after="120" w:before="0" w:line="340"/>
        <w:jc w:val="both"/>
      </w:pPr>
      <w:r>
        <w:rPr>
          <w:rFonts w:ascii="Times New Roman" w:eastAsia="標楷體"/>
          <w:b w:val="false"/>
          <w:bCs w:val="false"/>
          <w:sz w:val="22"/>
          <w:szCs w:val="22"/>
        </w:rPr>
        <w:t xml:space="preserve">（2）政府採購法第3條適用對象：政府機關、公立學校、公營事業</w:t>
      </w:r>
    </w:p>
    <w:p>
      <w:pPr>
        <w:spacing w:after="120" w:before="0" w:line="340"/>
        <w:jc w:val="both"/>
      </w:pPr>
      <w:r>
        <w:rPr>
          <w:rFonts w:ascii="Times New Roman" w:eastAsia="標楷體"/>
          <w:b w:val="false"/>
          <w:bCs w:val="false"/>
          <w:sz w:val="22"/>
          <w:szCs w:val="22"/>
        </w:rPr>
        <w:t xml:space="preserve">（3）分間牆：分隔建築物內部空間之牆壁（第1條第23款）</w:t>
      </w:r>
    </w:p>
    <w:p>
      <w:pPr>
        <w:spacing w:after="120" w:before="0" w:line="340"/>
        <w:jc w:val="both"/>
      </w:pPr>
      <w:r>
        <w:rPr>
          <w:rFonts w:ascii="Times New Roman" w:eastAsia="標楷體"/>
          <w:b w:val="false"/>
          <w:bCs w:val="false"/>
          <w:sz w:val="22"/>
          <w:szCs w:val="22"/>
        </w:rPr>
        <w:t xml:space="preserve">（4）分戶牆：分隔住宅單位與住宅單位、住戶與住戶或不同用途區劃間之牆壁（第24款）</w:t>
      </w:r>
    </w:p>
    <w:p>
      <w:pPr>
        <w:spacing w:after="120" w:before="0" w:line="340"/>
        <w:jc w:val="both"/>
      </w:pPr>
      <w:r>
        <w:rPr>
          <w:rFonts w:ascii="Times New Roman" w:eastAsia="標楷體"/>
          <w:b w:val="false"/>
          <w:bCs w:val="false"/>
          <w:sz w:val="22"/>
          <w:szCs w:val="22"/>
        </w:rPr>
        <w:t xml:space="preserve">（5）兩者異同：均為分隔牆而非承重牆；分隔對象與防火隔音要求不同</w:t>
      </w:r>
    </w:p>
    <w:p>
      <w:pPr>
        <w:spacing w:after="120" w:before="0" w:line="340"/>
        <w:jc w:val="both"/>
      </w:pPr>
      <w:r>
        <w:rPr>
          <w:rFonts w:ascii="Times New Roman" w:eastAsia="標楷體"/>
          <w:b w:val="false"/>
          <w:bCs w:val="false"/>
          <w:sz w:val="22"/>
          <w:szCs w:val="22"/>
        </w:rPr>
        <w:t xml:space="preserve">（6）都市更新實施者之四類主體</w:t>
      </w:r>
    </w:p>
    <w:p>
      <w:pPr>
        <w:spacing w:after="120" w:before="0" w:line="340"/>
        <w:jc w:val="both"/>
      </w:pPr>
      <w:r>
        <w:rPr>
          <w:rFonts w:ascii="Times New Roman" w:eastAsia="標楷體"/>
          <w:b w:val="false"/>
          <w:bCs w:val="false"/>
          <w:sz w:val="22"/>
          <w:szCs w:val="22"/>
        </w:rPr>
        <w:t xml:space="preserve">（7）指出實施者為擬訂並執行事業計畫與權利變換計畫之權利義務主體</w:t>
      </w:r>
    </w:p>
    <w:p>
      <w:pPr>
        <w:pStyle w:val="Heading2"/>
        <w:spacing w:after="140" w:before="240"/>
      </w:pPr>
      <w:r>
        <w:rPr>
          <w:rFonts w:ascii="Times New Roman" w:eastAsia="標楷體"/>
          <w:b/>
          <w:bCs/>
          <w:color w:val="1F3864"/>
          <w:sz w:val="26"/>
          <w:szCs w:val="26"/>
        </w:rPr>
        <w:t xml:space="preserve">二、題目（25 分）</w:t>
      </w:r>
    </w:p>
    <w:p>
      <w:pPr>
        <w:spacing w:after="120" w:before="0" w:line="340"/>
        <w:jc w:val="both"/>
      </w:pPr>
      <w:r>
        <w:rPr>
          <w:rFonts w:ascii="Times New Roman" w:eastAsia="標楷體"/>
          <w:b w:val="false"/>
          <w:bCs w:val="false"/>
          <w:sz w:val="24"/>
          <w:szCs w:val="24"/>
        </w:rPr>
        <w:t xml:space="preserve">請說明訂定建築技術規則的依據、適用範圍，以及其內容共分成那幾編？</w:t>
      </w:r>
    </w:p>
    <w:p>
      <w:pPr>
        <w:spacing w:after="120" w:before="0" w:line="340"/>
        <w:jc w:val="both"/>
      </w:pPr>
      <w:r>
        <w:rPr>
          <w:rFonts w:ascii="Times New Roman" w:eastAsia="標楷體"/>
          <w:b w:val="false"/>
          <w:bCs w:val="false"/>
          <w:color w:val="44546A"/>
          <w:sz w:val="22"/>
          <w:szCs w:val="22"/>
        </w:rPr>
        <w:t xml:space="preserve">【法源】建築技術規則總則編第 1 條、第 2 條、第 3 條；建築法第 97 條、第 3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就訂定依據而言，建築技術規則總則編第 1 條明定，本規則依建築法第 97 條規定訂之。建築法第 97 條規定，有關建築規劃、設計、施工、構造、設備之建築技術規則，由中央主管建築機關定之，並應落實建構兩性平權環境之政策。故建築技術規則之法律性質為法規命令，其效力來自建築法之明確授權，內容亦不得逾越授權範圍。</w:t>
      </w:r>
    </w:p>
    <w:p>
      <w:pPr>
        <w:spacing w:after="120" w:before="0" w:line="340"/>
        <w:jc w:val="both"/>
      </w:pPr>
      <w:r>
        <w:rPr>
          <w:rFonts w:ascii="Times New Roman" w:eastAsia="標楷體"/>
          <w:b w:val="false"/>
          <w:bCs w:val="false"/>
          <w:sz w:val="24"/>
          <w:szCs w:val="24"/>
        </w:rPr>
        <w:t xml:space="preserve">就適用範圍而言，總則編第 2 條規定，本規則之適用範圍依本法第 3 條規定；但未實施都市計畫地區之供公眾使用與公有建築物，實施區域計畫地區及本法第 100 條規定之建築物，中央主管建築機關另有規定者，從其規定。建築法第 3 條第 1 項所定適用地區為實施都市計畫地區、實施區域計畫地區及經內政部指定地區，第 2 項並規定前項地區外供公眾使用及公有建築物亦適用之。故建築技術規則之適用範圍與建築法一致，並保留中央主管建築機關就特定情形另為規定之彈性。</w:t>
      </w:r>
    </w:p>
    <w:p>
      <w:pPr>
        <w:spacing w:after="120" w:before="0" w:line="340"/>
        <w:jc w:val="both"/>
      </w:pPr>
      <w:r>
        <w:rPr>
          <w:rFonts w:ascii="Times New Roman" w:eastAsia="標楷體"/>
          <w:b w:val="false"/>
          <w:bCs w:val="false"/>
          <w:sz w:val="24"/>
          <w:szCs w:val="24"/>
        </w:rPr>
        <w:t xml:space="preserve">另應注意總則編第 3 條之性能設計條款。該條規定建築物之設計、施工、構造及設備依本規則各編規定；但有關建築物之防火及避難設施，經檢具申請書、建築物防火避難性能設計計畫書及評定書向中央主管建築機關申請認可者，得不適用建築設計施工編第三章、第四章一部或全部，或第五章、第十一章、第十二章有關建築物防火避難一部或全部之規定。此即由規格式規範轉向性能式規範之制度出口。</w:t>
      </w:r>
    </w:p>
    <w:p>
      <w:pPr>
        <w:spacing w:after="120" w:before="0" w:line="340"/>
        <w:jc w:val="both"/>
      </w:pPr>
      <w:r>
        <w:rPr>
          <w:rFonts w:ascii="Times New Roman" w:eastAsia="標楷體"/>
          <w:b w:val="false"/>
          <w:bCs w:val="false"/>
          <w:sz w:val="24"/>
          <w:szCs w:val="24"/>
        </w:rPr>
        <w:t xml:space="preserve">就編別而言，建築技術規則共分四編：總則編、建築設計施工編、建築構造編、建築設備編。總則編處理法源、適用範圍與性能設計；建築設計施工編處理用語定義、建築基地、建築界限、防火避難、特定建築物、無障礙建築物、綠建築基準等；建築構造編處理結構安全與各類構造之設計；建築設備編處理電氣、給排水、消防、空調、昇降等設備。四編合為完整之建築技術管制體系。</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（1）訂定依據：建築技術規則總則編第1條依建築法第97條訂定</w:t>
      </w:r>
    </w:p>
    <w:p>
      <w:pPr>
        <w:spacing w:after="120" w:before="0" w:line="340"/>
        <w:jc w:val="both"/>
      </w:pPr>
      <w:r>
        <w:rPr>
          <w:rFonts w:ascii="Times New Roman" w:eastAsia="標楷體"/>
          <w:b w:val="false"/>
          <w:bCs w:val="false"/>
          <w:sz w:val="22"/>
          <w:szCs w:val="22"/>
        </w:rPr>
        <w:t xml:space="preserve">（2）法律性質為法規命令，效力來自建築法明確授權</w:t>
      </w:r>
    </w:p>
    <w:p>
      <w:pPr>
        <w:spacing w:after="120" w:before="0" w:line="340"/>
        <w:jc w:val="both"/>
      </w:pPr>
      <w:r>
        <w:rPr>
          <w:rFonts w:ascii="Times New Roman" w:eastAsia="標楷體"/>
          <w:b w:val="false"/>
          <w:bCs w:val="false"/>
          <w:sz w:val="22"/>
          <w:szCs w:val="22"/>
        </w:rPr>
        <w:t xml:space="preserve">（3）適用範圍依建築法第3條：實施都市計畫地區、實施區域計畫地區、內政部指定地區</w:t>
      </w:r>
    </w:p>
    <w:p>
      <w:pPr>
        <w:spacing w:after="120" w:before="0" w:line="340"/>
        <w:jc w:val="both"/>
      </w:pPr>
      <w:r>
        <w:rPr>
          <w:rFonts w:ascii="Times New Roman" w:eastAsia="標楷體"/>
          <w:b w:val="false"/>
          <w:bCs w:val="false"/>
          <w:sz w:val="22"/>
          <w:szCs w:val="22"/>
        </w:rPr>
        <w:t xml:space="preserve">（4）總則編第2條但書：未實施都市計畫地區之供公眾使用與公有建築物等另有規定者從其規定</w:t>
      </w:r>
    </w:p>
    <w:p>
      <w:pPr>
        <w:spacing w:after="120" w:before="0" w:line="340"/>
        <w:jc w:val="both"/>
      </w:pPr>
      <w:r>
        <w:rPr>
          <w:rFonts w:ascii="Times New Roman" w:eastAsia="標楷體"/>
          <w:b w:val="false"/>
          <w:bCs w:val="false"/>
          <w:sz w:val="22"/>
          <w:szCs w:val="22"/>
        </w:rPr>
        <w:t xml:space="preserve">（5）總則編第3條防火避難性能設計得申請認可而不適用部分條文</w:t>
      </w:r>
    </w:p>
    <w:p>
      <w:pPr>
        <w:spacing w:after="120" w:before="0" w:line="340"/>
        <w:jc w:val="both"/>
      </w:pPr>
      <w:r>
        <w:rPr>
          <w:rFonts w:ascii="Times New Roman" w:eastAsia="標楷體"/>
          <w:b w:val="false"/>
          <w:bCs w:val="false"/>
          <w:sz w:val="22"/>
          <w:szCs w:val="22"/>
        </w:rPr>
        <w:t xml:space="preserve">（6）共分四編</w:t>
      </w:r>
    </w:p>
    <w:p>
      <w:pPr>
        <w:spacing w:after="120" w:before="0" w:line="340"/>
        <w:jc w:val="both"/>
      </w:pPr>
      <w:r>
        <w:rPr>
          <w:rFonts w:ascii="Times New Roman" w:eastAsia="標楷體"/>
          <w:b w:val="false"/>
          <w:bCs w:val="false"/>
          <w:sz w:val="22"/>
          <w:szCs w:val="22"/>
        </w:rPr>
        <w:t xml:space="preserve">（7）四編名稱：總則編、建築設計施工編、建築構造編、建築設備編</w:t>
      </w:r>
    </w:p>
    <w:p>
      <w:pPr>
        <w:pStyle w:val="Heading2"/>
        <w:spacing w:after="140" w:before="240"/>
      </w:pPr>
      <w:r>
        <w:rPr>
          <w:rFonts w:ascii="Times New Roman" w:eastAsia="標楷體"/>
          <w:b/>
          <w:bCs/>
          <w:color w:val="1F3864"/>
          <w:sz w:val="26"/>
          <w:szCs w:val="26"/>
        </w:rPr>
        <w:t xml:space="preserve">三、題目（25 分）</w:t>
      </w:r>
    </w:p>
    <w:p>
      <w:pPr>
        <w:spacing w:after="120" w:before="0" w:line="340"/>
        <w:jc w:val="both"/>
      </w:pPr>
      <w:r>
        <w:rPr>
          <w:rFonts w:ascii="Times New Roman" w:eastAsia="標楷體"/>
          <w:b w:val="false"/>
          <w:bCs w:val="false"/>
          <w:sz w:val="24"/>
          <w:szCs w:val="24"/>
        </w:rPr>
        <w:t xml:space="preserve">請依都市計畫法說明細部計畫書、細部計畫圖應表明之事項，並說明土地權利關係人在何種情況下可以變更細部計畫，及其應備之計畫書與申辦機關？</w:t>
      </w:r>
    </w:p>
    <w:p>
      <w:pPr>
        <w:spacing w:after="120" w:before="0" w:line="340"/>
        <w:jc w:val="both"/>
      </w:pPr>
      <w:r>
        <w:rPr>
          <w:rFonts w:ascii="Times New Roman" w:eastAsia="標楷體"/>
          <w:b w:val="false"/>
          <w:bCs w:val="false"/>
          <w:color w:val="44546A"/>
          <w:sz w:val="22"/>
          <w:szCs w:val="22"/>
        </w:rPr>
        <w:t xml:space="preserve">【法源】都市計畫法第 22 條、第 23 條、第 24 條；並涉第 15 條主要計畫</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細部計畫書及細部計畫圖應表明之事項，規定於都市計畫法第 22 條第 1 項，共七款：計畫地區範圍；居住密度及容納人口；土地使用分區管制；事業及財務計畫；道路系統；地區性之公共設施用地；其他。同條第 2 項並規定，細部計畫圖比例尺不得小於一千二百分之一。此一比例尺要求與第 15 條主要計畫圖不得小於一萬分之一相對照，正可顯示細部計畫係就主要計畫所定原則予以具體化，其精度必須足以據以核發建築執照與指定建築線。</w:t>
      </w:r>
    </w:p>
    <w:p>
      <w:pPr>
        <w:spacing w:after="120" w:before="0" w:line="340"/>
        <w:jc w:val="both"/>
      </w:pPr>
      <w:r>
        <w:rPr>
          <w:rFonts w:ascii="Times New Roman" w:eastAsia="標楷體"/>
          <w:b w:val="false"/>
          <w:bCs w:val="false"/>
          <w:sz w:val="24"/>
          <w:szCs w:val="24"/>
        </w:rPr>
        <w:t xml:space="preserve">七款事項可歸納為三個層次。範圍與強度層次，包括計畫地區範圍、居住密度及容納人口；管制層次，即土地使用分區管制，是細部計畫最核心的規範內容，建蔽率、容積率與使用組別均由此而定；實施層次，包括事業及財務計畫、道路系統與地區性之公共設施用地，處理的是計畫如何被執行以及財源如何籌措。</w:t>
      </w:r>
    </w:p>
    <w:p>
      <w:pPr>
        <w:spacing w:after="120" w:before="0" w:line="340"/>
        <w:jc w:val="both"/>
      </w:pPr>
      <w:r>
        <w:rPr>
          <w:rFonts w:ascii="Times New Roman" w:eastAsia="標楷體"/>
          <w:b w:val="false"/>
          <w:bCs w:val="false"/>
          <w:sz w:val="24"/>
          <w:szCs w:val="24"/>
        </w:rPr>
        <w:t xml:space="preserve">就土地權利關係人得變更細部計畫之情形，依第 24 條，土地權利關係人為促進其土地利用，得配合當地分區發展計畫，自行擬定或變更細部計畫。故其要件有二：主觀上須為促進其土地利用之目的，客觀上須配合當地分區發展計畫，二者缺一不可。此一制度使私人得主動發動計畫變更，但仍受計畫一致性之拘束。</w:t>
      </w:r>
    </w:p>
    <w:p>
      <w:pPr>
        <w:spacing w:after="120" w:before="0" w:line="340"/>
        <w:jc w:val="both"/>
      </w:pPr>
      <w:r>
        <w:rPr>
          <w:rFonts w:ascii="Times New Roman" w:eastAsia="標楷體"/>
          <w:b w:val="false"/>
          <w:bCs w:val="false"/>
          <w:sz w:val="24"/>
          <w:szCs w:val="24"/>
        </w:rPr>
        <w:t xml:space="preserve">就應備之計畫書與申辦機關，同條規定申請時應附具事業及財務計畫，申請當地直轄市、縣（市）政府或鄉、鎮、縣轄市公所依前條規定辦理。所稱前條即第 23 條，係細部計畫核定發布實施之程序規定。故其應備文件為細部計畫書、細部計畫圖及事業與財務計畫，受理機關為當地直轄市、縣（市）政府或鄉、鎮、縣轄市公所。答題時特別要指出「應附具事業及財務計畫」為第 24 條之明文要求，此為本題最容易遺漏之得分點。</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（1）計畫地區範圍；居住密度及容納人口</w:t>
      </w:r>
    </w:p>
    <w:p>
      <w:pPr>
        <w:spacing w:after="120" w:before="0" w:line="340"/>
        <w:jc w:val="both"/>
      </w:pPr>
      <w:r>
        <w:rPr>
          <w:rFonts w:ascii="Times New Roman" w:eastAsia="標楷體"/>
          <w:b w:val="false"/>
          <w:bCs w:val="false"/>
          <w:sz w:val="22"/>
          <w:szCs w:val="22"/>
        </w:rPr>
        <w:t xml:space="preserve">（2）土地使用分區管制</w:t>
      </w:r>
    </w:p>
    <w:p>
      <w:pPr>
        <w:spacing w:after="120" w:before="0" w:line="340"/>
        <w:jc w:val="both"/>
      </w:pPr>
      <w:r>
        <w:rPr>
          <w:rFonts w:ascii="Times New Roman" w:eastAsia="標楷體"/>
          <w:b w:val="false"/>
          <w:bCs w:val="false"/>
          <w:sz w:val="22"/>
          <w:szCs w:val="22"/>
        </w:rPr>
        <w:t xml:space="preserve">（3）事業及財務計畫</w:t>
      </w:r>
    </w:p>
    <w:p>
      <w:pPr>
        <w:spacing w:after="120" w:before="0" w:line="340"/>
        <w:jc w:val="both"/>
      </w:pPr>
      <w:r>
        <w:rPr>
          <w:rFonts w:ascii="Times New Roman" w:eastAsia="標楷體"/>
          <w:b w:val="false"/>
          <w:bCs w:val="false"/>
          <w:sz w:val="22"/>
          <w:szCs w:val="22"/>
        </w:rPr>
        <w:t xml:space="preserve">（4）道路系統；地區性之公共設施用地；其他</w:t>
      </w:r>
    </w:p>
    <w:p>
      <w:pPr>
        <w:spacing w:after="120" w:before="0" w:line="340"/>
        <w:jc w:val="both"/>
      </w:pPr>
      <w:r>
        <w:rPr>
          <w:rFonts w:ascii="Times New Roman" w:eastAsia="標楷體"/>
          <w:b w:val="false"/>
          <w:bCs w:val="false"/>
          <w:sz w:val="22"/>
          <w:szCs w:val="22"/>
        </w:rPr>
        <w:t xml:space="preserve">（5）細部計畫圖比例尺不得小於一千二百分之一</w:t>
      </w:r>
    </w:p>
    <w:p>
      <w:pPr>
        <w:spacing w:after="120" w:before="0" w:line="340"/>
        <w:jc w:val="both"/>
      </w:pPr>
      <w:r>
        <w:rPr>
          <w:rFonts w:ascii="Times New Roman" w:eastAsia="標楷體"/>
          <w:b w:val="false"/>
          <w:bCs w:val="false"/>
          <w:sz w:val="22"/>
          <w:szCs w:val="22"/>
        </w:rPr>
        <w:t xml:space="preserve">（6）變更要件：為促進其土地利用並配合當地分區發展計畫（第24條）</w:t>
      </w:r>
    </w:p>
    <w:p>
      <w:pPr>
        <w:spacing w:after="120" w:before="0" w:line="340"/>
        <w:jc w:val="both"/>
      </w:pPr>
      <w:r>
        <w:rPr>
          <w:rFonts w:ascii="Times New Roman" w:eastAsia="標楷體"/>
          <w:b w:val="false"/>
          <w:bCs w:val="false"/>
          <w:sz w:val="22"/>
          <w:szCs w:val="22"/>
        </w:rPr>
        <w:t xml:space="preserve">（7）應附具事業及財務計畫，申請當地直轄市、縣（市）政府或鄉、鎮、縣轄市公所辦理</w:t>
      </w:r>
    </w:p>
    <w:p>
      <w:pPr>
        <w:pStyle w:val="Heading2"/>
        <w:spacing w:after="140" w:before="240"/>
      </w:pPr>
      <w:r>
        <w:rPr>
          <w:rFonts w:ascii="Times New Roman" w:eastAsia="標楷體"/>
          <w:b/>
          <w:bCs/>
          <w:color w:val="1F3864"/>
          <w:sz w:val="26"/>
          <w:szCs w:val="26"/>
        </w:rPr>
        <w:t xml:space="preserve">四、題目（25 分）</w:t>
      </w:r>
    </w:p>
    <w:p>
      <w:pPr>
        <w:spacing w:after="120" w:before="0" w:line="340"/>
        <w:jc w:val="both"/>
      </w:pPr>
      <w:r>
        <w:rPr>
          <w:rFonts w:ascii="Times New Roman" w:eastAsia="標楷體"/>
          <w:b w:val="false"/>
          <w:bCs w:val="false"/>
          <w:sz w:val="24"/>
          <w:szCs w:val="24"/>
        </w:rPr>
        <w:t xml:space="preserve">請依建築法規定說明何謂建築物？以及供公眾使用之建築物與公有建築有何異同？</w:t>
      </w:r>
    </w:p>
    <w:p>
      <w:pPr>
        <w:spacing w:after="120" w:before="0" w:line="340"/>
        <w:jc w:val="both"/>
      </w:pPr>
      <w:r>
        <w:rPr>
          <w:rFonts w:ascii="Times New Roman" w:eastAsia="標楷體"/>
          <w:b w:val="false"/>
          <w:bCs w:val="false"/>
          <w:color w:val="44546A"/>
          <w:sz w:val="22"/>
          <w:szCs w:val="22"/>
        </w:rPr>
        <w:t xml:space="preserve">【法源】建築法第 4 條、第 5 條、第 6 條；並涉第 7 條雜項工作物</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依建築法第 4 條，本法所稱建築物，為定著於土地上或地面下具有頂蓋、樑柱或牆壁，供個人或公眾使用之構造物或雜項工作物。其構成要件有三：定著性，即定著於土地上或地面下，具有一定之固定性與永久性，此與臨時性、可移動之設施相區別；構造性，即具有頂蓋、樑柱或牆壁，三者為選擇要件而非累積要件；使用性，即供個人或公眾使用。三要件同時具備，始為建築法上之建築物，亦即始受建築許可與建築管理制度之規範。</w:t>
      </w:r>
    </w:p>
    <w:p>
      <w:pPr>
        <w:spacing w:after="120" w:before="0" w:line="340"/>
        <w:jc w:val="both"/>
      </w:pPr>
      <w:r>
        <w:rPr>
          <w:rFonts w:ascii="Times New Roman" w:eastAsia="標楷體"/>
          <w:b w:val="false"/>
          <w:bCs w:val="false"/>
          <w:sz w:val="24"/>
          <w:szCs w:val="24"/>
        </w:rPr>
        <w:t xml:space="preserve">依第 5 條，本法所稱供公眾使用之建築物，為供公眾工作、營業、居住、遊覽、娛樂及其他供公眾使用之建築物。其判準在於使用者是否為不特定多數人，而非建築物之所有權歸屬。依第 6 條，本法所稱公有建築物，為政府機關、公營事業機構、自治團體及具有紀念性之建築物。其判準在於所有權或設立主體之公共性，而非使用者之範圍。</w:t>
      </w:r>
    </w:p>
    <w:p>
      <w:pPr>
        <w:spacing w:after="120" w:before="0" w:line="340"/>
        <w:jc w:val="both"/>
      </w:pPr>
      <w:r>
        <w:rPr>
          <w:rFonts w:ascii="Times New Roman" w:eastAsia="標楷體"/>
          <w:b w:val="false"/>
          <w:bCs w:val="false"/>
          <w:sz w:val="24"/>
          <w:szCs w:val="24"/>
        </w:rPr>
        <w:t xml:space="preserve">兩者之相同處在於：均屬建築法上之建築物，均受建築法各章之規範，且立法者對二者均施以較一般建築物為嚴格之管制。就管制強度而言，第 33 條規定供公眾使用或構造複雜者，審查期限得延長至三十日；第 72 條規定供公眾使用之建築物申請使用執照時，主管建築機關應會同消防主管機關檢查消防設備；第 77 條第 3 項規定供公眾使用之建築物應定期委託專業機構或人員檢查簽證並申報；第 77 條之 2 規定供公眾使用建築物之室內裝修應申請審查許可。至於公有建築物，第 24 條規定應由起造機關將核定或決定之建築計畫、工程圖樣及說明書請領建築執照，第 13 條第 2 項並允許其設計人及監造人由起造機關內具建築師或專業技師資格者擔任。</w:t>
      </w:r>
    </w:p>
    <w:p>
      <w:pPr>
        <w:spacing w:after="120" w:before="0" w:line="340"/>
        <w:jc w:val="both"/>
      </w:pPr>
      <w:r>
        <w:rPr>
          <w:rFonts w:ascii="Times New Roman" w:eastAsia="標楷體"/>
          <w:b w:val="false"/>
          <w:bCs w:val="false"/>
          <w:sz w:val="24"/>
          <w:szCs w:val="24"/>
        </w:rPr>
        <w:t xml:space="preserve">兩者之相異處在於判準與交集關係。供公眾使用以「使用者範圍」為準，公有建築物以「主體歸屬」為準，二者為交錯關係而非包含關係。公有建築物未必供公眾使用，例如政府機關之機要辦公空間；供公眾使用之建築物亦多屬私有，例如百貨公司與電影院。此外，第 3 條第 2 項將「地區外供公眾使用及公有建築物」一併納入建築法適用範圍，顯示立法者對此二類建築物之管制意旨在於公共安全與公共利益，而非所有權形式。</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（1）建築物三要件：定著於土地上或地面下</w:t>
      </w:r>
    </w:p>
    <w:p>
      <w:pPr>
        <w:spacing w:after="120" w:before="0" w:line="340"/>
        <w:jc w:val="both"/>
      </w:pPr>
      <w:r>
        <w:rPr>
          <w:rFonts w:ascii="Times New Roman" w:eastAsia="標楷體"/>
          <w:b w:val="false"/>
          <w:bCs w:val="false"/>
          <w:sz w:val="22"/>
          <w:szCs w:val="22"/>
        </w:rPr>
        <w:t xml:space="preserve">（2）建築物三要件：具有頂蓋、樑柱或牆壁</w:t>
      </w:r>
    </w:p>
    <w:p>
      <w:pPr>
        <w:spacing w:after="120" w:before="0" w:line="340"/>
        <w:jc w:val="both"/>
      </w:pPr>
      <w:r>
        <w:rPr>
          <w:rFonts w:ascii="Times New Roman" w:eastAsia="標楷體"/>
          <w:b w:val="false"/>
          <w:bCs w:val="false"/>
          <w:sz w:val="22"/>
          <w:szCs w:val="22"/>
        </w:rPr>
        <w:t xml:space="preserve">（3）建築物三要件：供個人或公眾使用之構造物或雜項工作物</w:t>
      </w:r>
    </w:p>
    <w:p>
      <w:pPr>
        <w:spacing w:after="120" w:before="0" w:line="340"/>
        <w:jc w:val="both"/>
      </w:pPr>
      <w:r>
        <w:rPr>
          <w:rFonts w:ascii="Times New Roman" w:eastAsia="標楷體"/>
          <w:b w:val="false"/>
          <w:bCs w:val="false"/>
          <w:sz w:val="22"/>
          <w:szCs w:val="22"/>
        </w:rPr>
        <w:t xml:space="preserve">（4）供公眾使用之建築物：供公眾工作、營業、居住、遊覽、娛樂等（第5條）</w:t>
      </w:r>
    </w:p>
    <w:p>
      <w:pPr>
        <w:spacing w:after="120" w:before="0" w:line="340"/>
        <w:jc w:val="both"/>
      </w:pPr>
      <w:r>
        <w:rPr>
          <w:rFonts w:ascii="Times New Roman" w:eastAsia="標楷體"/>
          <w:b w:val="false"/>
          <w:bCs w:val="false"/>
          <w:sz w:val="22"/>
          <w:szCs w:val="22"/>
        </w:rPr>
        <w:t xml:space="preserve">（5）公有建築物：政府機關、公營事業機構、自治團體及具有紀念性之建築物（第6條）</w:t>
      </w:r>
    </w:p>
    <w:p>
      <w:pPr>
        <w:spacing w:after="120" w:before="0" w:line="340"/>
        <w:jc w:val="both"/>
      </w:pPr>
      <w:r>
        <w:rPr>
          <w:rFonts w:ascii="Times New Roman" w:eastAsia="標楷體"/>
          <w:b w:val="false"/>
          <w:bCs w:val="false"/>
          <w:sz w:val="22"/>
          <w:szCs w:val="22"/>
        </w:rPr>
        <w:t xml:space="preserve">（6）相同：均受較嚴格管制（審查期限、消防檢查、公共安全檢查申報、室內裝修）</w:t>
      </w:r>
    </w:p>
    <w:p>
      <w:pPr>
        <w:spacing w:after="120" w:before="0" w:line="340"/>
        <w:jc w:val="both"/>
      </w:pPr>
      <w:r>
        <w:rPr>
          <w:rFonts w:ascii="Times New Roman" w:eastAsia="標楷體"/>
          <w:b w:val="false"/>
          <w:bCs w:val="false"/>
          <w:sz w:val="22"/>
          <w:szCs w:val="22"/>
        </w:rPr>
        <w:t xml:space="preserve">（7）相異：判準不同（使用者範圍 vs 主體歸屬），二者為交錯關係</w:t>
      </w:r>
    </w:p>
    <w:p>
      <w:r>
        <w:br w:type="page"/>
      </w:r>
    </w:p>
    <w:p>
      <w:pPr>
        <w:pStyle w:val="Heading1"/>
        <w:spacing w:after="140" w:before="400"/>
      </w:pPr>
      <w:r>
        <w:rPr>
          <w:rFonts w:ascii="Times New Roman" w:eastAsia="標楷體"/>
          <w:b/>
          <w:bCs/>
          <w:color w:val="1F3864"/>
          <w:sz w:val="28"/>
          <w:szCs w:val="28"/>
        </w:rPr>
        <w:t xml:space="preserve">110 年公務人員普通考試 建築工程 營建法規概要（試題代號 43850）</w:t>
      </w:r>
    </w:p>
    <w:p>
      <w:pPr>
        <w:pStyle w:val="Heading2"/>
        <w:spacing w:after="140" w:before="240"/>
      </w:pPr>
      <w:r>
        <w:rPr>
          <w:rFonts w:ascii="Times New Roman" w:eastAsia="標楷體"/>
          <w:b/>
          <w:bCs/>
          <w:color w:val="1F3864"/>
          <w:sz w:val="26"/>
          <w:szCs w:val="26"/>
        </w:rPr>
        <w:t xml:space="preserve">一、題目（25 分）</w:t>
      </w:r>
    </w:p>
    <w:p>
      <w:pPr>
        <w:spacing w:after="120" w:before="0" w:line="340"/>
        <w:jc w:val="both"/>
      </w:pPr>
      <w:r>
        <w:rPr>
          <w:rFonts w:ascii="Times New Roman" w:eastAsia="標楷體"/>
          <w:b w:val="false"/>
          <w:bCs w:val="false"/>
          <w:sz w:val="24"/>
          <w:szCs w:val="24"/>
        </w:rPr>
        <w:t xml:space="preserve">依營造業法第 35 條規定，專任工程人員應負責辦理八項工作，請寫出其中五項。</w:t>
      </w:r>
    </w:p>
    <w:p>
      <w:pPr>
        <w:spacing w:after="120" w:before="0" w:line="340"/>
        <w:jc w:val="both"/>
      </w:pPr>
      <w:r>
        <w:rPr>
          <w:rFonts w:ascii="Times New Roman" w:eastAsia="標楷體"/>
          <w:b w:val="false"/>
          <w:bCs w:val="false"/>
          <w:color w:val="44546A"/>
          <w:sz w:val="22"/>
          <w:szCs w:val="22"/>
        </w:rPr>
        <w:t xml:space="preserve">【法源】營造業法第 35 條；並涉第 3 條第 9 款、第 32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營造業法第 3 條第 9 款規定，專任工程人員係指受聘於營造業之技師或建築師，擔任其所承攬工程之施工技術指導及施工安全之人員；其為技師者應稱主任技師，其為建築師者應稱主任建築師。第 35 條則具體列舉其應負責辦理之八項工作，構成專任工程人員之法定職責範圍，亦為其責任認定之依據。</w:t>
      </w:r>
    </w:p>
    <w:p>
      <w:pPr>
        <w:spacing w:after="120" w:before="0" w:line="340"/>
        <w:jc w:val="both"/>
      </w:pPr>
      <w:r>
        <w:rPr>
          <w:rFonts w:ascii="Times New Roman" w:eastAsia="標楷體"/>
          <w:b w:val="false"/>
          <w:bCs w:val="false"/>
          <w:sz w:val="24"/>
          <w:szCs w:val="24"/>
        </w:rPr>
        <w:t xml:space="preserve">八項工作如下：查核施工計畫書，並於認可後簽名或蓋章；於開工、竣工報告文件及工程查報表簽名或蓋章；督察按圖施工、解決施工技術問題；依工地主任之通報，處理工地緊急異常狀況；查驗工程時到場說明，並於工程查驗文件簽名或蓋章；營繕工程必須勘驗部分赴現場履勘，並於申報勘驗文件簽名或蓋章；主管機關勘驗工程時，在場說明，並於相關文件簽名或蓋章；其他依法令規定應辦理之事項。</w:t>
      </w:r>
    </w:p>
    <w:p>
      <w:pPr>
        <w:spacing w:after="120" w:before="0" w:line="340"/>
        <w:jc w:val="both"/>
      </w:pPr>
      <w:r>
        <w:rPr>
          <w:rFonts w:ascii="Times New Roman" w:eastAsia="標楷體"/>
          <w:b w:val="false"/>
          <w:bCs w:val="false"/>
          <w:sz w:val="24"/>
          <w:szCs w:val="24"/>
        </w:rPr>
        <w:t xml:space="preserve">八項工作可歸納為三類。第一類為文件簽證責任，包括第一、二、五、六、七款，其共同特徵為「簽名或蓋章」，此即專任工程人員承擔法律責任之形式表徵，簽證不實者依營造業法及刑法相關規定負責。第二類為技術指導責任，即第三款督察按圖施工、解決施工技術問題，此為其專業核心。第三類為異常處理責任，即第四款依工地主任之通報處理工地緊急異常狀況。</w:t>
      </w:r>
    </w:p>
    <w:p>
      <w:pPr>
        <w:spacing w:after="120" w:before="0" w:line="340"/>
        <w:jc w:val="both"/>
      </w:pPr>
      <w:r>
        <w:rPr>
          <w:rFonts w:ascii="Times New Roman" w:eastAsia="標楷體"/>
          <w:b w:val="false"/>
          <w:bCs w:val="false"/>
          <w:sz w:val="24"/>
          <w:szCs w:val="24"/>
        </w:rPr>
        <w:t xml:space="preserve">答題時宜與第 32 條工地主任之六項工作對照，以顯示分工。工地主任負責依施工計畫書執行按圖施工、按日填報施工日誌、工地人員機具材料管理、工地勞工安全衛生督導與公共環境安全維護、緊急異常狀況通報等，屬工地事務與施工管理之管理責任；專任工程人員則屬施工技術指導與施工安全之技術責任。兩者於第四款形成銜接：工地主任通報、專任工程人員處理。</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（1）查核施工計畫書並於認可後簽名或蓋章</w:t>
      </w:r>
    </w:p>
    <w:p>
      <w:pPr>
        <w:spacing w:after="120" w:before="0" w:line="340"/>
        <w:jc w:val="both"/>
      </w:pPr>
      <w:r>
        <w:rPr>
          <w:rFonts w:ascii="Times New Roman" w:eastAsia="標楷體"/>
          <w:b w:val="false"/>
          <w:bCs w:val="false"/>
          <w:sz w:val="22"/>
          <w:szCs w:val="22"/>
        </w:rPr>
        <w:t xml:space="preserve">（2）於開工、竣工報告文件及工程查報表簽名或蓋章</w:t>
      </w:r>
    </w:p>
    <w:p>
      <w:pPr>
        <w:spacing w:after="120" w:before="0" w:line="340"/>
        <w:jc w:val="both"/>
      </w:pPr>
      <w:r>
        <w:rPr>
          <w:rFonts w:ascii="Times New Roman" w:eastAsia="標楷體"/>
          <w:b w:val="false"/>
          <w:bCs w:val="false"/>
          <w:sz w:val="22"/>
          <w:szCs w:val="22"/>
        </w:rPr>
        <w:t xml:space="preserve">（3）督察按圖施工、解決施工技術問題</w:t>
      </w:r>
    </w:p>
    <w:p>
      <w:pPr>
        <w:spacing w:after="120" w:before="0" w:line="340"/>
        <w:jc w:val="both"/>
      </w:pPr>
      <w:r>
        <w:rPr>
          <w:rFonts w:ascii="Times New Roman" w:eastAsia="標楷體"/>
          <w:b w:val="false"/>
          <w:bCs w:val="false"/>
          <w:sz w:val="22"/>
          <w:szCs w:val="22"/>
        </w:rPr>
        <w:t xml:space="preserve">（4）依工地主任之通報，處理工地緊急異常狀況</w:t>
      </w:r>
    </w:p>
    <w:p>
      <w:pPr>
        <w:spacing w:after="120" w:before="0" w:line="340"/>
        <w:jc w:val="both"/>
      </w:pPr>
      <w:r>
        <w:rPr>
          <w:rFonts w:ascii="Times New Roman" w:eastAsia="標楷體"/>
          <w:b w:val="false"/>
          <w:bCs w:val="false"/>
          <w:sz w:val="22"/>
          <w:szCs w:val="22"/>
        </w:rPr>
        <w:t xml:space="preserve">（5）查驗工程時到場說明並於查驗文件簽名或蓋章</w:t>
      </w:r>
    </w:p>
    <w:p>
      <w:pPr>
        <w:spacing w:after="120" w:before="0" w:line="340"/>
        <w:jc w:val="both"/>
      </w:pPr>
      <w:r>
        <w:rPr>
          <w:rFonts w:ascii="Times New Roman" w:eastAsia="標楷體"/>
          <w:b w:val="false"/>
          <w:bCs w:val="false"/>
          <w:sz w:val="22"/>
          <w:szCs w:val="22"/>
        </w:rPr>
        <w:t xml:space="preserve">（6）必須勘驗部分赴現場履勘並於申報勘驗文件簽名或蓋章；主管機關勘驗時在場說明</w:t>
      </w:r>
    </w:p>
    <w:p>
      <w:pPr>
        <w:spacing w:after="120" w:before="0" w:line="340"/>
        <w:jc w:val="both"/>
      </w:pPr>
      <w:r>
        <w:rPr>
          <w:rFonts w:ascii="Times New Roman" w:eastAsia="標楷體"/>
          <w:b w:val="false"/>
          <w:bCs w:val="false"/>
          <w:sz w:val="22"/>
          <w:szCs w:val="22"/>
        </w:rPr>
        <w:t xml:space="preserve">（7）指出專任工程人員為受聘之技師或建築師，並與工地主任職責區辨</w:t>
      </w:r>
    </w:p>
    <w:p>
      <w:pPr>
        <w:pStyle w:val="Heading2"/>
        <w:spacing w:after="140" w:before="240"/>
      </w:pPr>
      <w:r>
        <w:rPr>
          <w:rFonts w:ascii="Times New Roman" w:eastAsia="標楷體"/>
          <w:b/>
          <w:bCs/>
          <w:color w:val="1F3864"/>
          <w:sz w:val="26"/>
          <w:szCs w:val="26"/>
        </w:rPr>
        <w:t xml:space="preserve">二、題目（25 分）</w:t>
      </w:r>
    </w:p>
    <w:p>
      <w:pPr>
        <w:spacing w:after="120" w:before="0" w:line="340"/>
        <w:jc w:val="both"/>
      </w:pPr>
      <w:r>
        <w:rPr>
          <w:rFonts w:ascii="Times New Roman" w:eastAsia="標楷體"/>
          <w:b w:val="false"/>
          <w:bCs w:val="false"/>
          <w:sz w:val="24"/>
          <w:szCs w:val="24"/>
        </w:rPr>
        <w:t xml:space="preserve">依建築法第 58 條規定，建築物在施工中，主管建築機關發現有七項情事之一者，應以書面通知承造人或起造人或監造人，勒令停工或修改；必要時，得強制拆除。請列出七項情事中的五項。</w:t>
      </w:r>
    </w:p>
    <w:p>
      <w:pPr>
        <w:spacing w:after="120" w:before="0" w:line="340"/>
        <w:jc w:val="both"/>
      </w:pPr>
      <w:r>
        <w:rPr>
          <w:rFonts w:ascii="Times New Roman" w:eastAsia="標楷體"/>
          <w:b w:val="false"/>
          <w:bCs w:val="false"/>
          <w:color w:val="44546A"/>
          <w:sz w:val="22"/>
          <w:szCs w:val="22"/>
        </w:rPr>
        <w:t xml:space="preserve">【法源】建築法第 58 條；並涉第 61 條、第 93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建築法第 58 條規定，建築物在施工中，直轄市、縣（市）（局）主管建築機關認有必要時，得隨時加以勘驗，發現下列情事之一者，應以書面通知承造人或起造人或監造人，勒令停工或修改；必要時，得強制拆除。本條之處分對象為承造人、起造人或監造人，處分手段依序為停工、修改與強制拆除。</w:t>
      </w:r>
    </w:p>
    <w:p>
      <w:pPr>
        <w:spacing w:after="120" w:before="0" w:line="340"/>
        <w:jc w:val="both"/>
      </w:pPr>
      <w:r>
        <w:rPr>
          <w:rFonts w:ascii="Times New Roman" w:eastAsia="標楷體"/>
          <w:b w:val="false"/>
          <w:bCs w:val="false"/>
          <w:sz w:val="24"/>
          <w:szCs w:val="24"/>
        </w:rPr>
        <w:t xml:space="preserve">七款情事為：妨礙都市計畫者；妨礙區域計畫者；危害公共安全者；妨礙公共交通者；妨礙公共衛生者；主要構造或位置或高度或面積與核定工程圖樣及說明書不符者；違反本法其他規定或基於本法所發布之命令者。</w:t>
      </w:r>
    </w:p>
    <w:p>
      <w:pPr>
        <w:spacing w:after="120" w:before="0" w:line="340"/>
        <w:jc w:val="both"/>
      </w:pPr>
      <w:r>
        <w:rPr>
          <w:rFonts w:ascii="Times New Roman" w:eastAsia="標楷體"/>
          <w:b w:val="false"/>
          <w:bCs w:val="false"/>
          <w:sz w:val="24"/>
          <w:szCs w:val="24"/>
        </w:rPr>
        <w:t xml:space="preserve">七款可分為三個群組。第一群為計畫秩序之維護，即第一款妨礙都市計畫與第二款妨礙區域計畫；第二群為公共利益之保護，即第三款危害公共安全、第四款妨礙公共交通與第五款妨礙公共衛生；第三群為建築管理秩序之維護，即第六款與核定圖說不符與第七款概括違反規定。三個群組分別對應計畫法、公益維護與建築許可制度三個管制目的。</w:t>
      </w:r>
    </w:p>
    <w:p>
      <w:pPr>
        <w:spacing w:after="120" w:before="0" w:line="340"/>
        <w:jc w:val="both"/>
      </w:pPr>
      <w:r>
        <w:rPr>
          <w:rFonts w:ascii="Times New Roman" w:eastAsia="標楷體"/>
          <w:b w:val="false"/>
          <w:bCs w:val="false"/>
          <w:sz w:val="24"/>
          <w:szCs w:val="24"/>
        </w:rPr>
        <w:t xml:space="preserve">本條並有前後配套。第 61 條規定，建築物在施工中，如有第 58 條各款情事之一時，監造人應分別通知承造人及起造人修改，其未依照規定修改者，應即申報該管主管建築機關處理，使監造人成為公權力發動前之第一道防線。第 93 條規定，依本法規定勒令停工之建築物，非經許可不得擅自復工；未經許可擅自復工經制止不從者，除強制拆除其建築物或勒令恢復原狀外，處一年以下有期徒刑、拘役或科或併科三萬元以下罰金，賦予停工處分實效性。</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（1）指出第58條之發動要件與處分對象（隨時勘驗、書面通知承造人或起造人或監造人）</w:t>
      </w:r>
    </w:p>
    <w:p>
      <w:pPr>
        <w:spacing w:after="120" w:before="0" w:line="340"/>
        <w:jc w:val="both"/>
      </w:pPr>
      <w:r>
        <w:rPr>
          <w:rFonts w:ascii="Times New Roman" w:eastAsia="標楷體"/>
          <w:b w:val="false"/>
          <w:bCs w:val="false"/>
          <w:sz w:val="22"/>
          <w:szCs w:val="22"/>
        </w:rPr>
        <w:t xml:space="preserve">（2）妨礙都市計畫</w:t>
      </w:r>
    </w:p>
    <w:p>
      <w:pPr>
        <w:spacing w:after="120" w:before="0" w:line="340"/>
        <w:jc w:val="both"/>
      </w:pPr>
      <w:r>
        <w:rPr>
          <w:rFonts w:ascii="Times New Roman" w:eastAsia="標楷體"/>
          <w:b w:val="false"/>
          <w:bCs w:val="false"/>
          <w:sz w:val="22"/>
          <w:szCs w:val="22"/>
        </w:rPr>
        <w:t xml:space="preserve">（3）妨礙區域計畫</w:t>
      </w:r>
    </w:p>
    <w:p>
      <w:pPr>
        <w:spacing w:after="120" w:before="0" w:line="340"/>
        <w:jc w:val="both"/>
      </w:pPr>
      <w:r>
        <w:rPr>
          <w:rFonts w:ascii="Times New Roman" w:eastAsia="標楷體"/>
          <w:b w:val="false"/>
          <w:bCs w:val="false"/>
          <w:sz w:val="22"/>
          <w:szCs w:val="22"/>
        </w:rPr>
        <w:t xml:space="preserve">（4）危害公共安全</w:t>
      </w:r>
    </w:p>
    <w:p>
      <w:pPr>
        <w:spacing w:after="120" w:before="0" w:line="340"/>
        <w:jc w:val="both"/>
      </w:pPr>
      <w:r>
        <w:rPr>
          <w:rFonts w:ascii="Times New Roman" w:eastAsia="標楷體"/>
          <w:b w:val="false"/>
          <w:bCs w:val="false"/>
          <w:sz w:val="22"/>
          <w:szCs w:val="22"/>
        </w:rPr>
        <w:t xml:space="preserve">（5）妨礙公共交通、妨礙公共衛生</w:t>
      </w:r>
    </w:p>
    <w:p>
      <w:pPr>
        <w:spacing w:after="120" w:before="0" w:line="340"/>
        <w:jc w:val="both"/>
      </w:pPr>
      <w:r>
        <w:rPr>
          <w:rFonts w:ascii="Times New Roman" w:eastAsia="標楷體"/>
          <w:b w:val="false"/>
          <w:bCs w:val="false"/>
          <w:sz w:val="22"/>
          <w:szCs w:val="22"/>
        </w:rPr>
        <w:t xml:space="preserve">（6）主要構造或位置或高度或面積與核定工程圖樣及說明書不符</w:t>
      </w:r>
    </w:p>
    <w:p>
      <w:pPr>
        <w:spacing w:after="120" w:before="0" w:line="340"/>
        <w:jc w:val="both"/>
      </w:pPr>
      <w:r>
        <w:rPr>
          <w:rFonts w:ascii="Times New Roman" w:eastAsia="標楷體"/>
          <w:b w:val="false"/>
          <w:bCs w:val="false"/>
          <w:sz w:val="22"/>
          <w:szCs w:val="22"/>
        </w:rPr>
        <w:t xml:space="preserve">（7）三種處置手段：勒令停工、修改、必要時強制拆除</w:t>
      </w:r>
    </w:p>
    <w:p>
      <w:pPr>
        <w:pStyle w:val="Heading2"/>
        <w:spacing w:after="140" w:before="240"/>
      </w:pPr>
      <w:r>
        <w:rPr>
          <w:rFonts w:ascii="Times New Roman" w:eastAsia="標楷體"/>
          <w:b/>
          <w:bCs/>
          <w:color w:val="1F3864"/>
          <w:sz w:val="26"/>
          <w:szCs w:val="26"/>
        </w:rPr>
        <w:t xml:space="preserve">三、題目（25 分）</w:t>
      </w:r>
    </w:p>
    <w:p>
      <w:pPr>
        <w:spacing w:after="120" w:before="0" w:line="340"/>
        <w:jc w:val="both"/>
      </w:pPr>
      <w:r>
        <w:rPr>
          <w:rFonts w:ascii="Times New Roman" w:eastAsia="標楷體"/>
          <w:b w:val="false"/>
          <w:bCs w:val="false"/>
          <w:sz w:val="24"/>
          <w:szCs w:val="24"/>
        </w:rPr>
        <w:t xml:space="preserve">請解釋下列各綠建築名詞之意涵：（每小題 5 分，共 25 分）⑴綠化總固碳當量 ⑵基地保水指標 ⑶雨水貯留利用率 ⑷生活雜排水回收再利用率 ⑸綠建材</w:t>
      </w:r>
    </w:p>
    <w:p>
      <w:pPr>
        <w:spacing w:after="120" w:before="0" w:line="340"/>
        <w:jc w:val="both"/>
      </w:pPr>
      <w:r>
        <w:rPr>
          <w:rFonts w:ascii="Times New Roman" w:eastAsia="標楷體"/>
          <w:b w:val="false"/>
          <w:bCs w:val="false"/>
          <w:color w:val="44546A"/>
          <w:sz w:val="22"/>
          <w:szCs w:val="22"/>
        </w:rPr>
        <w:t xml:space="preserve">【法源】建築技術規則建築設計施工編第十七章「綠建築基準」第 299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本題五個名詞均為建築技術規則建築設計施工編第 299 條所定之綠建築用語，答題應直接引用條文定義，再補充其計算意義與規範功能。</w:t>
      </w:r>
    </w:p>
    <w:p>
      <w:pPr>
        <w:spacing w:after="120" w:before="0" w:line="340"/>
        <w:jc w:val="both"/>
      </w:pPr>
      <w:r>
        <w:rPr>
          <w:rFonts w:ascii="Times New Roman" w:eastAsia="標楷體"/>
          <w:b w:val="false"/>
          <w:bCs w:val="false"/>
          <w:sz w:val="24"/>
          <w:szCs w:val="24"/>
        </w:rPr>
        <w:t xml:space="preserve">綠化總固碳當量，依第 299 條第 1 款，指基地綠化栽植之各類植物固碳當量與其栽植面積乘積之總和。其意義在於將綠化量化為固碳能力，避免僅以綠地面積論斷綠化績效；喬木、灌木、草花之固碳當量不同，故同一面積之不同植栽配置，其綠化總固碳當量差異甚大。與之相關者為第 2 款最小綠化面積，指基地面積扣除執行綠化有困難之面積後，與基地內應保留法定空地比率之乘積。</w:t>
      </w:r>
    </w:p>
    <w:p>
      <w:pPr>
        <w:spacing w:after="120" w:before="0" w:line="340"/>
        <w:jc w:val="both"/>
      </w:pPr>
      <w:r>
        <w:rPr>
          <w:rFonts w:ascii="Times New Roman" w:eastAsia="標楷體"/>
          <w:b w:val="false"/>
          <w:bCs w:val="false"/>
          <w:sz w:val="24"/>
          <w:szCs w:val="24"/>
        </w:rPr>
        <w:t xml:space="preserve">基地保水指標，依第 3 款，指建築後之土地保水量與建築前自然土地之保水量之相對比值。其為相對值而非絕對值，衡量的是開發行為對基地涵養、貯留與滲透雨水功能之影響程度，指標愈高表示愈接近自然狀態，可減緩都市洪峰與熱島效應。</w:t>
      </w:r>
    </w:p>
    <w:p>
      <w:pPr>
        <w:spacing w:after="120" w:before="0" w:line="340"/>
        <w:jc w:val="both"/>
      </w:pPr>
      <w:r>
        <w:rPr>
          <w:rFonts w:ascii="Times New Roman" w:eastAsia="標楷體"/>
          <w:b w:val="false"/>
          <w:bCs w:val="false"/>
          <w:sz w:val="24"/>
          <w:szCs w:val="24"/>
        </w:rPr>
        <w:t xml:space="preserve">雨水貯留利用率，依第 10 款，指在建築基地內所設置之雨水貯留設施之雨水利用量與建築物總用水量之比例；生活雜排水回收再利用率，依第 11 款，指在建築基地內所設置之生活雜排水回收再利用設施之雜排水回收再利用量與建築物總生活雜排水量之比例。二者之分母不同，前者為建築物總用水量，後者為建築物總生活雜排水量，此為最常被混淆之處。綠建材，依第 12 款，指經中央主管建築機關認可符合生態性、再生性、環保性、健康性及高性能之建材。此定義與綠建材標章分為生態、健康、再生、高性能四類之制度相呼應。</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（1）綠化總固碳當量：各類植物固碳當量與其栽植面積乘積之總和</w:t>
      </w:r>
    </w:p>
    <w:p>
      <w:pPr>
        <w:spacing w:after="120" w:before="0" w:line="340"/>
        <w:jc w:val="both"/>
      </w:pPr>
      <w:r>
        <w:rPr>
          <w:rFonts w:ascii="Times New Roman" w:eastAsia="標楷體"/>
          <w:b w:val="false"/>
          <w:bCs w:val="false"/>
          <w:sz w:val="22"/>
          <w:szCs w:val="22"/>
        </w:rPr>
        <w:t xml:space="preserve">（2）基地保水指標：建築後土地保水量與建築前自然土地保水量之相對比值</w:t>
      </w:r>
    </w:p>
    <w:p>
      <w:pPr>
        <w:spacing w:after="120" w:before="0" w:line="340"/>
        <w:jc w:val="both"/>
      </w:pPr>
      <w:r>
        <w:rPr>
          <w:rFonts w:ascii="Times New Roman" w:eastAsia="標楷體"/>
          <w:b w:val="false"/>
          <w:bCs w:val="false"/>
          <w:sz w:val="22"/>
          <w:szCs w:val="22"/>
        </w:rPr>
        <w:t xml:space="preserve">（3）雨水貯留利用率：雨水利用量與建築物總用水量之比例</w:t>
      </w:r>
    </w:p>
    <w:p>
      <w:pPr>
        <w:spacing w:after="120" w:before="0" w:line="340"/>
        <w:jc w:val="both"/>
      </w:pPr>
      <w:r>
        <w:rPr>
          <w:rFonts w:ascii="Times New Roman" w:eastAsia="標楷體"/>
          <w:b w:val="false"/>
          <w:bCs w:val="false"/>
          <w:sz w:val="22"/>
          <w:szCs w:val="22"/>
        </w:rPr>
        <w:t xml:space="preserve">（4）生活雜排水回收再利用率：回收再利用量與建築物總生活雜排水量之比例</w:t>
      </w:r>
    </w:p>
    <w:p>
      <w:pPr>
        <w:spacing w:after="120" w:before="0" w:line="340"/>
        <w:jc w:val="both"/>
      </w:pPr>
      <w:r>
        <w:rPr>
          <w:rFonts w:ascii="Times New Roman" w:eastAsia="標楷體"/>
          <w:b w:val="false"/>
          <w:bCs w:val="false"/>
          <w:sz w:val="22"/>
          <w:szCs w:val="22"/>
        </w:rPr>
        <w:t xml:space="preserve">（5）綠建材：經中央主管建築機關認可符合生態性、再生性、環保性、健康性及高性能之建材</w:t>
      </w:r>
    </w:p>
    <w:p>
      <w:pPr>
        <w:spacing w:after="120" w:before="0" w:line="340"/>
        <w:jc w:val="both"/>
      </w:pPr>
      <w:r>
        <w:rPr>
          <w:rFonts w:ascii="Times New Roman" w:eastAsia="標楷體"/>
          <w:b w:val="false"/>
          <w:bCs w:val="false"/>
          <w:sz w:val="22"/>
          <w:szCs w:val="22"/>
        </w:rPr>
        <w:t xml:space="preserve">（6）指出五者均為建築技術規則建築設計施工編第299條之定義</w:t>
      </w:r>
    </w:p>
    <w:p>
      <w:pPr>
        <w:spacing w:after="120" w:before="0" w:line="340"/>
        <w:jc w:val="both"/>
      </w:pPr>
      <w:r>
        <w:rPr>
          <w:rFonts w:ascii="Times New Roman" w:eastAsia="標楷體"/>
          <w:b w:val="false"/>
          <w:bCs w:val="false"/>
          <w:sz w:val="22"/>
          <w:szCs w:val="22"/>
        </w:rPr>
        <w:t xml:space="preserve">（7）能說明各指標之規範功能或易混淆之處（如兩率之分母不同）</w:t>
      </w:r>
    </w:p>
    <w:p>
      <w:pPr>
        <w:pStyle w:val="Heading2"/>
        <w:spacing w:after="140" w:before="240"/>
      </w:pPr>
      <w:r>
        <w:rPr>
          <w:rFonts w:ascii="Times New Roman" w:eastAsia="標楷體"/>
          <w:b/>
          <w:bCs/>
          <w:color w:val="1F3864"/>
          <w:sz w:val="26"/>
          <w:szCs w:val="26"/>
        </w:rPr>
        <w:t xml:space="preserve">四、題目（25 分）</w:t>
      </w:r>
    </w:p>
    <w:p>
      <w:pPr>
        <w:spacing w:after="120" w:before="0" w:line="340"/>
        <w:jc w:val="both"/>
      </w:pPr>
      <w:r>
        <w:rPr>
          <w:rFonts w:ascii="Times New Roman" w:eastAsia="標楷體"/>
          <w:b w:val="false"/>
          <w:bCs w:val="false"/>
          <w:sz w:val="24"/>
          <w:szCs w:val="24"/>
        </w:rPr>
        <w:t xml:space="preserve">依政府採購法第 18 條規定，將採購的招標方式，分為公開招標、選擇性招標及限制性招標，請問此三種方法之定義為何？</w:t>
      </w:r>
    </w:p>
    <w:p>
      <w:pPr>
        <w:spacing w:after="120" w:before="0" w:line="340"/>
        <w:jc w:val="both"/>
      </w:pPr>
      <w:r>
        <w:rPr>
          <w:rFonts w:ascii="Times New Roman" w:eastAsia="標楷體"/>
          <w:b w:val="false"/>
          <w:bCs w:val="false"/>
          <w:color w:val="44546A"/>
          <w:sz w:val="22"/>
          <w:szCs w:val="22"/>
        </w:rPr>
        <w:t xml:space="preserve">【法源】政府採購法第 18 條；並涉第 19 條至第 22 條、第 42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政府採購法第 18 條第 1 項規定，採購之招標方式分為公開招標、選擇性招標及限制性招標三種。同條第 2 項至第 4 項分別定義之。</w:t>
      </w:r>
    </w:p>
    <w:p>
      <w:pPr>
        <w:spacing w:after="120" w:before="0" w:line="340"/>
        <w:jc w:val="both"/>
      </w:pPr>
      <w:r>
        <w:rPr>
          <w:rFonts w:ascii="Times New Roman" w:eastAsia="標楷體"/>
          <w:b w:val="false"/>
          <w:bCs w:val="false"/>
          <w:sz w:val="24"/>
          <w:szCs w:val="24"/>
        </w:rPr>
        <w:t xml:space="preserve">公開招標，指以公告方式邀請不特定廠商投標。其特徵為對象不特定、程序須公告，競爭性最高，故第 19 條規定機關辦理公告金額以上之採購，除依第 20 條及第 22 條辦理者外，應公開招標，是為原則規定。</w:t>
      </w:r>
    </w:p>
    <w:p>
      <w:pPr>
        <w:spacing w:after="120" w:before="0" w:line="340"/>
        <w:jc w:val="both"/>
      </w:pPr>
      <w:r>
        <w:rPr>
          <w:rFonts w:ascii="Times New Roman" w:eastAsia="標楷體"/>
          <w:b w:val="false"/>
          <w:bCs w:val="false"/>
          <w:sz w:val="24"/>
          <w:szCs w:val="24"/>
        </w:rPr>
        <w:t xml:space="preserve">選擇性招標，指以公告方式預先依一定資格條件辦理廠商資格審查後，再行邀請符合資格之廠商投標。其特徵為「先審資格、後邀投標」，仍須公告，但投標對象已限縮於通過資格審查者。第 20 條規定機關辦理公告金額以上之採購，符合經常性採購、投標文件審查須費時長久始能完成、廠商準備投標須高額費用、廠商資格條件複雜、研究發展事項等情形之一者，得採選擇性招標。</w:t>
      </w:r>
    </w:p>
    <w:p>
      <w:pPr>
        <w:spacing w:after="120" w:before="0" w:line="340"/>
        <w:jc w:val="both"/>
      </w:pPr>
      <w:r>
        <w:rPr>
          <w:rFonts w:ascii="Times New Roman" w:eastAsia="標楷體"/>
          <w:b w:val="false"/>
          <w:bCs w:val="false"/>
          <w:sz w:val="24"/>
          <w:szCs w:val="24"/>
        </w:rPr>
        <w:t xml:space="preserve">限制性招標，指不經公告程序，邀請二家以上廠商比價或僅邀請一家廠商議價。其特徵為不經公告，競爭性最低，故第 22 條以列舉方式嚴格限定其適用情形，共十六款，例如無廠商投標或無合格標、屬專屬權利或獨家製造供應、遇不可預見之緊急事故、原有採購之後續維修或擴充、委託專業服務技術服務資訊服務或社會福利服務經公開客觀評選為優勝者等。三種招標方式之選擇，實質上即為競爭性與效率性之權衡，並得依第 42 條就資格、規格與價格採取分段開標。</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（1）公開招標：以公告方式邀請不特定廠商投標</w:t>
      </w:r>
    </w:p>
    <w:p>
      <w:pPr>
        <w:spacing w:after="120" w:before="0" w:line="340"/>
        <w:jc w:val="both"/>
      </w:pPr>
      <w:r>
        <w:rPr>
          <w:rFonts w:ascii="Times New Roman" w:eastAsia="標楷體"/>
          <w:b w:val="false"/>
          <w:bCs w:val="false"/>
          <w:sz w:val="22"/>
          <w:szCs w:val="22"/>
        </w:rPr>
        <w:t xml:space="preserve">（2）選擇性招標：以公告方式預先依一定資格條件辦理廠商資格審查</w:t>
      </w:r>
    </w:p>
    <w:p>
      <w:pPr>
        <w:spacing w:after="120" w:before="0" w:line="340"/>
        <w:jc w:val="both"/>
      </w:pPr>
      <w:r>
        <w:rPr>
          <w:rFonts w:ascii="Times New Roman" w:eastAsia="標楷體"/>
          <w:b w:val="false"/>
          <w:bCs w:val="false"/>
          <w:sz w:val="22"/>
          <w:szCs w:val="22"/>
        </w:rPr>
        <w:t xml:space="preserve">（3）選擇性招標：再行邀請符合資格之廠商投標</w:t>
      </w:r>
    </w:p>
    <w:p>
      <w:pPr>
        <w:spacing w:after="120" w:before="0" w:line="340"/>
        <w:jc w:val="both"/>
      </w:pPr>
      <w:r>
        <w:rPr>
          <w:rFonts w:ascii="Times New Roman" w:eastAsia="標楷體"/>
          <w:b w:val="false"/>
          <w:bCs w:val="false"/>
          <w:sz w:val="22"/>
          <w:szCs w:val="22"/>
        </w:rPr>
        <w:t xml:space="preserve">（4）限制性招標：不經公告程序</w:t>
      </w:r>
    </w:p>
    <w:p>
      <w:pPr>
        <w:spacing w:after="120" w:before="0" w:line="340"/>
        <w:jc w:val="both"/>
      </w:pPr>
      <w:r>
        <w:rPr>
          <w:rFonts w:ascii="Times New Roman" w:eastAsia="標楷體"/>
          <w:b w:val="false"/>
          <w:bCs w:val="false"/>
          <w:sz w:val="22"/>
          <w:szCs w:val="22"/>
        </w:rPr>
        <w:t xml:space="preserve">（5）限制性招標：邀請二家以上廠商比價或僅邀請一家廠商議價</w:t>
      </w:r>
    </w:p>
    <w:p>
      <w:pPr>
        <w:spacing w:after="120" w:before="0" w:line="340"/>
        <w:jc w:val="both"/>
      </w:pPr>
      <w:r>
        <w:rPr>
          <w:rFonts w:ascii="Times New Roman" w:eastAsia="標楷體"/>
          <w:b w:val="false"/>
          <w:bCs w:val="false"/>
          <w:sz w:val="22"/>
          <w:szCs w:val="22"/>
        </w:rPr>
        <w:t xml:space="preserve">（6）指出三者規定於政府採購法第18條</w:t>
      </w:r>
    </w:p>
    <w:p>
      <w:pPr>
        <w:spacing w:after="120" w:before="0" w:line="340"/>
        <w:jc w:val="both"/>
      </w:pPr>
      <w:r>
        <w:rPr>
          <w:rFonts w:ascii="Times New Roman" w:eastAsia="標楷體"/>
          <w:b w:val="false"/>
          <w:bCs w:val="false"/>
          <w:sz w:val="22"/>
          <w:szCs w:val="22"/>
        </w:rPr>
        <w:t xml:space="preserve">（7）延伸：公開招標為原則（第19條），選擇性與限制性招標須符合第20條、第22條法定情形</w:t>
      </w:r>
    </w:p>
    <w:p>
      <w:r>
        <w:br w:type="page"/>
      </w:r>
    </w:p>
    <w:p>
      <w:pPr>
        <w:pStyle w:val="Heading1"/>
        <w:spacing w:after="140" w:before="400"/>
      </w:pPr>
      <w:r>
        <w:rPr>
          <w:rFonts w:ascii="Times New Roman" w:eastAsia="標楷體"/>
          <w:b/>
          <w:bCs/>
          <w:color w:val="1F3864"/>
          <w:sz w:val="28"/>
          <w:szCs w:val="28"/>
        </w:rPr>
        <w:t xml:space="preserve">111 年公務人員普通考試 建築工程 營建法規概要（試題代號 43550）</w:t>
      </w:r>
    </w:p>
    <w:p>
      <w:pPr>
        <w:pStyle w:val="Heading2"/>
        <w:spacing w:after="140" w:before="240"/>
      </w:pPr>
      <w:r>
        <w:rPr>
          <w:rFonts w:ascii="Times New Roman" w:eastAsia="標楷體"/>
          <w:b/>
          <w:bCs/>
          <w:color w:val="1F3864"/>
          <w:sz w:val="26"/>
          <w:szCs w:val="26"/>
        </w:rPr>
        <w:t xml:space="preserve">一、題目（25 分）</w:t>
      </w:r>
    </w:p>
    <w:p>
      <w:pPr>
        <w:spacing w:after="120" w:before="0" w:line="340"/>
        <w:jc w:val="both"/>
      </w:pPr>
      <w:r>
        <w:rPr>
          <w:rFonts w:ascii="Times New Roman" w:eastAsia="標楷體"/>
          <w:b w:val="false"/>
          <w:bCs w:val="false"/>
          <w:sz w:val="24"/>
          <w:szCs w:val="24"/>
        </w:rPr>
        <w:t xml:space="preserve">請依中央法規標準法、行政程序法、政府採購法及綠建築標章等規定，說明下列問題：⑴法律之廢止程序。（5 分）⑵行政機關行使裁量權之原則。（5 分）⑶政府辦理工程公開招標，得如何分段開標？（10 分）⑷列舉綠建築標章種類 3 種。（5 分）</w:t>
      </w:r>
    </w:p>
    <w:p>
      <w:pPr>
        <w:spacing w:after="120" w:before="0" w:line="340"/>
        <w:jc w:val="both"/>
      </w:pPr>
      <w:r>
        <w:rPr>
          <w:rFonts w:ascii="Times New Roman" w:eastAsia="標楷體"/>
          <w:b w:val="false"/>
          <w:bCs w:val="false"/>
          <w:color w:val="44546A"/>
          <w:sz w:val="22"/>
          <w:szCs w:val="22"/>
        </w:rPr>
        <w:t xml:space="preserve">【法源】中央法規標準法第 21 條、第 22 條；行政程序法第 10 條；政府採購法第 42 條；綠建築標章及建築能效標示申請審核認可及使用作業要點</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第一小題，法律之廢止程序。中央法規標準法第 21 條規定法規應廢止之四種情形：機關裁併，有關法規無保留之必要者；法規規定之事項已執行完畢，或因情勢變遷，無繼續施行之必要者；法規因有關法規之廢止或修正致失其依據，而無單獨施行之必要者；同一事項已定有新法規，並公布或發布施行者。第 22 條則規定廢止之程序與生效：法律之廢止應經立法院通過、總統公布；命令之廢止由原發布機關為之；依前二項程序廢止之法規，得僅公布或發布其名稱及施行日期，並自公布或發布之日起算至第三日起失效。應特別注意者為，法律之廢止採與制定相同之程序，且失效日為公布日起算至第三日，與一般法律自公布日施行之計算方式相同。</w:t>
      </w:r>
    </w:p>
    <w:p>
      <w:pPr>
        <w:spacing w:after="120" w:before="0" w:line="340"/>
        <w:jc w:val="both"/>
      </w:pPr>
      <w:r>
        <w:rPr>
          <w:rFonts w:ascii="Times New Roman" w:eastAsia="標楷體"/>
          <w:b w:val="false"/>
          <w:bCs w:val="false"/>
          <w:sz w:val="24"/>
          <w:szCs w:val="24"/>
        </w:rPr>
        <w:t xml:space="preserve">第二小題，行政機關行使裁量權之原則。行政程序法第 10 條規定，行政機關行使裁量權，不得逾越法定之裁量範圍，並應符合法規授權之目的。其內涵包含二個層次：外部界限，即不得逾越法定之裁量範圍，違反者構成裁量逾越；內部界限，即應符合法規授權之目的，違反者構成裁量濫用。此外裁量權之行使並須受行政程序法第 6 條平等原則、第 7 條比例原則之拘束；裁量收縮至零時，行政機關即無選擇餘地。</w:t>
      </w:r>
    </w:p>
    <w:p>
      <w:pPr>
        <w:spacing w:after="120" w:before="0" w:line="340"/>
        <w:jc w:val="both"/>
      </w:pPr>
      <w:r>
        <w:rPr>
          <w:rFonts w:ascii="Times New Roman" w:eastAsia="標楷體"/>
          <w:b w:val="false"/>
          <w:bCs w:val="false"/>
          <w:sz w:val="24"/>
          <w:szCs w:val="24"/>
        </w:rPr>
        <w:t xml:space="preserve">第三小題，分段開標。政府採購法第 42 條規定，機關辦理公開招標或選擇性招標，得就資格、規格與價格採取分段開標；機關辦理分段開標，除第一階段應公告外，後續階段之邀標，得免予公告。故分段開標僅適用於公開招標與選擇性招標，其分段之標的為資格、規格與價格三者，實務上常見二段式為「資格及規格」與「價格」，三段式為「資格」、「規格」、「價格」分別開標，其目的在於先確認廠商能力與技術可行性，再進行價格競爭，避免不具能力者以低價擾亂決標。</w:t>
      </w:r>
    </w:p>
    <w:p>
      <w:pPr>
        <w:spacing w:after="120" w:before="0" w:line="340"/>
        <w:jc w:val="both"/>
      </w:pPr>
      <w:r>
        <w:rPr>
          <w:rFonts w:ascii="Times New Roman" w:eastAsia="標楷體"/>
          <w:b w:val="false"/>
          <w:bCs w:val="false"/>
          <w:sz w:val="24"/>
          <w:szCs w:val="24"/>
        </w:rPr>
        <w:t xml:space="preserve">第四小題，綠建築標章種類。依綠建築標章及建築能效標示申請審核認可及使用作業要點，綠建築評估手冊依建築物類型分為基本型、住宿類、廠房類、舊建築改善類、社區類、既有建築類等版本，得列舉其中三種作答；若題意係指等級，則綠建築分級評估依序為合格級、銅級、銀級、黃金級、鑽石級五級，亦得列舉三種。答題時宜先說明係就評估類型或分級等級作答，以免文不對題。</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（1）法律之廢止應經立法院通過、總統公布；命令之廢止由原發布機關為之</w:t>
      </w:r>
    </w:p>
    <w:p>
      <w:pPr>
        <w:spacing w:after="120" w:before="0" w:line="340"/>
        <w:jc w:val="both"/>
      </w:pPr>
      <w:r>
        <w:rPr>
          <w:rFonts w:ascii="Times New Roman" w:eastAsia="標楷體"/>
          <w:b w:val="false"/>
          <w:bCs w:val="false"/>
          <w:sz w:val="22"/>
          <w:szCs w:val="22"/>
        </w:rPr>
        <w:t xml:space="preserve">（2）廢止之法規得僅公布或發布其名稱及施行日期，自公布或發布日起算至第三日起失效</w:t>
      </w:r>
    </w:p>
    <w:p>
      <w:pPr>
        <w:spacing w:after="120" w:before="0" w:line="340"/>
        <w:jc w:val="both"/>
      </w:pPr>
      <w:r>
        <w:rPr>
          <w:rFonts w:ascii="Times New Roman" w:eastAsia="標楷體"/>
          <w:b w:val="false"/>
          <w:bCs w:val="false"/>
          <w:sz w:val="22"/>
          <w:szCs w:val="22"/>
        </w:rPr>
        <w:t xml:space="preserve">（3）行使裁量權不得逾越法定之裁量範圍，並應符合法規授權之目的</w:t>
      </w:r>
    </w:p>
    <w:p>
      <w:pPr>
        <w:spacing w:after="120" w:before="0" w:line="340"/>
        <w:jc w:val="both"/>
      </w:pPr>
      <w:r>
        <w:rPr>
          <w:rFonts w:ascii="Times New Roman" w:eastAsia="標楷體"/>
          <w:b w:val="false"/>
          <w:bCs w:val="false"/>
          <w:sz w:val="22"/>
          <w:szCs w:val="22"/>
        </w:rPr>
        <w:t xml:space="preserve">（4）能補充裁量逾越與裁量濫用之區辨，或平等原則、比例原則之拘束</w:t>
      </w:r>
    </w:p>
    <w:p>
      <w:pPr>
        <w:spacing w:after="120" w:before="0" w:line="340"/>
        <w:jc w:val="both"/>
      </w:pPr>
      <w:r>
        <w:rPr>
          <w:rFonts w:ascii="Times New Roman" w:eastAsia="標楷體"/>
          <w:b w:val="false"/>
          <w:bCs w:val="false"/>
          <w:sz w:val="22"/>
          <w:szCs w:val="22"/>
        </w:rPr>
        <w:t xml:space="preserve">（5）分段開標：得就資格、規格與價格採取分段開標（政府採購法第42條）</w:t>
      </w:r>
    </w:p>
    <w:p>
      <w:pPr>
        <w:spacing w:after="120" w:before="0" w:line="340"/>
        <w:jc w:val="both"/>
      </w:pPr>
      <w:r>
        <w:rPr>
          <w:rFonts w:ascii="Times New Roman" w:eastAsia="標楷體"/>
          <w:b w:val="false"/>
          <w:bCs w:val="false"/>
          <w:sz w:val="22"/>
          <w:szCs w:val="22"/>
        </w:rPr>
        <w:t xml:space="preserve">（6）分段開標：除第一階段應公告外，後續階段之邀標得免予公告</w:t>
      </w:r>
    </w:p>
    <w:p>
      <w:pPr>
        <w:spacing w:after="120" w:before="0" w:line="340"/>
        <w:jc w:val="both"/>
      </w:pPr>
      <w:r>
        <w:rPr>
          <w:rFonts w:ascii="Times New Roman" w:eastAsia="標楷體"/>
          <w:b w:val="false"/>
          <w:bCs w:val="false"/>
          <w:sz w:val="22"/>
          <w:szCs w:val="22"/>
        </w:rPr>
        <w:t xml:space="preserve">（7）綠建築標章種類：舉出三種評估類型或三個分級等級</w:t>
      </w:r>
    </w:p>
    <w:p>
      <w:pPr>
        <w:pStyle w:val="Heading2"/>
        <w:spacing w:after="140" w:before="240"/>
      </w:pPr>
      <w:r>
        <w:rPr>
          <w:rFonts w:ascii="Times New Roman" w:eastAsia="標楷體"/>
          <w:b/>
          <w:bCs/>
          <w:color w:val="1F3864"/>
          <w:sz w:val="26"/>
          <w:szCs w:val="26"/>
        </w:rPr>
        <w:t xml:space="preserve">二、題目（25 分）</w:t>
      </w:r>
    </w:p>
    <w:p>
      <w:pPr>
        <w:spacing w:after="120" w:before="0" w:line="340"/>
        <w:jc w:val="both"/>
      </w:pPr>
      <w:r>
        <w:rPr>
          <w:rFonts w:ascii="Times New Roman" w:eastAsia="標楷體"/>
          <w:b w:val="false"/>
          <w:bCs w:val="false"/>
          <w:sz w:val="24"/>
          <w:szCs w:val="24"/>
        </w:rPr>
        <w:t xml:space="preserve">請依都市計畫法說明那些地方應擬訂市鎮計畫？並說明何謂主要計畫與細部計畫及其在實施都市計畫的功能？</w:t>
      </w:r>
    </w:p>
    <w:p>
      <w:pPr>
        <w:spacing w:after="120" w:before="0" w:line="340"/>
        <w:jc w:val="both"/>
      </w:pPr>
      <w:r>
        <w:rPr>
          <w:rFonts w:ascii="Times New Roman" w:eastAsia="標楷體"/>
          <w:b w:val="false"/>
          <w:bCs w:val="false"/>
          <w:color w:val="44546A"/>
          <w:sz w:val="22"/>
          <w:szCs w:val="22"/>
        </w:rPr>
        <w:t xml:space="preserve">【法源】都市計畫法第 10 條、第 11 條、第 15 條、第 22 條、第 23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應擬定市（鎮）計畫之地方，規定於都市計畫法第 10 條，共五款：首都、直轄市；省會、市；縣政府所在地及縣轄市；鎮；其他經內政部或縣（市）政府指定應依本法擬定市（鎮）計畫之地區。其判準為行政層級與都市化程度，前四款為法定當然應擬定者，第五款為指定應擬定者。答題時可一併指出第 11 條應擬定鄉街計畫之四款情形，即鄉公所所在地、人口集居五年前已達三千而在最近五年內已增加三分之一以上之地區、人口集居達三千而其中工商業人口占就業總人口百分之五十以上之地區、其他經縣政府指定之地區，以顯示市鎮計畫與鄉街計畫之分工。</w:t>
      </w:r>
    </w:p>
    <w:p>
      <w:pPr>
        <w:spacing w:after="120" w:before="0" w:line="340"/>
        <w:jc w:val="both"/>
      </w:pPr>
      <w:r>
        <w:rPr>
          <w:rFonts w:ascii="Times New Roman" w:eastAsia="標楷體"/>
          <w:b w:val="false"/>
          <w:bCs w:val="false"/>
          <w:sz w:val="24"/>
          <w:szCs w:val="24"/>
        </w:rPr>
        <w:t xml:space="preserve">主要計畫者，依第 15 條，市鎮計畫應先擬定主要計畫書，就當地自然社會及經濟狀況之調查與分析、行政區域及計畫地區範圍、人口之成長分布組成及計畫年期內人口與經濟發展之推計、住宅商業工業及其他土地使用之配置、名勝古蹟及具有紀念性或藝術價值應予保存之建築、主要道路及其他公眾運輸系統、主要上下水道系統、學校用地大型公園批發市場及供作全部計畫地區範圍使用之公共設施用地、實施進度及經費、其他應加表明之事項等分別表明之；主要計畫圖比例尺不得小於一萬分之一，實施進度以五年為一期，最長不得超過二十五年。</w:t>
      </w:r>
    </w:p>
    <w:p>
      <w:pPr>
        <w:spacing w:after="120" w:before="0" w:line="340"/>
        <w:jc w:val="both"/>
      </w:pPr>
      <w:r>
        <w:rPr>
          <w:rFonts w:ascii="Times New Roman" w:eastAsia="標楷體"/>
          <w:b w:val="false"/>
          <w:bCs w:val="false"/>
          <w:sz w:val="24"/>
          <w:szCs w:val="24"/>
        </w:rPr>
        <w:t xml:space="preserve">細部計畫者，依第 22 條，應以細部計畫書及細部計畫圖就計畫地區範圍、居住密度及容納人口、土地使用分區管制、事業及財務計畫、道路系統、地區性之公共設施用地及其他事項表明之；細部計畫圖比例尺不得小於一千二百分之一。</w:t>
      </w:r>
    </w:p>
    <w:p>
      <w:pPr>
        <w:spacing w:after="120" w:before="0" w:line="340"/>
        <w:jc w:val="both"/>
      </w:pPr>
      <w:r>
        <w:rPr>
          <w:rFonts w:ascii="Times New Roman" w:eastAsia="標楷體"/>
          <w:b w:val="false"/>
          <w:bCs w:val="false"/>
          <w:sz w:val="24"/>
          <w:szCs w:val="24"/>
        </w:rPr>
        <w:t xml:space="preserve">二者在實施都市計畫上之功能不同。主要計畫為原則性、政策性之計畫，處理的是計畫地區之整體發展方向、人口與經濟推計、主要公共設施與運輸系統之骨架，其比例尺較小、計畫年期較長，功能在於確立長期發展架構並作為細部計畫之上位指導。細部計畫為執行性、管制性之計畫，處理的是土地使用分區管制、道路系統與地區性公共設施之具體配置，其比例尺較大且須附具事業及財務計畫，功能在於作為建築管理之直接依據，即建蔽率、容積率、使用組別與建築線之核定基礎。就層級關係而言，細部計畫不得牴觸主要計畫，主要計畫亦須經細部計畫具體化後始能落實於個別土地。</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（1）應擬定市鎮計畫者：首都、直轄市；省會、市</w:t>
      </w:r>
    </w:p>
    <w:p>
      <w:pPr>
        <w:spacing w:after="120" w:before="0" w:line="340"/>
        <w:jc w:val="both"/>
      </w:pPr>
      <w:r>
        <w:rPr>
          <w:rFonts w:ascii="Times New Roman" w:eastAsia="標楷體"/>
          <w:b w:val="false"/>
          <w:bCs w:val="false"/>
          <w:sz w:val="22"/>
          <w:szCs w:val="22"/>
        </w:rPr>
        <w:t xml:space="preserve">（2）應擬定市鎮計畫者：縣政府所在地及縣轄市；鎮；其他經指定之地區</w:t>
      </w:r>
    </w:p>
    <w:p>
      <w:pPr>
        <w:spacing w:after="120" w:before="0" w:line="340"/>
        <w:jc w:val="both"/>
      </w:pPr>
      <w:r>
        <w:rPr>
          <w:rFonts w:ascii="Times New Roman" w:eastAsia="標楷體"/>
          <w:b w:val="false"/>
          <w:bCs w:val="false"/>
          <w:sz w:val="22"/>
          <w:szCs w:val="22"/>
        </w:rPr>
        <w:t xml:space="preserve">（3）主要計畫之定義與內容（第15條），比例尺不得小於一萬分之一</w:t>
      </w:r>
    </w:p>
    <w:p>
      <w:pPr>
        <w:spacing w:after="120" w:before="0" w:line="340"/>
        <w:jc w:val="both"/>
      </w:pPr>
      <w:r>
        <w:rPr>
          <w:rFonts w:ascii="Times New Roman" w:eastAsia="標楷體"/>
          <w:b w:val="false"/>
          <w:bCs w:val="false"/>
          <w:sz w:val="22"/>
          <w:szCs w:val="22"/>
        </w:rPr>
        <w:t xml:space="preserve">（4）主要計畫實施進度以五年為一期，最長不得超過二十五年</w:t>
      </w:r>
    </w:p>
    <w:p>
      <w:pPr>
        <w:spacing w:after="120" w:before="0" w:line="340"/>
        <w:jc w:val="both"/>
      </w:pPr>
      <w:r>
        <w:rPr>
          <w:rFonts w:ascii="Times New Roman" w:eastAsia="標楷體"/>
          <w:b w:val="false"/>
          <w:bCs w:val="false"/>
          <w:sz w:val="22"/>
          <w:szCs w:val="22"/>
        </w:rPr>
        <w:t xml:space="preserve">（5）細部計畫之定義與內容（第22條），比例尺不得小於一千二百分之一</w:t>
      </w:r>
    </w:p>
    <w:p>
      <w:pPr>
        <w:spacing w:after="120" w:before="0" w:line="340"/>
        <w:jc w:val="both"/>
      </w:pPr>
      <w:r>
        <w:rPr>
          <w:rFonts w:ascii="Times New Roman" w:eastAsia="標楷體"/>
          <w:b w:val="false"/>
          <w:bCs w:val="false"/>
          <w:sz w:val="22"/>
          <w:szCs w:val="22"/>
        </w:rPr>
        <w:t xml:space="preserve">（6）主要計畫之功能：原則性政策性，確立長期發展架構並指導細部計畫</w:t>
      </w:r>
    </w:p>
    <w:p>
      <w:pPr>
        <w:spacing w:after="120" w:before="0" w:line="340"/>
        <w:jc w:val="both"/>
      </w:pPr>
      <w:r>
        <w:rPr>
          <w:rFonts w:ascii="Times New Roman" w:eastAsia="標楷體"/>
          <w:b w:val="false"/>
          <w:bCs w:val="false"/>
          <w:sz w:val="22"/>
          <w:szCs w:val="22"/>
        </w:rPr>
        <w:t xml:space="preserve">（7）細部計畫之功能：執行性管制性，為建築管理與建蔽率容積率核定之直接依據</w:t>
      </w:r>
    </w:p>
    <w:p>
      <w:pPr>
        <w:pStyle w:val="Heading2"/>
        <w:spacing w:after="140" w:before="240"/>
      </w:pPr>
      <w:r>
        <w:rPr>
          <w:rFonts w:ascii="Times New Roman" w:eastAsia="標楷體"/>
          <w:b/>
          <w:bCs/>
          <w:color w:val="1F3864"/>
          <w:sz w:val="26"/>
          <w:szCs w:val="26"/>
        </w:rPr>
        <w:t xml:space="preserve">三、題目（25 分）</w:t>
      </w:r>
    </w:p>
    <w:p>
      <w:pPr>
        <w:spacing w:after="120" w:before="0" w:line="340"/>
        <w:jc w:val="both"/>
      </w:pPr>
      <w:r>
        <w:rPr>
          <w:rFonts w:ascii="Times New Roman" w:eastAsia="標楷體"/>
          <w:b w:val="false"/>
          <w:bCs w:val="false"/>
          <w:sz w:val="24"/>
          <w:szCs w:val="24"/>
        </w:rPr>
        <w:t xml:space="preserve">某建設公司擬自辦都市更新，興建一棟 15 層之辦公大樓，請依都市更新建築容積獎勵辦法及建築法規定，說明若取得黃金級綠建築候選證書可得到之容積獎勵，並說明該公司申請建造執照及使用執照應備具之文件。</w:t>
      </w:r>
    </w:p>
    <w:p>
      <w:pPr>
        <w:spacing w:after="120" w:before="0" w:line="340"/>
        <w:jc w:val="both"/>
      </w:pPr>
      <w:r>
        <w:rPr>
          <w:rFonts w:ascii="Times New Roman" w:eastAsia="標楷體"/>
          <w:b w:val="false"/>
          <w:bCs w:val="false"/>
          <w:color w:val="44546A"/>
          <w:sz w:val="22"/>
          <w:szCs w:val="22"/>
        </w:rPr>
        <w:t xml:space="preserve">【法源】都市更新建築容積獎勵辦法第 10 條；都市更新條例第 65 條；建築法第 30 條、第 32 條、第 71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就綠建築容積獎勵而言，依都市更新建築容積獎勵辦法第 10 條，取得候選綠建築證書者，依下列等級給予獎勵容積：鑽石級為基準容積百分之十；黃金級為基準容積百分之八；銀級為基準容積百分之六；銅級為基準容積百分之四；合格級為基準容積百分之二。各款獎勵容積不得累計申請。故本題所問取得黃金級綠建築候選證書者，可得基準容積百分之八之獎勵容積。若該基地基準容積為 X 平方公尺，則綠建築獎勵容積為 0.08X 平方公尺。</w:t>
      </w:r>
    </w:p>
    <w:p>
      <w:pPr>
        <w:spacing w:after="120" w:before="0" w:line="340"/>
        <w:jc w:val="both"/>
      </w:pPr>
      <w:r>
        <w:rPr>
          <w:rFonts w:ascii="Times New Roman" w:eastAsia="標楷體"/>
          <w:b w:val="false"/>
          <w:bCs w:val="false"/>
          <w:sz w:val="24"/>
          <w:szCs w:val="24"/>
        </w:rPr>
        <w:t xml:space="preserve">應注意兩項限制。其一，同條規定申請銅級或合格級獎勵容積者，以依都市更新條例第 7 條第 1 項第 3 款規定實施之都市更新事業，且面積未達五百平方公尺者為限；其二，綠建築等級於依都市計畫法第 85 條所定都市計畫法施行細則另有最低等級規定者，申請等級應高於該規定，始得給予獎勵容積。此外整體獎勵容積並受都市更新條例第 65 條第 1 項之總量管制，即獎勵後之建築容積原則不得超過各該建築基地一點五倍之基準容積，且不得超過都市計畫法第 85 條所定施行細則之規定。</w:t>
      </w:r>
    </w:p>
    <w:p>
      <w:pPr>
        <w:spacing w:after="120" w:before="0" w:line="340"/>
        <w:jc w:val="both"/>
      </w:pPr>
      <w:r>
        <w:rPr>
          <w:rFonts w:ascii="Times New Roman" w:eastAsia="標楷體"/>
          <w:b w:val="false"/>
          <w:bCs w:val="false"/>
          <w:sz w:val="24"/>
          <w:szCs w:val="24"/>
        </w:rPr>
        <w:t xml:space="preserve">就申請建造執照應備具之文件，依建築法第 30 條，起造人申請建造執照或雜項執照時，應備具申請書、土地權利證明文件、工程圖樣及說明書。申請書應載明之事項依第 31 條，包括起造人與設計人資料、建築地址、基地面積與建築面積及其百分比、建築物用途、工程概算、建築期限。工程圖樣及說明書應包括之內容依第 32 條，共八款：基地位置圖；地盤圖，其比例尺不得小於一千二百分之一；建築物之平面、立面、剖面圖，其比例尺不得小於二百分之一；建築物各部之尺寸構造及材料，其比例尺不得小於三十分之一；直轄市、縣（市）主管建築機關規定之必要結構計算書；直轄市、縣（市）主管建築機關規定之必要建築物設備圖說及設備計算書；新舊溝渠及出水方向；施工說明書。</w:t>
      </w:r>
    </w:p>
    <w:p>
      <w:pPr>
        <w:spacing w:after="120" w:before="0" w:line="340"/>
        <w:jc w:val="both"/>
      </w:pPr>
      <w:r>
        <w:rPr>
          <w:rFonts w:ascii="Times New Roman" w:eastAsia="標楷體"/>
          <w:b w:val="false"/>
          <w:bCs w:val="false"/>
          <w:sz w:val="24"/>
          <w:szCs w:val="24"/>
        </w:rPr>
        <w:t xml:space="preserve">就申請使用執照應備具之文件，依建築法第 70 條，建築工程完竣後應由起造人會同承造人及監造人申請使用執照；依第 71 條，申請使用執照應備具申請書，並檢附原領之建造執照，以及建築物竣工平面圖及立面圖；建築物與核定工程圖樣完全相符者，免附竣工平面圖及立面圖。另因本案為十五層辦公大樓，屬供公眾使用之建築物，依第 72 條申請使用執照時，主管建築機關應會同消防主管機關檢查其消防設備，合格後方得發給使用執照，此點不可遺漏。</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（1）黃金級候選綠建築證書之獎勵容積為基準容積百分之八</w:t>
      </w:r>
    </w:p>
    <w:p>
      <w:pPr>
        <w:spacing w:after="120" w:before="0" w:line="340"/>
        <w:jc w:val="both"/>
      </w:pPr>
      <w:r>
        <w:rPr>
          <w:rFonts w:ascii="Times New Roman" w:eastAsia="標楷體"/>
          <w:b w:val="false"/>
          <w:bCs w:val="false"/>
          <w:sz w:val="22"/>
          <w:szCs w:val="22"/>
        </w:rPr>
        <w:t xml:space="preserve">（2）能列出其他等級之獎勵比率（鑽石10%、銀6%、銅4%、合格2%）</w:t>
      </w:r>
    </w:p>
    <w:p>
      <w:pPr>
        <w:spacing w:after="120" w:before="0" w:line="340"/>
        <w:jc w:val="both"/>
      </w:pPr>
      <w:r>
        <w:rPr>
          <w:rFonts w:ascii="Times New Roman" w:eastAsia="標楷體"/>
          <w:b w:val="false"/>
          <w:bCs w:val="false"/>
          <w:sz w:val="22"/>
          <w:szCs w:val="22"/>
        </w:rPr>
        <w:t xml:space="preserve">（3）獎勵容積不得累計申請，並受都市更新條例第65條1.5倍基準容積之總量管制</w:t>
      </w:r>
    </w:p>
    <w:p>
      <w:pPr>
        <w:spacing w:after="120" w:before="0" w:line="340"/>
        <w:jc w:val="both"/>
      </w:pPr>
      <w:r>
        <w:rPr>
          <w:rFonts w:ascii="Times New Roman" w:eastAsia="標楷體"/>
          <w:b w:val="false"/>
          <w:bCs w:val="false"/>
          <w:sz w:val="22"/>
          <w:szCs w:val="22"/>
        </w:rPr>
        <w:t xml:space="preserve">（4）建造執照應備具申請書、土地權利證明文件、工程圖樣及說明書（第30條）</w:t>
      </w:r>
    </w:p>
    <w:p>
      <w:pPr>
        <w:spacing w:after="120" w:before="0" w:line="340"/>
        <w:jc w:val="both"/>
      </w:pPr>
      <w:r>
        <w:rPr>
          <w:rFonts w:ascii="Times New Roman" w:eastAsia="標楷體"/>
          <w:b w:val="false"/>
          <w:bCs w:val="false"/>
          <w:sz w:val="22"/>
          <w:szCs w:val="22"/>
        </w:rPr>
        <w:t xml:space="preserve">（5）工程圖樣及說明書之內容（第32條）：基地位置圖、地盤圖、平立剖面圖、結構計算書等</w:t>
      </w:r>
    </w:p>
    <w:p>
      <w:pPr>
        <w:spacing w:after="120" w:before="0" w:line="340"/>
        <w:jc w:val="both"/>
      </w:pPr>
      <w:r>
        <w:rPr>
          <w:rFonts w:ascii="Times New Roman" w:eastAsia="標楷體"/>
          <w:b w:val="false"/>
          <w:bCs w:val="false"/>
          <w:sz w:val="22"/>
          <w:szCs w:val="22"/>
        </w:rPr>
        <w:t xml:space="preserve">（6）使用執照應由起造人會同承造人及監造人申請，並檢附原領建造執照與竣工平面立面圖</w:t>
      </w:r>
    </w:p>
    <w:p>
      <w:pPr>
        <w:spacing w:after="120" w:before="0" w:line="340"/>
        <w:jc w:val="both"/>
      </w:pPr>
      <w:r>
        <w:rPr>
          <w:rFonts w:ascii="Times New Roman" w:eastAsia="標楷體"/>
          <w:b w:val="false"/>
          <w:bCs w:val="false"/>
          <w:sz w:val="22"/>
          <w:szCs w:val="22"/>
        </w:rPr>
        <w:t xml:space="preserve">（7）供公眾使用建築物申請使用執照應會同消防主管機關檢查消防設備</w:t>
      </w:r>
    </w:p>
    <w:p>
      <w:pPr>
        <w:pStyle w:val="Heading2"/>
        <w:spacing w:after="140" w:before="240"/>
      </w:pPr>
      <w:r>
        <w:rPr>
          <w:rFonts w:ascii="Times New Roman" w:eastAsia="標楷體"/>
          <w:b/>
          <w:bCs/>
          <w:color w:val="1F3864"/>
          <w:sz w:val="26"/>
          <w:szCs w:val="26"/>
        </w:rPr>
        <w:t xml:space="preserve">四、題目（25 分）</w:t>
      </w:r>
    </w:p>
    <w:p>
      <w:pPr>
        <w:spacing w:after="120" w:before="0" w:line="340"/>
        <w:jc w:val="both"/>
      </w:pPr>
      <w:r>
        <w:rPr>
          <w:rFonts w:ascii="Times New Roman" w:eastAsia="標楷體"/>
          <w:b w:val="false"/>
          <w:bCs w:val="false"/>
          <w:sz w:val="24"/>
          <w:szCs w:val="24"/>
        </w:rPr>
        <w:t xml:space="preserve">請依建築技術規則規定說明訂定建築技術規則之法律授權依據，並說明建築技術規則之適用範圍。</w:t>
      </w:r>
    </w:p>
    <w:p>
      <w:pPr>
        <w:spacing w:after="120" w:before="0" w:line="340"/>
        <w:jc w:val="both"/>
      </w:pPr>
      <w:r>
        <w:rPr>
          <w:rFonts w:ascii="Times New Roman" w:eastAsia="標楷體"/>
          <w:b w:val="false"/>
          <w:bCs w:val="false"/>
          <w:color w:val="44546A"/>
          <w:sz w:val="22"/>
          <w:szCs w:val="22"/>
        </w:rPr>
        <w:t xml:space="preserve">【法源】建築技術規則總則編第 1 條、第 2 條；建築法第 97 條、第 3 條、第 100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就法律授權依據而言，建築技術規則總則編第 1 條明定，本規則依建築法第 97 條規定訂之。建築法第 97 條規定，有關建築規劃、設計、施工、構造、設備之建築技術規則，由中央主管建築機關定之，並應落實建構兩性平權環境之政策。因此建築技術規則為依法律明確授權訂定之法規命令，其規範事項限於建築規劃、設計、施工、構造與設備五大領域，逾越此一範圍者即有違反授權明確性之疑慮。中央主管建築機關依建築法第 2 條為內政部。</w:t>
      </w:r>
    </w:p>
    <w:p>
      <w:pPr>
        <w:spacing w:after="120" w:before="0" w:line="340"/>
        <w:jc w:val="both"/>
      </w:pPr>
      <w:r>
        <w:rPr>
          <w:rFonts w:ascii="Times New Roman" w:eastAsia="標楷體"/>
          <w:b w:val="false"/>
          <w:bCs w:val="false"/>
          <w:sz w:val="24"/>
          <w:szCs w:val="24"/>
        </w:rPr>
        <w:t xml:space="preserve">就適用範圍而言，建築技術規則總則編第 2 條規定，本規則之適用範圍依本法第 3 條規定；但未實施都市計畫地區之供公眾使用與公有建築物，實施區域計畫地區及本法第 100 條規定之建築物，中央主管建築機關另有規定者，從其規定。</w:t>
      </w:r>
    </w:p>
    <w:p>
      <w:pPr>
        <w:spacing w:after="120" w:before="0" w:line="340"/>
        <w:jc w:val="both"/>
      </w:pPr>
      <w:r>
        <w:rPr>
          <w:rFonts w:ascii="Times New Roman" w:eastAsia="標楷體"/>
          <w:b w:val="false"/>
          <w:bCs w:val="false"/>
          <w:sz w:val="24"/>
          <w:szCs w:val="24"/>
        </w:rPr>
        <w:t xml:space="preserve">建築法第 3 條第 1 項所定適用地區為三：實施都市計畫地區；實施區域計畫地區；經內政部指定地區。第 2 項規定前項地區外供公眾使用及公有建築物，本法亦適用之。第 3 項並規定實施區域計畫地區之適用範圍、申請建築之審查許可、施工管理及使用管理等事項之辦法，由中央主管建築機關定之。故建築技術規則之適用範圍與建築法相同，係以地區為原則、以建築物性質為補充。</w:t>
      </w:r>
    </w:p>
    <w:p>
      <w:pPr>
        <w:spacing w:after="120" w:before="0" w:line="340"/>
        <w:jc w:val="both"/>
      </w:pPr>
      <w:r>
        <w:rPr>
          <w:rFonts w:ascii="Times New Roman" w:eastAsia="標楷體"/>
          <w:b w:val="false"/>
          <w:bCs w:val="false"/>
          <w:sz w:val="24"/>
          <w:szCs w:val="24"/>
        </w:rPr>
        <w:t xml:space="preserve">總則編第 2 條之但書具有重要實益。未實施都市計畫地區之供公眾使用與公有建築物、實施區域計畫地區，以及建築法第 100 條所定第 3 條適用地區以外之建築物，因其管理密度與都市地區不同，中央主管建築機關得另訂規定，從其規定。此外總則編第 3 條並設有性能設計之出口，防火及避難設施經申請認可者，得不適用建築設計施工編部分章節。答題時能同時說明原則、但書與性能設計三個層次，較能完整呈現建築技術規則之適用架構。</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（1）授權依據：建築技術規則總則編第1條依建築法第97條訂定</w:t>
      </w:r>
    </w:p>
    <w:p>
      <w:pPr>
        <w:spacing w:after="120" w:before="0" w:line="340"/>
        <w:jc w:val="both"/>
      </w:pPr>
      <w:r>
        <w:rPr>
          <w:rFonts w:ascii="Times New Roman" w:eastAsia="標楷體"/>
          <w:b w:val="false"/>
          <w:bCs w:val="false"/>
          <w:sz w:val="22"/>
          <w:szCs w:val="22"/>
        </w:rPr>
        <w:t xml:space="preserve">（2）建築法第97條之授權範圍：建築規劃、設計、施工、構造、設備</w:t>
      </w:r>
    </w:p>
    <w:p>
      <w:pPr>
        <w:spacing w:after="120" w:before="0" w:line="340"/>
        <w:jc w:val="both"/>
      </w:pPr>
      <w:r>
        <w:rPr>
          <w:rFonts w:ascii="Times New Roman" w:eastAsia="標楷體"/>
          <w:b w:val="false"/>
          <w:bCs w:val="false"/>
          <w:sz w:val="22"/>
          <w:szCs w:val="22"/>
        </w:rPr>
        <w:t xml:space="preserve">（3）性質為法規命令，由中央主管建築機關（內政部）定之</w:t>
      </w:r>
    </w:p>
    <w:p>
      <w:pPr>
        <w:spacing w:after="120" w:before="0" w:line="340"/>
        <w:jc w:val="both"/>
      </w:pPr>
      <w:r>
        <w:rPr>
          <w:rFonts w:ascii="Times New Roman" w:eastAsia="標楷體"/>
          <w:b w:val="false"/>
          <w:bCs w:val="false"/>
          <w:sz w:val="22"/>
          <w:szCs w:val="22"/>
        </w:rPr>
        <w:t xml:space="preserve">（4）適用範圍依建築法第3條：實施都市計畫地區、實施區域計畫地區、內政部指定地區</w:t>
      </w:r>
    </w:p>
    <w:p>
      <w:pPr>
        <w:spacing w:after="120" w:before="0" w:line="340"/>
        <w:jc w:val="both"/>
      </w:pPr>
      <w:r>
        <w:rPr>
          <w:rFonts w:ascii="Times New Roman" w:eastAsia="標楷體"/>
          <w:b w:val="false"/>
          <w:bCs w:val="false"/>
          <w:sz w:val="22"/>
          <w:szCs w:val="22"/>
        </w:rPr>
        <w:t xml:space="preserve">（5）地區外供公眾使用及公有建築物亦適用</w:t>
      </w:r>
    </w:p>
    <w:p>
      <w:pPr>
        <w:spacing w:after="120" w:before="0" w:line="340"/>
        <w:jc w:val="both"/>
      </w:pPr>
      <w:r>
        <w:rPr>
          <w:rFonts w:ascii="Times New Roman" w:eastAsia="標楷體"/>
          <w:b w:val="false"/>
          <w:bCs w:val="false"/>
          <w:sz w:val="22"/>
          <w:szCs w:val="22"/>
        </w:rPr>
        <w:t xml:space="preserve">（6）總則編第2條但書：另有規定者從其規定</w:t>
      </w:r>
    </w:p>
    <w:p>
      <w:pPr>
        <w:spacing w:after="120" w:before="0" w:line="340"/>
        <w:jc w:val="both"/>
      </w:pPr>
      <w:r>
        <w:rPr>
          <w:rFonts w:ascii="Times New Roman" w:eastAsia="標楷體"/>
          <w:b w:val="false"/>
          <w:bCs w:val="false"/>
          <w:sz w:val="22"/>
          <w:szCs w:val="22"/>
        </w:rPr>
        <w:t xml:space="preserve">（7）延伸：總則編第3條防火避難性能設計得申請認可而不適用部分規定</w:t>
      </w:r>
    </w:p>
    <w:p>
      <w:r>
        <w:br w:type="page"/>
      </w:r>
    </w:p>
    <w:p>
      <w:pPr>
        <w:pStyle w:val="Heading1"/>
        <w:spacing w:after="140" w:before="400"/>
      </w:pPr>
      <w:r>
        <w:rPr>
          <w:rFonts w:ascii="Times New Roman" w:eastAsia="標楷體"/>
          <w:b/>
          <w:bCs/>
          <w:color w:val="1F3864"/>
          <w:sz w:val="28"/>
          <w:szCs w:val="28"/>
        </w:rPr>
        <w:t xml:space="preserve">112 年公務人員普通考試 建築工程 營建法規概要（試題代號 43450）</w:t>
      </w:r>
    </w:p>
    <w:p>
      <w:pPr>
        <w:pStyle w:val="Heading2"/>
        <w:spacing w:after="140" w:before="240"/>
      </w:pPr>
      <w:r>
        <w:rPr>
          <w:rFonts w:ascii="Times New Roman" w:eastAsia="標楷體"/>
          <w:b/>
          <w:bCs/>
          <w:color w:val="1F3864"/>
          <w:sz w:val="26"/>
          <w:szCs w:val="26"/>
        </w:rPr>
        <w:t xml:space="preserve">一、題目（20 分）</w:t>
      </w:r>
    </w:p>
    <w:p>
      <w:pPr>
        <w:spacing w:after="120" w:before="0" w:line="340"/>
        <w:jc w:val="both"/>
      </w:pPr>
      <w:r>
        <w:rPr>
          <w:rFonts w:ascii="Times New Roman" w:eastAsia="標楷體"/>
          <w:b w:val="false"/>
          <w:bCs w:val="false"/>
          <w:sz w:val="24"/>
          <w:szCs w:val="24"/>
        </w:rPr>
        <w:t xml:space="preserve">請解釋下列名詞之意涵：（每小題 5 分，共 20 分）⑴一般通稱之「建築執照」，包括那幾類執照？⑵何謂社會住宅？⑶何謂都市更新？⑷建築法「供公眾使用之建築物」之定義為何？</w:t>
      </w:r>
    </w:p>
    <w:p>
      <w:pPr>
        <w:spacing w:after="120" w:before="0" w:line="340"/>
        <w:jc w:val="both"/>
      </w:pPr>
      <w:r>
        <w:rPr>
          <w:rFonts w:ascii="Times New Roman" w:eastAsia="標楷體"/>
          <w:b w:val="false"/>
          <w:bCs w:val="false"/>
          <w:color w:val="44546A"/>
          <w:sz w:val="22"/>
          <w:szCs w:val="22"/>
        </w:rPr>
        <w:t xml:space="preserve">【法源】建築法第 28 條、第 5 條；住宅法第 3 條第 2 款；都市更新條例第 3 條第 1 款</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第一小題，一般通稱之建築執照。依建築法第 28 條，建築執照分為四種：建造執照，建築物之新建、增建、改建及修建應請領；雜項執照，雜項工作物之建築應請領；使用執照，建築物建造完成後之使用或變更使用應請領；拆除執照，建築物之拆除應請領。四種執照對應建築物生命週期之不同階段，並依第 25 條，建築物非經申請主管建築機關之審查許可並發給執照，不得擅自建造或使用或拆除。</w:t>
      </w:r>
    </w:p>
    <w:p>
      <w:pPr>
        <w:spacing w:after="120" w:before="0" w:line="340"/>
        <w:jc w:val="both"/>
      </w:pPr>
      <w:r>
        <w:rPr>
          <w:rFonts w:ascii="Times New Roman" w:eastAsia="標楷體"/>
          <w:b w:val="false"/>
          <w:bCs w:val="false"/>
          <w:sz w:val="24"/>
          <w:szCs w:val="24"/>
        </w:rPr>
        <w:t xml:space="preserve">第二小題，社會住宅。依住宅法第 3 條第 2 款，社會住宅指由政府興辦或獎勵民間興辦，專供出租之用之住宅及其必要附屬設施。其構成要件有三：興辦主體為政府或受獎勵之民間；使用型態為專供出租，不得出售；標的包括住宅本體及其必要附屬設施。其政策核心在於「只租不售」，以維持長期存量並服務居住弱勢；興辦方式則依第 19 條，包括新建、利用公有建築物及其基地興辦、接受捐贈、購買建築物、包租代管等八款。</w:t>
      </w:r>
    </w:p>
    <w:p>
      <w:pPr>
        <w:spacing w:after="120" w:before="0" w:line="340"/>
        <w:jc w:val="both"/>
      </w:pPr>
      <w:r>
        <w:rPr>
          <w:rFonts w:ascii="Times New Roman" w:eastAsia="標楷體"/>
          <w:b w:val="false"/>
          <w:bCs w:val="false"/>
          <w:sz w:val="24"/>
          <w:szCs w:val="24"/>
        </w:rPr>
        <w:t xml:space="preserve">第三小題，都市更新。依都市更新條例第 3 條第 1 款，都市更新指依本條例所定程序，在都市計畫範圍內，實施重建、整建或維護措施。其要件有三：程序上須依都市更新條例所定程序；空間上須在都市計畫範圍內；手段上為重建、整建或維護三種措施之一或併用。三要件同時具備，始為法定之都市更新，此與一般語意上之舊建築改建有別。</w:t>
      </w:r>
    </w:p>
    <w:p>
      <w:pPr>
        <w:spacing w:after="120" w:before="0" w:line="340"/>
        <w:jc w:val="both"/>
      </w:pPr>
      <w:r>
        <w:rPr>
          <w:rFonts w:ascii="Times New Roman" w:eastAsia="標楷體"/>
          <w:b w:val="false"/>
          <w:bCs w:val="false"/>
          <w:sz w:val="24"/>
          <w:szCs w:val="24"/>
        </w:rPr>
        <w:t xml:space="preserve">第四小題，供公眾使用之建築物。依建築法第 5 條，係指供公眾工作、營業、居住、遊覽、娛樂及其他供公眾使用之建築物。其判準在於使用者為不特定多數人，而非建築物之所有權歸屬，故私有之百貨公司、電影院均屬之。其法律效果散見各條，包括第 33 條審查期限得延長至三十日、第 72 條申請使用執照應會同消防主管機關檢查消防設備、第 77 條第 3 項應定期委託專業機構或人員檢查簽證並申報、第 77 條之 2 室內裝修應申請審查許可等。</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（1）建築執照四種：建造、雜項、使用、拆除</w:t>
      </w:r>
    </w:p>
    <w:p>
      <w:pPr>
        <w:spacing w:after="120" w:before="0" w:line="340"/>
        <w:jc w:val="both"/>
      </w:pPr>
      <w:r>
        <w:rPr>
          <w:rFonts w:ascii="Times New Roman" w:eastAsia="標楷體"/>
          <w:b w:val="false"/>
          <w:bCs w:val="false"/>
          <w:sz w:val="22"/>
          <w:szCs w:val="22"/>
        </w:rPr>
        <w:t xml:space="preserve">（2）能說明四種執照各自對應之行為</w:t>
      </w:r>
    </w:p>
    <w:p>
      <w:pPr>
        <w:spacing w:after="120" w:before="0" w:line="340"/>
        <w:jc w:val="both"/>
      </w:pPr>
      <w:r>
        <w:rPr>
          <w:rFonts w:ascii="Times New Roman" w:eastAsia="標楷體"/>
          <w:b w:val="false"/>
          <w:bCs w:val="false"/>
          <w:sz w:val="22"/>
          <w:szCs w:val="22"/>
        </w:rPr>
        <w:t xml:space="preserve">（3）社會住宅：政府興辦或獎勵民間興辦，專供出租之用之住宅及其必要附屬設施</w:t>
      </w:r>
    </w:p>
    <w:p>
      <w:pPr>
        <w:spacing w:after="120" w:before="0" w:line="340"/>
        <w:jc w:val="both"/>
      </w:pPr>
      <w:r>
        <w:rPr>
          <w:rFonts w:ascii="Times New Roman" w:eastAsia="標楷體"/>
          <w:b w:val="false"/>
          <w:bCs w:val="false"/>
          <w:sz w:val="22"/>
          <w:szCs w:val="22"/>
        </w:rPr>
        <w:t xml:space="preserve">（4）都市更新：依本條例所定程序、在都市計畫範圍內、實施重建整建或維護措施</w:t>
      </w:r>
    </w:p>
    <w:p>
      <w:pPr>
        <w:spacing w:after="120" w:before="0" w:line="340"/>
        <w:jc w:val="both"/>
      </w:pPr>
      <w:r>
        <w:rPr>
          <w:rFonts w:ascii="Times New Roman" w:eastAsia="標楷體"/>
          <w:b w:val="false"/>
          <w:bCs w:val="false"/>
          <w:sz w:val="22"/>
          <w:szCs w:val="22"/>
        </w:rPr>
        <w:t xml:space="preserve">（5）供公眾使用之建築物：供公眾工作、營業、居住、遊覽、娛樂及其他供公眾使用</w:t>
      </w:r>
    </w:p>
    <w:p>
      <w:pPr>
        <w:spacing w:after="120" w:before="0" w:line="340"/>
        <w:jc w:val="both"/>
      </w:pPr>
      <w:r>
        <w:rPr>
          <w:rFonts w:ascii="Times New Roman" w:eastAsia="標楷體"/>
          <w:b w:val="false"/>
          <w:bCs w:val="false"/>
          <w:sz w:val="22"/>
          <w:szCs w:val="22"/>
        </w:rPr>
        <w:t xml:space="preserve">（6）能指出供公眾使用以使用者為不特定多數人為判準，與所有權歸屬無關</w:t>
      </w:r>
    </w:p>
    <w:p>
      <w:pPr>
        <w:spacing w:after="120" w:before="0" w:line="340"/>
        <w:jc w:val="both"/>
      </w:pPr>
      <w:r>
        <w:rPr>
          <w:rFonts w:ascii="Times New Roman" w:eastAsia="標楷體"/>
          <w:b w:val="false"/>
          <w:bCs w:val="false"/>
          <w:sz w:val="22"/>
          <w:szCs w:val="22"/>
        </w:rPr>
        <w:t xml:space="preserve">（7）能指出各名詞之法源條號</w:t>
      </w:r>
    </w:p>
    <w:p>
      <w:pPr>
        <w:pStyle w:val="Heading2"/>
        <w:spacing w:after="140" w:before="240"/>
      </w:pPr>
      <w:r>
        <w:rPr>
          <w:rFonts w:ascii="Times New Roman" w:eastAsia="標楷體"/>
          <w:b/>
          <w:bCs/>
          <w:color w:val="1F3864"/>
          <w:sz w:val="26"/>
          <w:szCs w:val="26"/>
        </w:rPr>
        <w:t xml:space="preserve">二、題目（25 分）</w:t>
      </w:r>
    </w:p>
    <w:p>
      <w:pPr>
        <w:spacing w:after="120" w:before="0" w:line="340"/>
        <w:jc w:val="both"/>
      </w:pPr>
      <w:r>
        <w:rPr>
          <w:rFonts w:ascii="Times New Roman" w:eastAsia="標楷體"/>
          <w:b w:val="false"/>
          <w:bCs w:val="false"/>
          <w:sz w:val="24"/>
          <w:szCs w:val="24"/>
        </w:rPr>
        <w:t xml:space="preserve">請說明綠建材標章制度，以及綠建材標章之四大範疇為何？</w:t>
      </w:r>
    </w:p>
    <w:p>
      <w:pPr>
        <w:spacing w:after="120" w:before="0" w:line="340"/>
        <w:jc w:val="both"/>
      </w:pPr>
      <w:r>
        <w:rPr>
          <w:rFonts w:ascii="Times New Roman" w:eastAsia="標楷體"/>
          <w:b w:val="false"/>
          <w:bCs w:val="false"/>
          <w:color w:val="44546A"/>
          <w:sz w:val="22"/>
          <w:szCs w:val="22"/>
        </w:rPr>
        <w:t xml:space="preserve">【法源】建築技術規則建築設計施工編第 299 條第 12 款；綠建材標章制度（內政部建築研究所建立，委由財團法人台灣建築中心受理評定）</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綠建材標章制度之法源脈絡如下。建築技術規則建築設計施工編第十七章綠建築基準將綠建材納入法定管制項目，第 298 條第 5 款規定綠建材之適用範圍為供公眾使用建築物及經內政部認定有必要之非供公眾使用建築物；第 299 條第 12 款定義綠建材為經中央主管建築機關認可符合生態性、再生性、環保性、健康性及高性能之建材；第 323 條並規定綠建材之使用率計算應依設計技術規範辦理，該規範由中央主管建築機關定之。制度運作上，由內政部建築研究所建立評定基準，委由財團法人台灣建築中心受理申請與評定，經內政部認可後核發綠建材標章。</w:t>
      </w:r>
    </w:p>
    <w:p>
      <w:pPr>
        <w:spacing w:after="120" w:before="0" w:line="340"/>
        <w:jc w:val="both"/>
      </w:pPr>
      <w:r>
        <w:rPr>
          <w:rFonts w:ascii="Times New Roman" w:eastAsia="標楷體"/>
          <w:b w:val="false"/>
          <w:bCs w:val="false"/>
          <w:sz w:val="24"/>
          <w:szCs w:val="24"/>
        </w:rPr>
        <w:t xml:space="preserve">制度設計之核心，在於將建材之環境與健康績效標準化並可驗證化。申請人檢具產品資料與檢測報告向評定專業機構申請，經評定通過後報請內政部認可；取得標章之產品得標示於產品與型錄，並納入綠建築評估系統之室內環境指標與廢棄物減量指標計分，形成「建材端認證」與「建築端評估」之連動。此外公有工程於採購時得優先或指定使用綠建材，藉政府採購帶動市場。</w:t>
      </w:r>
    </w:p>
    <w:p>
      <w:pPr>
        <w:spacing w:after="120" w:before="0" w:line="340"/>
        <w:jc w:val="both"/>
      </w:pPr>
      <w:r>
        <w:rPr>
          <w:rFonts w:ascii="Times New Roman" w:eastAsia="標楷體"/>
          <w:b w:val="false"/>
          <w:bCs w:val="false"/>
          <w:sz w:val="24"/>
          <w:szCs w:val="24"/>
        </w:rPr>
        <w:t xml:space="preserve">綠建材標章分為四大範疇。生態綠建材，強調抑制溫室效應、抑制臭氧層破壞、使用本土建築材料、省資源省能源，著眼於建材生產與運輸階段之環境負荷，例如使用本土木材與低耗能製程材料。健康綠建材，強調低逸散、低污染、低臭氣，著眼於使用階段對室內空氣品質與人體健康之影響，主要管制揮發性有機化合物與甲醛逸散量，是四類中與使用者關係最直接者。</w:t>
      </w:r>
    </w:p>
    <w:p>
      <w:pPr>
        <w:spacing w:after="120" w:before="0" w:line="340"/>
        <w:jc w:val="both"/>
      </w:pPr>
      <w:r>
        <w:rPr>
          <w:rFonts w:ascii="Times New Roman" w:eastAsia="標楷體"/>
          <w:b w:val="false"/>
          <w:bCs w:val="false"/>
          <w:sz w:val="24"/>
          <w:szCs w:val="24"/>
        </w:rPr>
        <w:t xml:space="preserve">再生綠建材，強調再循環、再利用、廢棄物減量，著眼於資源循環，係利用回收材料經再製而成之建材，例如再生粒料混凝土與再生木質板材。高性能綠建材，強調耐久性佳、不需維護、高隔熱、高防音，著眼於使用效能之提升，例如高性能節能玻璃、高隔音樓板材料與高透水鋪面材料。四類合觀，其邏輯是從建材生命週期的生產、使用、廢棄三個階段切入，再加上性能提升一項，構成完整的評估架構。</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（1）法源：建築技術規則建築設計施工編第299條第12款綠建材定義</w:t>
      </w:r>
    </w:p>
    <w:p>
      <w:pPr>
        <w:spacing w:after="120" w:before="0" w:line="340"/>
        <w:jc w:val="both"/>
      </w:pPr>
      <w:r>
        <w:rPr>
          <w:rFonts w:ascii="Times New Roman" w:eastAsia="標楷體"/>
          <w:b w:val="false"/>
          <w:bCs w:val="false"/>
          <w:sz w:val="22"/>
          <w:szCs w:val="22"/>
        </w:rPr>
        <w:t xml:space="preserve">（2）綠建材之法定性質：符合生態性、再生性、環保性、健康性及高性能</w:t>
      </w:r>
    </w:p>
    <w:p>
      <w:pPr>
        <w:spacing w:after="120" w:before="0" w:line="340"/>
        <w:jc w:val="both"/>
      </w:pPr>
      <w:r>
        <w:rPr>
          <w:rFonts w:ascii="Times New Roman" w:eastAsia="標楷體"/>
          <w:b w:val="false"/>
          <w:bCs w:val="false"/>
          <w:sz w:val="22"/>
          <w:szCs w:val="22"/>
        </w:rPr>
        <w:t xml:space="preserve">（3）制度運作：內政部建築研究所建立基準、台灣建築中心受理評定、內政部認可核發</w:t>
      </w:r>
    </w:p>
    <w:p>
      <w:pPr>
        <w:spacing w:after="120" w:before="0" w:line="340"/>
        <w:jc w:val="both"/>
      </w:pPr>
      <w:r>
        <w:rPr>
          <w:rFonts w:ascii="Times New Roman" w:eastAsia="標楷體"/>
          <w:b w:val="false"/>
          <w:bCs w:val="false"/>
          <w:sz w:val="22"/>
          <w:szCs w:val="22"/>
        </w:rPr>
        <w:t xml:space="preserve">（4）生態綠建材：抑制溫室效應、使用本土建築材料、省資源省能源</w:t>
      </w:r>
    </w:p>
    <w:p>
      <w:pPr>
        <w:spacing w:after="120" w:before="0" w:line="340"/>
        <w:jc w:val="both"/>
      </w:pPr>
      <w:r>
        <w:rPr>
          <w:rFonts w:ascii="Times New Roman" w:eastAsia="標楷體"/>
          <w:b w:val="false"/>
          <w:bCs w:val="false"/>
          <w:sz w:val="22"/>
          <w:szCs w:val="22"/>
        </w:rPr>
        <w:t xml:space="preserve">（5）健康綠建材：低逸散、低污染、低臭氣，管制揮發性有機化合物與甲醛</w:t>
      </w:r>
    </w:p>
    <w:p>
      <w:pPr>
        <w:spacing w:after="120" w:before="0" w:line="340"/>
        <w:jc w:val="both"/>
      </w:pPr>
      <w:r>
        <w:rPr>
          <w:rFonts w:ascii="Times New Roman" w:eastAsia="標楷體"/>
          <w:b w:val="false"/>
          <w:bCs w:val="false"/>
          <w:sz w:val="22"/>
          <w:szCs w:val="22"/>
        </w:rPr>
        <w:t xml:space="preserve">（6）再生綠建材：再循環、再利用、廢棄物減量</w:t>
      </w:r>
    </w:p>
    <w:p>
      <w:pPr>
        <w:spacing w:after="120" w:before="0" w:line="340"/>
        <w:jc w:val="both"/>
      </w:pPr>
      <w:r>
        <w:rPr>
          <w:rFonts w:ascii="Times New Roman" w:eastAsia="標楷體"/>
          <w:b w:val="false"/>
          <w:bCs w:val="false"/>
          <w:sz w:val="22"/>
          <w:szCs w:val="22"/>
        </w:rPr>
        <w:t xml:space="preserve">（7）高性能綠建材：耐久性佳、不需維護、高隔熱、高防音</w:t>
      </w:r>
    </w:p>
    <w:p>
      <w:pPr>
        <w:pStyle w:val="Heading2"/>
        <w:spacing w:after="140" w:before="240"/>
      </w:pPr>
      <w:r>
        <w:rPr>
          <w:rFonts w:ascii="Times New Roman" w:eastAsia="標楷體"/>
          <w:b/>
          <w:bCs/>
          <w:color w:val="1F3864"/>
          <w:sz w:val="26"/>
          <w:szCs w:val="26"/>
        </w:rPr>
        <w:t xml:space="preserve">三、題目（25 分）</w:t>
      </w:r>
    </w:p>
    <w:p>
      <w:pPr>
        <w:spacing w:after="120" w:before="0" w:line="340"/>
        <w:jc w:val="both"/>
      </w:pPr>
      <w:r>
        <w:rPr>
          <w:rFonts w:ascii="Times New Roman" w:eastAsia="標楷體"/>
          <w:b w:val="false"/>
          <w:bCs w:val="false"/>
          <w:sz w:val="24"/>
          <w:szCs w:val="24"/>
        </w:rPr>
        <w:t xml:space="preserve">請說明「綠建築評估系統」之評估重點為何？實施綠建築所欲達成之具體效益有何數據指標？</w:t>
      </w:r>
    </w:p>
    <w:p>
      <w:pPr>
        <w:spacing w:after="120" w:before="0" w:line="340"/>
        <w:jc w:val="both"/>
      </w:pPr>
      <w:r>
        <w:rPr>
          <w:rFonts w:ascii="Times New Roman" w:eastAsia="標楷體"/>
          <w:b w:val="false"/>
          <w:bCs w:val="false"/>
          <w:color w:val="44546A"/>
          <w:sz w:val="22"/>
          <w:szCs w:val="22"/>
        </w:rPr>
        <w:t xml:space="preserve">【法源】綠建築評估系統 EEWH（內政部建築研究所）；建築技術規則建築設計施工編第十七章綠建築基準第 298 條、第 299 條、第 323 條；綠建築標章及建築能效標示申請審核認可及使用作業要點</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綠建築評估系統之評估重點，在於以四大範疇統攝九大指標，就建築物全生命週期之環境負荷進行量化評估。四大範疇為生態、節能、減廢、健康。生態範疇包含生物多樣性指標、綠化量指標與基地保水指標，評估重點為基地環境之生態承載與水文循環；節能範疇為日常節能指標，評估重點為建築外殼、空調系統與照明系統之耗能；減廢範疇包含二氧化碳減量指標與廢棄物減量指標，評估重點為建材生產與施工階段之碳排與營建廢棄物；健康範疇包含室內環境指標、水資源指標與污水垃圾改善指標，評估重點為使用階段之室內環境品質與水資源循環。</w:t>
      </w:r>
    </w:p>
    <w:p>
      <w:pPr>
        <w:spacing w:after="120" w:before="0" w:line="340"/>
        <w:jc w:val="both"/>
      </w:pPr>
      <w:r>
        <w:rPr>
          <w:rFonts w:ascii="Times New Roman" w:eastAsia="標楷體"/>
          <w:b w:val="false"/>
          <w:bCs w:val="false"/>
          <w:sz w:val="24"/>
          <w:szCs w:val="24"/>
        </w:rPr>
        <w:t xml:space="preserve">評估之另一重點在於分級與門檻。依綠建築標章相關作業要點，綠建築分級評估依序為合格級、銅級、銀級、黃金級、鑽石級五級；取得建造執照而尚在施工階段者取得候選綠建築證書，取得使用執照後始得申請綠建築標章。此外並須注意法定門檻與標章分級之區別：建築技術規則第十七章綠建築基準所定者為強制性最低門檻，適用範圍依第 298 條為建築基地綠化、建築基地保水、建築物節約能源、建築物雨水或生活雜排水回收再利用、綠建材五項；標章分級則為自願性之上位獎勵制度。</w:t>
      </w:r>
    </w:p>
    <w:p>
      <w:pPr>
        <w:spacing w:after="120" w:before="0" w:line="340"/>
        <w:jc w:val="both"/>
      </w:pPr>
      <w:r>
        <w:rPr>
          <w:rFonts w:ascii="Times New Roman" w:eastAsia="標楷體"/>
          <w:b w:val="false"/>
          <w:bCs w:val="false"/>
          <w:sz w:val="24"/>
          <w:szCs w:val="24"/>
        </w:rPr>
        <w:t xml:space="preserve">就具體效益之數據指標而言，九大指標均以可計算之量化式表達，此為本評估系統最重要之特徵。依建築技術規則第 299 條，綠化績效以綠化總固碳當量計算，即各類植物固碳當量與其栽植面積乘積之總和；保水績效以基地保水指標計算，即建築後土地保水量與建築前自然土地保水量之相對比值；外殼節能績效以建築物外殼耗能量、外殼等價開窗率、平均熱傳透率、窗面平均日射取得量、平均立面開窗率等量化；水資源循環績效以雨水貯留利用率及生活雜排水回收再利用率計算；綠建材績效則依第 323 條以綠建材使用率計算，其計算方式依設計技術規範辦理。</w:t>
      </w:r>
    </w:p>
    <w:p>
      <w:pPr>
        <w:spacing w:after="120" w:before="0" w:line="340"/>
        <w:jc w:val="both"/>
      </w:pPr>
      <w:r>
        <w:rPr>
          <w:rFonts w:ascii="Times New Roman" w:eastAsia="標楷體"/>
          <w:b w:val="false"/>
          <w:bCs w:val="false"/>
          <w:sz w:val="24"/>
          <w:szCs w:val="24"/>
        </w:rPr>
        <w:t xml:space="preserve">答題時應避免直接引述未經查證之百分比數字。正確的作答策略是說明各指標之量化定義與計算基礎，並指出達成效益之方向：綠化與保水指標改善都市熱島與逕流洪峰，日常節能指標降低空調與照明耗電，二氧化碳減量指標降低建材生產階段之碳排，水資源與雨水回收指標降低自來水使用量，室內環境指標改善通風採光與音環境。若題目要求具體數值，應以所引用之綠建築評估手冊版本為準，並註明版本。</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（1）評估重點：以四大範疇統攝九大指標，評估建築物全生命週期環境負荷</w:t>
      </w:r>
    </w:p>
    <w:p>
      <w:pPr>
        <w:spacing w:after="120" w:before="0" w:line="340"/>
        <w:jc w:val="both"/>
      </w:pPr>
      <w:r>
        <w:rPr>
          <w:rFonts w:ascii="Times New Roman" w:eastAsia="標楷體"/>
          <w:b w:val="false"/>
          <w:bCs w:val="false"/>
          <w:sz w:val="22"/>
          <w:szCs w:val="22"/>
        </w:rPr>
        <w:t xml:space="preserve">（2）四大範疇：生態、節能、減廢、健康</w:t>
      </w:r>
    </w:p>
    <w:p>
      <w:pPr>
        <w:spacing w:after="120" w:before="0" w:line="340"/>
        <w:jc w:val="both"/>
      </w:pPr>
      <w:r>
        <w:rPr>
          <w:rFonts w:ascii="Times New Roman" w:eastAsia="標楷體"/>
          <w:b w:val="false"/>
          <w:bCs w:val="false"/>
          <w:sz w:val="22"/>
          <w:szCs w:val="22"/>
        </w:rPr>
        <w:t xml:space="preserve">（3）九大指標名稱</w:t>
      </w:r>
    </w:p>
    <w:p>
      <w:pPr>
        <w:spacing w:after="120" w:before="0" w:line="340"/>
        <w:jc w:val="both"/>
      </w:pPr>
      <w:r>
        <w:rPr>
          <w:rFonts w:ascii="Times New Roman" w:eastAsia="標楷體"/>
          <w:b w:val="false"/>
          <w:bCs w:val="false"/>
          <w:sz w:val="22"/>
          <w:szCs w:val="22"/>
        </w:rPr>
        <w:t xml:space="preserve">（4）分級：合格級、銅級、銀級、黃金級、鑽石級；候選證書與標章之區別</w:t>
      </w:r>
    </w:p>
    <w:p>
      <w:pPr>
        <w:spacing w:after="120" w:before="0" w:line="340"/>
        <w:jc w:val="both"/>
      </w:pPr>
      <w:r>
        <w:rPr>
          <w:rFonts w:ascii="Times New Roman" w:eastAsia="標楷體"/>
          <w:b w:val="false"/>
          <w:bCs w:val="false"/>
          <w:sz w:val="22"/>
          <w:szCs w:val="22"/>
        </w:rPr>
        <w:t xml:space="preserve">（5）法定門檻：建築技術規則第十七章綠建築基準五項適用範圍</w:t>
      </w:r>
    </w:p>
    <w:p>
      <w:pPr>
        <w:spacing w:after="120" w:before="0" w:line="340"/>
        <w:jc w:val="both"/>
      </w:pPr>
      <w:r>
        <w:rPr>
          <w:rFonts w:ascii="Times New Roman" w:eastAsia="標楷體"/>
          <w:b w:val="false"/>
          <w:bCs w:val="false"/>
          <w:sz w:val="22"/>
          <w:szCs w:val="22"/>
        </w:rPr>
        <w:t xml:space="preserve">（6）數據指標：綠化總固碳當量、基地保水指標、建築物外殼耗能量</w:t>
      </w:r>
    </w:p>
    <w:p>
      <w:pPr>
        <w:spacing w:after="120" w:before="0" w:line="340"/>
        <w:jc w:val="both"/>
      </w:pPr>
      <w:r>
        <w:rPr>
          <w:rFonts w:ascii="Times New Roman" w:eastAsia="標楷體"/>
          <w:b w:val="false"/>
          <w:bCs w:val="false"/>
          <w:sz w:val="22"/>
          <w:szCs w:val="22"/>
        </w:rPr>
        <w:t xml:space="preserve">（7）數據指標：雨水貯留利用率、生活雜排水回收再利用率、綠建材使用率</w:t>
      </w:r>
    </w:p>
    <w:p>
      <w:pPr>
        <w:pStyle w:val="Heading2"/>
        <w:spacing w:after="140" w:before="240"/>
      </w:pPr>
      <w:r>
        <w:rPr>
          <w:rFonts w:ascii="Times New Roman" w:eastAsia="標楷體"/>
          <w:b/>
          <w:bCs/>
          <w:color w:val="1F3864"/>
          <w:sz w:val="26"/>
          <w:szCs w:val="26"/>
        </w:rPr>
        <w:t xml:space="preserve">四、題目（30 分）</w:t>
      </w:r>
    </w:p>
    <w:p>
      <w:pPr>
        <w:spacing w:after="120" w:before="0" w:line="340"/>
        <w:jc w:val="both"/>
      </w:pPr>
      <w:r>
        <w:rPr>
          <w:rFonts w:ascii="Times New Roman" w:eastAsia="標楷體"/>
          <w:b w:val="false"/>
          <w:bCs w:val="false"/>
          <w:sz w:val="24"/>
          <w:szCs w:val="24"/>
        </w:rPr>
        <w:t xml:space="preserve">近年都會區建築工程常因基地開挖造成鄰近道路塌陷，此即媒體所稱之「天坑」，致影響公共安全。請說明建築法對於此種建築行為有何防範性管理規定？若經查係因工地擋土設施破損，導致基地外地下水挾帶沙土，經由擋土設施破損處沖入基地內所致，主管機關應如何處分？</w:t>
      </w:r>
    </w:p>
    <w:p>
      <w:pPr>
        <w:spacing w:after="120" w:before="0" w:line="340"/>
        <w:jc w:val="both"/>
      </w:pPr>
      <w:r>
        <w:rPr>
          <w:rFonts w:ascii="Times New Roman" w:eastAsia="標楷體"/>
          <w:b w:val="false"/>
          <w:bCs w:val="false"/>
          <w:color w:val="44546A"/>
          <w:sz w:val="22"/>
          <w:szCs w:val="22"/>
        </w:rPr>
        <w:t xml:space="preserve">【法源】建築法第 58 條、第 63 條、第 69 條、第 89 條、第 93 條；建築技術規則建築設計施工編第 62 條之相關開挖規定（本題答案就建築法防範性管理與處分規定作答）</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所謂天坑，係建築工程基地開挖時因擋土失敗或地下水挾帶土砂流失，導致基地外之道路或鄰地發生沉陷或塌陷之現象。建築法對此設有事前預防、事中監督與事後處分之三層次管理規定。</w:t>
      </w:r>
    </w:p>
    <w:p>
      <w:pPr>
        <w:spacing w:after="120" w:before="0" w:line="340"/>
        <w:jc w:val="both"/>
      </w:pPr>
      <w:r>
        <w:rPr>
          <w:rFonts w:ascii="Times New Roman" w:eastAsia="標楷體"/>
          <w:b w:val="false"/>
          <w:bCs w:val="false"/>
          <w:sz w:val="24"/>
          <w:szCs w:val="24"/>
        </w:rPr>
        <w:t xml:space="preserve">事前預防方面，最直接者為第 69 條。該條規定，建築物在施工中，鄰接其他建築物施行挖土工程時，對該鄰接建築物應視需要作防護其傾斜或倒壞之措施；挖土深度在一公尺半以上者，其防護措施之設計圖樣及說明書，應於申請建造執照或雜項執照時一併送審。此一規定將鄰房保護提前至許可階段審查，而非留待施工中處理，是防範天坑最核心的條文。其次為第 63 條，建築物施工場所應有維護安全、防範危險及預防火災之適當設備或措施；第 68 條並規定承造人在建築物施工中不得損及道路、溝渠等公共設施，必須損壞時應先申報各該主管機關核准，並規定施工期間之維護標準與責任及損壞原因消失後之修復責任與期限，損壞部分應在損壞原因消失後即予修復。</w:t>
      </w:r>
    </w:p>
    <w:p>
      <w:pPr>
        <w:spacing w:after="120" w:before="0" w:line="340"/>
        <w:jc w:val="both"/>
      </w:pPr>
      <w:r>
        <w:rPr>
          <w:rFonts w:ascii="Times New Roman" w:eastAsia="標楷體"/>
          <w:b w:val="false"/>
          <w:bCs w:val="false"/>
          <w:sz w:val="24"/>
          <w:szCs w:val="24"/>
        </w:rPr>
        <w:t xml:space="preserve">事中監督方面，第 56 條規定建築工程必須勘驗部分應由承造人會同監造人按時申報後方得繼續施工，主管建築機關並得隨時勘驗；第 60 條規定建築物由監造人負責監造，並就承造人未按核准圖說施工而監造人認為合格之情形，明定由承造人負賠償責任，承造人之專任工程人員及監造人負連帶責任；第 61 條規定監造人發現第 58 條各款情事時應通知修改並申報主管建築機關處理。</w:t>
      </w:r>
    </w:p>
    <w:p>
      <w:pPr>
        <w:spacing w:after="120" w:before="0" w:line="340"/>
        <w:jc w:val="both"/>
      </w:pPr>
      <w:r>
        <w:rPr>
          <w:rFonts w:ascii="Times New Roman" w:eastAsia="標楷體"/>
          <w:b w:val="false"/>
          <w:bCs w:val="false"/>
          <w:sz w:val="24"/>
          <w:szCs w:val="24"/>
        </w:rPr>
        <w:t xml:space="preserve">事後處分方面，本題所設情形係因工地擋土設施破損，導致基地外地下水挾帶沙土沖入基地內所致，屬第 58 條第三款危害公共安全、第四款妨礙公共交通之情形，主管建築機關應以書面通知承造人或起造人或監造人，勒令停工或修改，必要時得強制拆除。同時，因擋土設施破損係違反第 63 條施工場所安全維護義務並損及道路而違反第 68 條，依第 89 條，違反第 63 條至第 69 條及第 84 條各條規定之一者，除勒令停工外，並各處承造人、監造人或拆除人六千元以上三萬元以下罰鍰，其起造人亦有責任時，得處以相同金額之罰鍰。停工後如未經許可擅自復工，依第 93 條處一年以下有期徒刑、拘役或科或併科三萬元以下罰金。至於對鄰地與道路之損害賠償，則另依民法侵權行為與第 26 條第 2 項之規定處理。</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（1）第69條：鄰接建築物挖土應作防護措施，挖土深度1.5公尺以上者設計圖說應於申請執照時一併送審</w:t>
      </w:r>
    </w:p>
    <w:p>
      <w:pPr>
        <w:spacing w:after="120" w:before="0" w:line="340"/>
        <w:jc w:val="both"/>
      </w:pPr>
      <w:r>
        <w:rPr>
          <w:rFonts w:ascii="Times New Roman" w:eastAsia="標楷體"/>
          <w:b w:val="false"/>
          <w:bCs w:val="false"/>
          <w:sz w:val="22"/>
          <w:szCs w:val="22"/>
        </w:rPr>
        <w:t xml:space="preserve">（2）第63條施工場所安全設備措施、第68條不得損及道路溝渠等公共設施</w:t>
      </w:r>
    </w:p>
    <w:p>
      <w:pPr>
        <w:spacing w:after="120" w:before="0" w:line="340"/>
        <w:jc w:val="both"/>
      </w:pPr>
      <w:r>
        <w:rPr>
          <w:rFonts w:ascii="Times New Roman" w:eastAsia="標楷體"/>
          <w:b w:val="false"/>
          <w:bCs w:val="false"/>
          <w:sz w:val="22"/>
          <w:szCs w:val="22"/>
        </w:rPr>
        <w:t xml:space="preserve">（3）事中監督：第56條必須勘驗部分之申報、第60條監造人與專任工程人員之連帶責任</w:t>
      </w:r>
    </w:p>
    <w:p>
      <w:pPr>
        <w:spacing w:after="120" w:before="0" w:line="340"/>
        <w:jc w:val="both"/>
      </w:pPr>
      <w:r>
        <w:rPr>
          <w:rFonts w:ascii="Times New Roman" w:eastAsia="標楷體"/>
          <w:b w:val="false"/>
          <w:bCs w:val="false"/>
          <w:sz w:val="22"/>
          <w:szCs w:val="22"/>
        </w:rPr>
        <w:t xml:space="preserve">（4）處分依據：構成第58條危害公共安全或妨礙公共交通，得勒令停工或修改</w:t>
      </w:r>
    </w:p>
    <w:p>
      <w:pPr>
        <w:spacing w:after="120" w:before="0" w:line="340"/>
        <w:jc w:val="both"/>
      </w:pPr>
      <w:r>
        <w:rPr>
          <w:rFonts w:ascii="Times New Roman" w:eastAsia="標楷體"/>
          <w:b w:val="false"/>
          <w:bCs w:val="false"/>
          <w:sz w:val="22"/>
          <w:szCs w:val="22"/>
        </w:rPr>
        <w:t xml:space="preserve">（5）必要時得強制拆除</w:t>
      </w:r>
    </w:p>
    <w:p>
      <w:pPr>
        <w:spacing w:after="120" w:before="0" w:line="340"/>
        <w:jc w:val="both"/>
      </w:pPr>
      <w:r>
        <w:rPr>
          <w:rFonts w:ascii="Times New Roman" w:eastAsia="標楷體"/>
          <w:b w:val="false"/>
          <w:bCs w:val="false"/>
          <w:sz w:val="22"/>
          <w:szCs w:val="22"/>
        </w:rPr>
        <w:t xml:space="preserve">（6）罰則：依第89條處承造人、監造人六千元以上三萬元以下罰鍰，起造人有責任時亦同</w:t>
      </w:r>
    </w:p>
    <w:p>
      <w:pPr>
        <w:spacing w:after="120" w:before="0" w:line="340"/>
        <w:jc w:val="both"/>
      </w:pPr>
      <w:r>
        <w:rPr>
          <w:rFonts w:ascii="Times New Roman" w:eastAsia="標楷體"/>
          <w:b w:val="false"/>
          <w:bCs w:val="false"/>
          <w:sz w:val="22"/>
          <w:szCs w:val="22"/>
        </w:rPr>
        <w:t xml:space="preserve">（7）停工後擅自復工依第93條負刑事責任；損害賠償另依民法及建築法第26條處理</w:t>
      </w:r>
    </w:p>
    <w:p>
      <w:r>
        <w:br w:type="page"/>
      </w:r>
    </w:p>
    <w:p>
      <w:pPr>
        <w:pStyle w:val="Heading1"/>
        <w:spacing w:after="140" w:before="400"/>
      </w:pPr>
      <w:r>
        <w:rPr>
          <w:rFonts w:ascii="Times New Roman" w:eastAsia="標楷體"/>
          <w:b/>
          <w:bCs/>
          <w:color w:val="1F3864"/>
          <w:sz w:val="28"/>
          <w:szCs w:val="28"/>
        </w:rPr>
        <w:t xml:space="preserve">113 年公務人員普通考試 建築工程 營建法規概要（試題代號 44230）</w:t>
      </w:r>
    </w:p>
    <w:p>
      <w:pPr>
        <w:pStyle w:val="Heading2"/>
        <w:spacing w:after="140" w:before="240"/>
      </w:pPr>
      <w:r>
        <w:rPr>
          <w:rFonts w:ascii="Times New Roman" w:eastAsia="標楷體"/>
          <w:b/>
          <w:bCs/>
          <w:color w:val="1F3864"/>
          <w:sz w:val="26"/>
          <w:szCs w:val="26"/>
        </w:rPr>
        <w:t xml:space="preserve">一、題目（25 分）</w:t>
      </w:r>
    </w:p>
    <w:p>
      <w:pPr>
        <w:spacing w:after="120" w:before="0" w:line="340"/>
        <w:jc w:val="both"/>
      </w:pPr>
      <w:r>
        <w:rPr>
          <w:rFonts w:ascii="Times New Roman" w:eastAsia="標楷體"/>
          <w:b w:val="false"/>
          <w:bCs w:val="false"/>
          <w:sz w:val="24"/>
          <w:szCs w:val="24"/>
        </w:rPr>
        <w:t xml:space="preserve">依據行政執行法第 36 條，行政機關在何種情況下得為即時強制？（5 分）其方法為何？（20 分）</w:t>
      </w:r>
    </w:p>
    <w:p>
      <w:pPr>
        <w:spacing w:after="120" w:before="0" w:line="340"/>
        <w:jc w:val="both"/>
      </w:pPr>
      <w:r>
        <w:rPr>
          <w:rFonts w:ascii="Times New Roman" w:eastAsia="標楷體"/>
          <w:b w:val="false"/>
          <w:bCs w:val="false"/>
          <w:color w:val="44546A"/>
          <w:sz w:val="22"/>
          <w:szCs w:val="22"/>
        </w:rPr>
        <w:t xml:space="preserve">【法源】行政執行法第 36 條；並涉第 37 條至第 41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行政執行法第 36 條第 1 項規定，行政機關為阻止犯罪、危害之發生或避免急迫危險，而有即時處置之必要時，得為即時強制。故其發動要件有二：目的要件為阻止犯罪、阻止危害之發生或避免急迫危險三者之一；必要性要件為有即時處置之必要，亦即情況急迫而不及依一般行政程序處理。即時強制屬事實行為性質之強制措施，其特點在於無須先有行政處分即可直接實施，故要件之解釋應從嚴，並嚴格受比例原則拘束。</w:t>
      </w:r>
    </w:p>
    <w:p>
      <w:pPr>
        <w:spacing w:after="120" w:before="0" w:line="340"/>
        <w:jc w:val="both"/>
      </w:pPr>
      <w:r>
        <w:rPr>
          <w:rFonts w:ascii="Times New Roman" w:eastAsia="標楷體"/>
          <w:b w:val="false"/>
          <w:bCs w:val="false"/>
          <w:sz w:val="24"/>
          <w:szCs w:val="24"/>
        </w:rPr>
        <w:t xml:space="preserve">同條第 2 項規定即時強制之方法共四種：對於人之管束；對於物之扣留、使用、處置或限制其使用；對於住宅、建築物或其他處所之進入；其他依法定職權所為之必要處置。前三款為列舉，第四款為概括。</w:t>
      </w:r>
    </w:p>
    <w:p>
      <w:pPr>
        <w:spacing w:after="120" w:before="0" w:line="340"/>
        <w:jc w:val="both"/>
      </w:pPr>
      <w:r>
        <w:rPr>
          <w:rFonts w:ascii="Times New Roman" w:eastAsia="標楷體"/>
          <w:b w:val="false"/>
          <w:bCs w:val="false"/>
          <w:sz w:val="24"/>
          <w:szCs w:val="24"/>
        </w:rPr>
        <w:t xml:space="preserve">各種方法之要件另有規定。對於人之管束，依第 37 條以四種情形為限：瘋狂或酗酒泥醉，非管束不能救護其生命、身體之危險及預防他人生命、身體之危險者；意圖自殺，非管束不能救護其生命者；暴行或鬥毆，非管束不能預防其傷害者；其他認為必須救護或有害公共安全之虞，非管束不能救護或不能預防危害者；且管束不得逾二十四小時。對於物之扣留，依第 38 條，軍器、凶器及其他危險物為預防危害之必要得扣留之，扣留期間原則不得逾三十日，扣留原因未消失者得延長，延長期間不得逾兩個月。對於物之使用、處置或限制使用，依第 39 條，遇有天災、事變或交通上、衛生上或公共安全上有危害情形，非使用或處置其土地、住宅、建築物、物品或限制其使用不能達防護目的時，始得為之。對於住宅、建築物或其他處所之進入，依第 40 條，以人民之生命、身體、財產有迫切之危害，非進入不能救護者為限。</w:t>
      </w:r>
    </w:p>
    <w:p>
      <w:pPr>
        <w:spacing w:after="120" w:before="0" w:line="340"/>
        <w:jc w:val="both"/>
      </w:pPr>
      <w:r>
        <w:rPr>
          <w:rFonts w:ascii="Times New Roman" w:eastAsia="標楷體"/>
          <w:b w:val="false"/>
          <w:bCs w:val="false"/>
          <w:sz w:val="24"/>
          <w:szCs w:val="24"/>
        </w:rPr>
        <w:t xml:space="preserve">另依第 41 條，人民因執行機關依法實施即時強制，致其生命、身體或財產遭受特別損失時，得請求補償，但因可歸責於該人民之事由者不在此限；補償應以金錢為之，並以補償實際所受之特別損失為限；不服補償決定者得提起訴願及行政訴訟；請求權應於知有損失後二年內行使，自損失發生後經過五年者不得為之。就營建領域而言，第 39 條之使用或處置土地建築物，與建築法第 82 條因地震水災風災火災或其他重大事變致建築物發生危險時之逕予強制拆除，屬相互呼應之緊急權限。</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（1）發動要件：為阻止犯罪、危害之發生或避免急迫危險</w:t>
      </w:r>
    </w:p>
    <w:p>
      <w:pPr>
        <w:spacing w:after="120" w:before="0" w:line="340"/>
        <w:jc w:val="both"/>
      </w:pPr>
      <w:r>
        <w:rPr>
          <w:rFonts w:ascii="Times New Roman" w:eastAsia="標楷體"/>
          <w:b w:val="false"/>
          <w:bCs w:val="false"/>
          <w:sz w:val="22"/>
          <w:szCs w:val="22"/>
        </w:rPr>
        <w:t xml:space="preserve">（2）發動要件：有即時處置之必要</w:t>
      </w:r>
    </w:p>
    <w:p>
      <w:pPr>
        <w:spacing w:after="120" w:before="0" w:line="340"/>
        <w:jc w:val="both"/>
      </w:pPr>
      <w:r>
        <w:rPr>
          <w:rFonts w:ascii="Times New Roman" w:eastAsia="標楷體"/>
          <w:b w:val="false"/>
          <w:bCs w:val="false"/>
          <w:sz w:val="22"/>
          <w:szCs w:val="22"/>
        </w:rPr>
        <w:t xml:space="preserve">（3）方法一：對於人之管束（第37條四種情形，不得逾二十四小時）</w:t>
      </w:r>
    </w:p>
    <w:p>
      <w:pPr>
        <w:spacing w:after="120" w:before="0" w:line="340"/>
        <w:jc w:val="both"/>
      </w:pPr>
      <w:r>
        <w:rPr>
          <w:rFonts w:ascii="Times New Roman" w:eastAsia="標楷體"/>
          <w:b w:val="false"/>
          <w:bCs w:val="false"/>
          <w:sz w:val="22"/>
          <w:szCs w:val="22"/>
        </w:rPr>
        <w:t xml:space="preserve">（4）方法二：對於物之扣留、使用、處置或限制其使用</w:t>
      </w:r>
    </w:p>
    <w:p>
      <w:pPr>
        <w:spacing w:after="120" w:before="0" w:line="340"/>
        <w:jc w:val="both"/>
      </w:pPr>
      <w:r>
        <w:rPr>
          <w:rFonts w:ascii="Times New Roman" w:eastAsia="標楷體"/>
          <w:b w:val="false"/>
          <w:bCs w:val="false"/>
          <w:sz w:val="22"/>
          <w:szCs w:val="22"/>
        </w:rPr>
        <w:t xml:space="preserve">（5）方法三：對於住宅、建築物或其他處所之進入</w:t>
      </w:r>
    </w:p>
    <w:p>
      <w:pPr>
        <w:spacing w:after="120" w:before="0" w:line="340"/>
        <w:jc w:val="both"/>
      </w:pPr>
      <w:r>
        <w:rPr>
          <w:rFonts w:ascii="Times New Roman" w:eastAsia="標楷體"/>
          <w:b w:val="false"/>
          <w:bCs w:val="false"/>
          <w:sz w:val="22"/>
          <w:szCs w:val="22"/>
        </w:rPr>
        <w:t xml:space="preserve">（6）方法四：其他依法定職權所為之必要處置（概括規定）</w:t>
      </w:r>
    </w:p>
    <w:p>
      <w:pPr>
        <w:spacing w:after="120" w:before="0" w:line="340"/>
        <w:jc w:val="both"/>
      </w:pPr>
      <w:r>
        <w:rPr>
          <w:rFonts w:ascii="Times New Roman" w:eastAsia="標楷體"/>
          <w:b w:val="false"/>
          <w:bCs w:val="false"/>
          <w:sz w:val="22"/>
          <w:szCs w:val="22"/>
        </w:rPr>
        <w:t xml:space="preserve">（7）延伸：第38條至第41條各方法之限制與損失補償規定</w:t>
      </w:r>
    </w:p>
    <w:p>
      <w:pPr>
        <w:pStyle w:val="Heading2"/>
        <w:spacing w:after="140" w:before="240"/>
      </w:pPr>
      <w:r>
        <w:rPr>
          <w:rFonts w:ascii="Times New Roman" w:eastAsia="標楷體"/>
          <w:b/>
          <w:bCs/>
          <w:color w:val="1F3864"/>
          <w:sz w:val="26"/>
          <w:szCs w:val="26"/>
        </w:rPr>
        <w:t xml:space="preserve">二、題目（25 分）</w:t>
      </w:r>
    </w:p>
    <w:p>
      <w:pPr>
        <w:spacing w:after="120" w:before="0" w:line="340"/>
        <w:jc w:val="both"/>
      </w:pPr>
      <w:r>
        <w:rPr>
          <w:rFonts w:ascii="Times New Roman" w:eastAsia="標楷體"/>
          <w:b w:val="false"/>
          <w:bCs w:val="false"/>
          <w:sz w:val="24"/>
          <w:szCs w:val="24"/>
        </w:rPr>
        <w:t xml:space="preserve">依據建築技術規則建築設計施工編第 133 條，學校校舍配置、方位與設備有那些規定？</w:t>
      </w:r>
    </w:p>
    <w:p>
      <w:pPr>
        <w:spacing w:after="120" w:before="0" w:line="340"/>
        <w:jc w:val="both"/>
      </w:pPr>
      <w:r>
        <w:rPr>
          <w:rFonts w:ascii="Times New Roman" w:eastAsia="標楷體"/>
          <w:b w:val="false"/>
          <w:bCs w:val="false"/>
          <w:color w:val="44546A"/>
          <w:sz w:val="22"/>
          <w:szCs w:val="22"/>
        </w:rPr>
        <w:t xml:space="preserve">【法源】建築技術規則建築設計施工編第 133 條（第六章特定建築物及其限制中之學校規定）</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建築技術規則建築設計施工編第 133 條規定，校舍配置、方位與設備應依下列規定辦理，共六款。</w:t>
      </w:r>
    </w:p>
    <w:p>
      <w:pPr>
        <w:spacing w:after="120" w:before="0" w:line="340"/>
        <w:jc w:val="both"/>
      </w:pPr>
      <w:r>
        <w:rPr>
          <w:rFonts w:ascii="Times New Roman" w:eastAsia="標楷體"/>
          <w:b w:val="false"/>
          <w:bCs w:val="false"/>
          <w:sz w:val="24"/>
          <w:szCs w:val="24"/>
        </w:rPr>
        <w:t xml:space="preserve">第一款為騎樓地退縮：臨接應留設法定騎樓之道路時，應自建築線退縮騎樓地再加一點五公尺以上建築。第二款為一般退縮：臨接建築線或鄰地境界線者，應自建築線或鄰地界線退後三公尺以上建築。二者之區別在於是否應留設法定騎樓，前者退縮基準為騎樓地再加一點五公尺，後者為三公尺以上。</w:t>
      </w:r>
    </w:p>
    <w:p>
      <w:pPr>
        <w:spacing w:after="120" w:before="0" w:line="340"/>
        <w:jc w:val="both"/>
      </w:pPr>
      <w:r>
        <w:rPr>
          <w:rFonts w:ascii="Times New Roman" w:eastAsia="標楷體"/>
          <w:b w:val="false"/>
          <w:bCs w:val="false"/>
          <w:sz w:val="24"/>
          <w:szCs w:val="24"/>
        </w:rPr>
        <w:t xml:space="preserve">第三款為教室方位與照明：教室之方位應適當，並應有適當之人工照明及遮陽設備。所稱方位適當，實務上係指避免東西向開窗造成之眩光與過度日射得熱，故多採南北向配置，並輔以遮陽設備控制直達日射。第四款為音環境：校舍配置應避免聲音發生互相干擾之現象，例如將音樂教室、體育館與一般教室分區配置，或以綠帶、行政空間作為緩衝。</w:t>
      </w:r>
    </w:p>
    <w:p>
      <w:pPr>
        <w:spacing w:after="120" w:before="0" w:line="340"/>
        <w:jc w:val="both"/>
      </w:pPr>
      <w:r>
        <w:rPr>
          <w:rFonts w:ascii="Times New Roman" w:eastAsia="標楷體"/>
          <w:b w:val="false"/>
          <w:bCs w:val="false"/>
          <w:sz w:val="24"/>
          <w:szCs w:val="24"/>
        </w:rPr>
        <w:t xml:space="preserve">第五款為棟距與採光：建築物高度不得大於二幢建築物外牆中心線水平距離一點五倍；但相對之外牆均無開口，或有開口但不供教學使用者，不在此限。此即以高度與棟距之比例控制教室之採光與通風，其比值為 H 不大於 1.5D。第六款為除外規定：樓梯間、廁所、圍牆及單身宿舍不受第一款、第二款規定之限制，蓋此類空間非主要教學空間，其退縮要求得予放寬。答題時若能就第三款至第五款補充說明其設計意涵，即日照、音環境與採光通風三者構成校舍配置之環境品質控制邏輯，較能展現專業判斷。</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（1）臨接應留設法定騎樓之道路時，應自建築線退縮騎樓地再加1.5公尺以上建築</w:t>
      </w:r>
    </w:p>
    <w:p>
      <w:pPr>
        <w:spacing w:after="120" w:before="0" w:line="340"/>
        <w:jc w:val="both"/>
      </w:pPr>
      <w:r>
        <w:rPr>
          <w:rFonts w:ascii="Times New Roman" w:eastAsia="標楷體"/>
          <w:b w:val="false"/>
          <w:bCs w:val="false"/>
          <w:sz w:val="22"/>
          <w:szCs w:val="22"/>
        </w:rPr>
        <w:t xml:space="preserve">（2）臨接建築線或鄰地境界線者，應退後三公尺以上建築</w:t>
      </w:r>
    </w:p>
    <w:p>
      <w:pPr>
        <w:spacing w:after="120" w:before="0" w:line="340"/>
        <w:jc w:val="both"/>
      </w:pPr>
      <w:r>
        <w:rPr>
          <w:rFonts w:ascii="Times New Roman" w:eastAsia="標楷體"/>
          <w:b w:val="false"/>
          <w:bCs w:val="false"/>
          <w:sz w:val="22"/>
          <w:szCs w:val="22"/>
        </w:rPr>
        <w:t xml:space="preserve">（3）教室之方位應適當，並應有適當之人工照明及遮陽設備</w:t>
      </w:r>
    </w:p>
    <w:p>
      <w:pPr>
        <w:spacing w:after="120" w:before="0" w:line="340"/>
        <w:jc w:val="both"/>
      </w:pPr>
      <w:r>
        <w:rPr>
          <w:rFonts w:ascii="Times New Roman" w:eastAsia="標楷體"/>
          <w:b w:val="false"/>
          <w:bCs w:val="false"/>
          <w:sz w:val="22"/>
          <w:szCs w:val="22"/>
        </w:rPr>
        <w:t xml:space="preserve">（4）校舍配置應避免聲音發生互相干擾</w:t>
      </w:r>
    </w:p>
    <w:p>
      <w:pPr>
        <w:spacing w:after="120" w:before="0" w:line="340"/>
        <w:jc w:val="both"/>
      </w:pPr>
      <w:r>
        <w:rPr>
          <w:rFonts w:ascii="Times New Roman" w:eastAsia="標楷體"/>
          <w:b w:val="false"/>
          <w:bCs w:val="false"/>
          <w:sz w:val="22"/>
          <w:szCs w:val="22"/>
        </w:rPr>
        <w:t xml:space="preserve">（5）建築物高度不得大於二幢建築物外牆中心線水平距離1.5倍</w:t>
      </w:r>
    </w:p>
    <w:p>
      <w:pPr>
        <w:spacing w:after="120" w:before="0" w:line="340"/>
        <w:jc w:val="both"/>
      </w:pPr>
      <w:r>
        <w:rPr>
          <w:rFonts w:ascii="Times New Roman" w:eastAsia="標楷體"/>
          <w:b w:val="false"/>
          <w:bCs w:val="false"/>
          <w:sz w:val="22"/>
          <w:szCs w:val="22"/>
        </w:rPr>
        <w:t xml:space="preserve">（6）但相對之外牆均無開口，或有開口但不供教學使用者不在此限</w:t>
      </w:r>
    </w:p>
    <w:p>
      <w:pPr>
        <w:spacing w:after="120" w:before="0" w:line="340"/>
        <w:jc w:val="both"/>
      </w:pPr>
      <w:r>
        <w:rPr>
          <w:rFonts w:ascii="Times New Roman" w:eastAsia="標楷體"/>
          <w:b w:val="false"/>
          <w:bCs w:val="false"/>
          <w:sz w:val="22"/>
          <w:szCs w:val="22"/>
        </w:rPr>
        <w:t xml:space="preserve">（7）樓梯間、廁所、圍牆及單身宿舍不受第一款、第二款規定之限制</w:t>
      </w:r>
    </w:p>
    <w:p>
      <w:pPr>
        <w:pStyle w:val="Heading2"/>
        <w:spacing w:after="140" w:before="240"/>
      </w:pPr>
      <w:r>
        <w:rPr>
          <w:rFonts w:ascii="Times New Roman" w:eastAsia="標楷體"/>
          <w:b/>
          <w:bCs/>
          <w:color w:val="1F3864"/>
          <w:sz w:val="26"/>
          <w:szCs w:val="26"/>
        </w:rPr>
        <w:t xml:space="preserve">三、題目（25 分）</w:t>
      </w:r>
    </w:p>
    <w:p>
      <w:pPr>
        <w:spacing w:after="120" w:before="0" w:line="340"/>
        <w:jc w:val="both"/>
      </w:pPr>
      <w:r>
        <w:rPr>
          <w:rFonts w:ascii="Times New Roman" w:eastAsia="標楷體"/>
          <w:b w:val="false"/>
          <w:bCs w:val="false"/>
          <w:sz w:val="24"/>
          <w:szCs w:val="24"/>
        </w:rPr>
        <w:t xml:space="preserve">依據公寓大廈管理條例第 3 條及第 6 條，何謂住戶？（5 分）住戶應遵守的事項有那些？（20 分）</w:t>
      </w:r>
    </w:p>
    <w:p>
      <w:pPr>
        <w:spacing w:after="120" w:before="0" w:line="340"/>
        <w:jc w:val="both"/>
      </w:pPr>
      <w:r>
        <w:rPr>
          <w:rFonts w:ascii="Times New Roman" w:eastAsia="標楷體"/>
          <w:b w:val="false"/>
          <w:bCs w:val="false"/>
          <w:color w:val="44546A"/>
          <w:sz w:val="22"/>
          <w:szCs w:val="22"/>
        </w:rPr>
        <w:t xml:space="preserve">【法源】公寓大廈管理條例第 3 條第 8 款、第 6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住戶之定義，規定於公寓大廈管理條例第 3 條第 8 款：住戶指公寓大廈之區分所有權人、承租人或其他經區分所有權人同意而為專有部分之使用者，或業經取得停車空間建築物所有權者。此一定義之特色在於其範圍寬於區分所有權人，凡對專有部分有合法使用權源者均屬之，因此承租人、借用人乃至經同意使用之家屬均包括在內。立法目的在於，公寓大廈之管理秩序係由實際居住使用者所形成，若僅以所有權人為規範對象，將無法有效維持共同生活秩序。</w:t>
      </w:r>
    </w:p>
    <w:p>
      <w:pPr>
        <w:spacing w:after="120" w:before="0" w:line="340"/>
        <w:jc w:val="both"/>
      </w:pPr>
      <w:r>
        <w:rPr>
          <w:rFonts w:ascii="Times New Roman" w:eastAsia="標楷體"/>
          <w:b w:val="false"/>
          <w:bCs w:val="false"/>
          <w:sz w:val="24"/>
          <w:szCs w:val="24"/>
        </w:rPr>
        <w:t xml:space="preserve">住戶應遵守之事項，規定於第 6 條第 1 項，共五款。第一款，於維護、修繕專有部分、約定專用部分或行使其權利時，不得妨害其他住戶之安寧、安全及衛生。第二款，他住戶因維護、修繕專有部分、約定專用部分或設置管線，必須進入或使用其專有部分或約定專用部分時，不得拒絕。第三款，管理負責人或管理委員會因維護、修繕共用部分或設置管線，必須進入或使用其專有部分或約定專用部分時，不得拒絕。第四款，於維護、修繕專有部分、約定專用部分或設置管線，必須使用共用部分時，應經管理負責人或管理委員會之同意後為之。第五款，其他法令或規約規定事項。</w:t>
      </w:r>
    </w:p>
    <w:p>
      <w:pPr>
        <w:spacing w:after="120" w:before="0" w:line="340"/>
        <w:jc w:val="both"/>
      </w:pPr>
      <w:r>
        <w:rPr>
          <w:rFonts w:ascii="Times New Roman" w:eastAsia="標楷體"/>
          <w:b w:val="false"/>
          <w:bCs w:val="false"/>
          <w:sz w:val="24"/>
          <w:szCs w:val="24"/>
        </w:rPr>
        <w:t xml:space="preserve">五款規定可歸納為三種義務型態。第一款為不作為義務，即不得妨害他住戶之安寧、安全及衛生，是消極的容忍界線。第二款與第三款為忍受義務，即他住戶或管理組織因維護修繕之必要而須進入或使用其專有部分時，不得拒絕，是對專有部分排他使用權之法定限制。第四款為同意義務，即自己使用共用部分時應經管理組織同意，與第二、三款形成對稱。第五款為概括條款，將法令與規約納入。</w:t>
      </w:r>
    </w:p>
    <w:p>
      <w:pPr>
        <w:spacing w:after="120" w:before="0" w:line="340"/>
        <w:jc w:val="both"/>
      </w:pPr>
      <w:r>
        <w:rPr>
          <w:rFonts w:ascii="Times New Roman" w:eastAsia="標楷體"/>
          <w:b w:val="false"/>
          <w:bCs w:val="false"/>
          <w:sz w:val="24"/>
          <w:szCs w:val="24"/>
        </w:rPr>
        <w:t xml:space="preserve">第 6 條第 2 項並設有比例原則之要求：前項第二款至第四款之進入或使用，應擇其損害最少之處所及方法為之，並應修復或補償所生損害。第 3 項規定救濟途徑：住戶違反第 1 項規定，經協調仍不履行時，住戶、管理負責人或管理委員會得按其性質請求各該主管機關或訴請法院為必要之處置。答題時務必補充第 2 項與第 3 項，因忍受義務若無損害最少方法與補償之配套，將過度侵害專有部分之財產權，此為本條體系設計之關鍵。</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（1）住戶定義：區分所有權人、承租人或其他經區分所有權人同意而為專有部分之使用者</w:t>
      </w:r>
    </w:p>
    <w:p>
      <w:pPr>
        <w:spacing w:after="120" w:before="0" w:line="340"/>
        <w:jc w:val="both"/>
      </w:pPr>
      <w:r>
        <w:rPr>
          <w:rFonts w:ascii="Times New Roman" w:eastAsia="標楷體"/>
          <w:b w:val="false"/>
          <w:bCs w:val="false"/>
          <w:sz w:val="22"/>
          <w:szCs w:val="22"/>
        </w:rPr>
        <w:t xml:space="preserve">（2）住戶定義：業經取得停車空間建築物所有權者</w:t>
      </w:r>
    </w:p>
    <w:p>
      <w:pPr>
        <w:spacing w:after="120" w:before="0" w:line="340"/>
        <w:jc w:val="both"/>
      </w:pPr>
      <w:r>
        <w:rPr>
          <w:rFonts w:ascii="Times New Roman" w:eastAsia="標楷體"/>
          <w:b w:val="false"/>
          <w:bCs w:val="false"/>
          <w:sz w:val="22"/>
          <w:szCs w:val="22"/>
        </w:rPr>
        <w:t xml:space="preserve">（3）不得妨害其他住戶之安寧、安全及衛生</w:t>
      </w:r>
    </w:p>
    <w:p>
      <w:pPr>
        <w:spacing w:after="120" w:before="0" w:line="340"/>
        <w:jc w:val="both"/>
      </w:pPr>
      <w:r>
        <w:rPr>
          <w:rFonts w:ascii="Times New Roman" w:eastAsia="標楷體"/>
          <w:b w:val="false"/>
          <w:bCs w:val="false"/>
          <w:sz w:val="22"/>
          <w:szCs w:val="22"/>
        </w:rPr>
        <w:t xml:space="preserve">（4）他住戶因維護修繕或設置管線必須進入或使用其專有部分時，不得拒絕</w:t>
      </w:r>
    </w:p>
    <w:p>
      <w:pPr>
        <w:spacing w:after="120" w:before="0" w:line="340"/>
        <w:jc w:val="both"/>
      </w:pPr>
      <w:r>
        <w:rPr>
          <w:rFonts w:ascii="Times New Roman" w:eastAsia="標楷體"/>
          <w:b w:val="false"/>
          <w:bCs w:val="false"/>
          <w:sz w:val="22"/>
          <w:szCs w:val="22"/>
        </w:rPr>
        <w:t xml:space="preserve">（5）管理負責人或管理委員會因維護修繕共用部分必須進入使用時，不得拒絕</w:t>
      </w:r>
    </w:p>
    <w:p>
      <w:pPr>
        <w:spacing w:after="120" w:before="0" w:line="340"/>
        <w:jc w:val="both"/>
      </w:pPr>
      <w:r>
        <w:rPr>
          <w:rFonts w:ascii="Times New Roman" w:eastAsia="標楷體"/>
          <w:b w:val="false"/>
          <w:bCs w:val="false"/>
          <w:sz w:val="22"/>
          <w:szCs w:val="22"/>
        </w:rPr>
        <w:t xml:space="preserve">（6）必須使用共用部分時，應經管理負責人或管理委員會之同意；其他法令或規約規定事項</w:t>
      </w:r>
    </w:p>
    <w:p>
      <w:pPr>
        <w:spacing w:after="120" w:before="0" w:line="340"/>
        <w:jc w:val="both"/>
      </w:pPr>
      <w:r>
        <w:rPr>
          <w:rFonts w:ascii="Times New Roman" w:eastAsia="標楷體"/>
          <w:b w:val="false"/>
          <w:bCs w:val="false"/>
          <w:sz w:val="22"/>
          <w:szCs w:val="22"/>
        </w:rPr>
        <w:t xml:space="preserve">（7）延伸：應擇損害最少之處所及方法，並應修復或補償所生損害；違反時之處置</w:t>
      </w:r>
    </w:p>
    <w:p>
      <w:pPr>
        <w:pStyle w:val="Heading2"/>
        <w:spacing w:after="140" w:before="240"/>
      </w:pPr>
      <w:r>
        <w:rPr>
          <w:rFonts w:ascii="Times New Roman" w:eastAsia="標楷體"/>
          <w:b/>
          <w:bCs/>
          <w:color w:val="1F3864"/>
          <w:sz w:val="26"/>
          <w:szCs w:val="26"/>
        </w:rPr>
        <w:t xml:space="preserve">四、題目（25 分）</w:t>
      </w:r>
    </w:p>
    <w:p>
      <w:pPr>
        <w:spacing w:after="120" w:before="0" w:line="340"/>
        <w:jc w:val="both"/>
      </w:pPr>
      <w:r>
        <w:rPr>
          <w:rFonts w:ascii="Times New Roman" w:eastAsia="標楷體"/>
          <w:b w:val="false"/>
          <w:bCs w:val="false"/>
          <w:sz w:val="24"/>
          <w:szCs w:val="24"/>
        </w:rPr>
        <w:t xml:space="preserve">依據建築師法第 4 條，具有那些情形者，不得充任建築師；已充任建築師者，由中央主管機關撤銷或廢止其建築師證書。</w:t>
      </w:r>
    </w:p>
    <w:p>
      <w:pPr>
        <w:spacing w:after="120" w:before="0" w:line="340"/>
        <w:jc w:val="both"/>
      </w:pPr>
      <w:r>
        <w:rPr>
          <w:rFonts w:ascii="Times New Roman" w:eastAsia="標楷體"/>
          <w:b w:val="false"/>
          <w:bCs w:val="false"/>
          <w:color w:val="44546A"/>
          <w:sz w:val="22"/>
          <w:szCs w:val="22"/>
        </w:rPr>
        <w:t xml:space="preserve">【法源】建築師法第 4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建築師法第 4 條第 1 項規定，有下列情形之一者，不得充任建築師；已充任建築師者，由中央主管機關撤銷或廢止其建築師證書。此為建築師消極資格之規定，其規範目的在於確保執業者具備行為能力、專業能力與職業倫理，以維護公共安全與委託人信賴。</w:t>
      </w:r>
    </w:p>
    <w:p>
      <w:pPr>
        <w:spacing w:after="120" w:before="0" w:line="340"/>
        <w:jc w:val="both"/>
      </w:pPr>
      <w:r>
        <w:rPr>
          <w:rFonts w:ascii="Times New Roman" w:eastAsia="標楷體"/>
          <w:b w:val="false"/>
          <w:bCs w:val="false"/>
          <w:sz w:val="24"/>
          <w:szCs w:val="24"/>
        </w:rPr>
        <w:t xml:space="preserve">五款情形如下。第一款，受監護或輔助宣告，尚未撤銷。第二款，罹患精神疾病或身心狀況違常，經中央主管機關委請二位以上相關專科醫師諮詢，並經中央主管機關認定不能執行業務。第三款，受破產宣告，尚未復權。第四款，因業務上有關之犯罪行為，受一年有期徒刑以上刑之判決確定，而未受緩刑之宣告。第五款，受廢止開業證書之懲戒處分。</w:t>
      </w:r>
    </w:p>
    <w:p>
      <w:pPr>
        <w:spacing w:after="120" w:before="0" w:line="340"/>
        <w:jc w:val="both"/>
      </w:pPr>
      <w:r>
        <w:rPr>
          <w:rFonts w:ascii="Times New Roman" w:eastAsia="標楷體"/>
          <w:b w:val="false"/>
          <w:bCs w:val="false"/>
          <w:sz w:val="24"/>
          <w:szCs w:val="24"/>
        </w:rPr>
        <w:t xml:space="preserve">五款可分為三類。第一類為行為能力之欠缺，即第一款與第二款，其判準在於是否具備獨立為法律行為與執行專業判斷之能力；第二款並設有正當程序要求，須委請二位以上相關專科醫師諮詢後始得由中央主管機關認定。第二類為財產信用之欠缺，即第三款受破產宣告尚未復權，蓋建築師業務涉及委託人財產與工程款項之處理。第三類為職業倫理之欠缺，即第四款與第五款，前者以「業務上有關之犯罪行為」且「受一年有期徒刑以上刑之判決確定」「未受緩刑宣告」三要件為限，後者則為懲戒制度之最重處分。</w:t>
      </w:r>
    </w:p>
    <w:p>
      <w:pPr>
        <w:spacing w:after="120" w:before="0" w:line="340"/>
        <w:jc w:val="both"/>
      </w:pPr>
      <w:r>
        <w:rPr>
          <w:rFonts w:ascii="Times New Roman" w:eastAsia="標楷體"/>
          <w:b w:val="false"/>
          <w:bCs w:val="false"/>
          <w:sz w:val="24"/>
          <w:szCs w:val="24"/>
        </w:rPr>
        <w:t xml:space="preserve">同條第 2 項規定，前項第一款至第三款原因消滅後，仍得依本法之規定請領建築師證書。故第一款至第三款為暫時性之消極資格，原因消滅即回復；第四款與第五款則無此規定。答題時應完整列出五款並注意第四款之三個要件，同時補充第 2 項之回復規定，此為最容易遺漏之得分點。</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（1）受監護或輔助宣告，尚未撤銷</w:t>
      </w:r>
    </w:p>
    <w:p>
      <w:pPr>
        <w:spacing w:after="120" w:before="0" w:line="340"/>
        <w:jc w:val="both"/>
      </w:pPr>
      <w:r>
        <w:rPr>
          <w:rFonts w:ascii="Times New Roman" w:eastAsia="標楷體"/>
          <w:b w:val="false"/>
          <w:bCs w:val="false"/>
          <w:sz w:val="22"/>
          <w:szCs w:val="22"/>
        </w:rPr>
        <w:t xml:space="preserve">（2）罹患精神疾病或身心狀況違常，經二位以上專科醫師諮詢並經中央主管機關認定不能執行業務</w:t>
      </w:r>
    </w:p>
    <w:p>
      <w:pPr>
        <w:spacing w:after="120" w:before="0" w:line="340"/>
        <w:jc w:val="both"/>
      </w:pPr>
      <w:r>
        <w:rPr>
          <w:rFonts w:ascii="Times New Roman" w:eastAsia="標楷體"/>
          <w:b w:val="false"/>
          <w:bCs w:val="false"/>
          <w:sz w:val="22"/>
          <w:szCs w:val="22"/>
        </w:rPr>
        <w:t xml:space="preserve">（3）受破產宣告，尚未復權</w:t>
      </w:r>
    </w:p>
    <w:p>
      <w:pPr>
        <w:spacing w:after="120" w:before="0" w:line="340"/>
        <w:jc w:val="both"/>
      </w:pPr>
      <w:r>
        <w:rPr>
          <w:rFonts w:ascii="Times New Roman" w:eastAsia="標楷體"/>
          <w:b w:val="false"/>
          <w:bCs w:val="false"/>
          <w:sz w:val="22"/>
          <w:szCs w:val="22"/>
        </w:rPr>
        <w:t xml:space="preserve">（4）因業務上有關之犯罪行為，受一年有期徒刑以上刑之判決確定，而未受緩刑之宣告</w:t>
      </w:r>
    </w:p>
    <w:p>
      <w:pPr>
        <w:spacing w:after="120" w:before="0" w:line="340"/>
        <w:jc w:val="both"/>
      </w:pPr>
      <w:r>
        <w:rPr>
          <w:rFonts w:ascii="Times New Roman" w:eastAsia="標楷體"/>
          <w:b w:val="false"/>
          <w:bCs w:val="false"/>
          <w:sz w:val="22"/>
          <w:szCs w:val="22"/>
        </w:rPr>
        <w:t xml:space="preserve">（5）受廢止開業證書之懲戒處分</w:t>
      </w:r>
    </w:p>
    <w:p>
      <w:pPr>
        <w:spacing w:after="120" w:before="0" w:line="340"/>
        <w:jc w:val="both"/>
      </w:pPr>
      <w:r>
        <w:rPr>
          <w:rFonts w:ascii="Times New Roman" w:eastAsia="標楷體"/>
          <w:b w:val="false"/>
          <w:bCs w:val="false"/>
          <w:sz w:val="22"/>
          <w:szCs w:val="22"/>
        </w:rPr>
        <w:t xml:space="preserve">（6）法律效果：不得充任；已充任者由中央主管機關撤銷或廢止其建築師證書</w:t>
      </w:r>
    </w:p>
    <w:p>
      <w:pPr>
        <w:spacing w:after="120" w:before="0" w:line="340"/>
        <w:jc w:val="both"/>
      </w:pPr>
      <w:r>
        <w:rPr>
          <w:rFonts w:ascii="Times New Roman" w:eastAsia="標楷體"/>
          <w:b w:val="false"/>
          <w:bCs w:val="false"/>
          <w:sz w:val="22"/>
          <w:szCs w:val="22"/>
        </w:rPr>
        <w:t xml:space="preserve">（7）第2項：第一款至第三款原因消滅後仍得請領建築師證書</w:t>
      </w:r>
    </w:p>
    <w:p>
      <w:r>
        <w:br w:type="page"/>
      </w:r>
    </w:p>
    <w:p>
      <w:pPr>
        <w:pStyle w:val="Heading1"/>
        <w:spacing w:after="140" w:before="400"/>
      </w:pPr>
      <w:r>
        <w:rPr>
          <w:rFonts w:ascii="Times New Roman" w:eastAsia="標楷體"/>
          <w:b/>
          <w:bCs/>
          <w:color w:val="1F3864"/>
          <w:sz w:val="28"/>
          <w:szCs w:val="28"/>
        </w:rPr>
        <w:t xml:space="preserve">114 年公務人員普通考試 建築工程 營建法規概要（試題代號 43530）</w:t>
      </w:r>
    </w:p>
    <w:p>
      <w:pPr>
        <w:pStyle w:val="Heading2"/>
        <w:spacing w:after="140" w:before="240"/>
      </w:pPr>
      <w:r>
        <w:rPr>
          <w:rFonts w:ascii="Times New Roman" w:eastAsia="標楷體"/>
          <w:b/>
          <w:bCs/>
          <w:color w:val="1F3864"/>
          <w:sz w:val="26"/>
          <w:szCs w:val="26"/>
        </w:rPr>
        <w:t xml:space="preserve">一、題目（25 分）</w:t>
      </w:r>
    </w:p>
    <w:p>
      <w:pPr>
        <w:spacing w:after="120" w:before="0" w:line="340"/>
        <w:jc w:val="both"/>
      </w:pPr>
      <w:r>
        <w:rPr>
          <w:rFonts w:ascii="Times New Roman" w:eastAsia="標楷體"/>
          <w:b w:val="false"/>
          <w:bCs w:val="false"/>
          <w:sz w:val="24"/>
          <w:szCs w:val="24"/>
        </w:rPr>
        <w:t xml:space="preserve">請說明建築法中有那些主要行為人與其主要角色。</w:t>
      </w:r>
    </w:p>
    <w:p>
      <w:pPr>
        <w:spacing w:after="120" w:before="0" w:line="340"/>
        <w:jc w:val="both"/>
      </w:pPr>
      <w:r>
        <w:rPr>
          <w:rFonts w:ascii="Times New Roman" w:eastAsia="標楷體"/>
          <w:b w:val="false"/>
          <w:bCs w:val="false"/>
          <w:color w:val="44546A"/>
          <w:sz w:val="22"/>
          <w:szCs w:val="22"/>
        </w:rPr>
        <w:t xml:space="preserve">【法源】建築法第 2 條、第 12 條、第 13 條、第 14 條、第 15 條、第 60 條、第 70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建築法之管制架構，係以主管建築機關為監督者，並在民間端設置起造人、設計人、監造人、承造人及專任工程人員五種角色，各有其法定地位與責任，形成權責相互制衡之體系。</w:t>
      </w:r>
    </w:p>
    <w:p>
      <w:pPr>
        <w:spacing w:after="120" w:before="0" w:line="340"/>
        <w:jc w:val="both"/>
      </w:pPr>
      <w:r>
        <w:rPr>
          <w:rFonts w:ascii="Times New Roman" w:eastAsia="標楷體"/>
          <w:b w:val="false"/>
          <w:bCs w:val="false"/>
          <w:sz w:val="24"/>
          <w:szCs w:val="24"/>
        </w:rPr>
        <w:t xml:space="preserve">起造人，依第 12 條，為建造該建築物之申請人；其為未成年或受監護宣告之人者，由其法定代理人代為申請，本法規定之義務與責任亦由法定代理人負之；起造人為政府機關、公營事業機構、團體或法人者，由其負責人申請並負義務與責任。起造人是建築行為之發動者與權利義務歸屬主體，負責申請建造執照（第 30 條）、申報開工（第 54 條）、申請使用執照（第 70 條）。</w:t>
      </w:r>
    </w:p>
    <w:p>
      <w:pPr>
        <w:spacing w:after="120" w:before="0" w:line="340"/>
        <w:jc w:val="both"/>
      </w:pPr>
      <w:r>
        <w:rPr>
          <w:rFonts w:ascii="Times New Roman" w:eastAsia="標楷體"/>
          <w:b w:val="false"/>
          <w:bCs w:val="false"/>
          <w:sz w:val="24"/>
          <w:szCs w:val="24"/>
        </w:rPr>
        <w:t xml:space="preserve">設計人及監造人，依第 13 條均為建築師，以依法登記開業之建築師為限；但有關建築物結構及設備等專業工程部分，除五層以下非供公眾使用之建築物外，應由承辦建築師交由依法登記開業之專業工業技師負責辦理，建築師並負連帶責任。設計人負責工程圖樣及說明書之製作，監造人依第 60 條負責監造，並於施工不合規定致起造人蒙受損失時依該條規定分擔賠償責任；依第 61 條，施工中如有第 58 條各款情事，監造人應通知承造人及起造人修改，未依規定修改者應即申報主管建築機關處理。</w:t>
      </w:r>
    </w:p>
    <w:p>
      <w:pPr>
        <w:spacing w:after="120" w:before="0" w:line="340"/>
        <w:jc w:val="both"/>
      </w:pPr>
      <w:r>
        <w:rPr>
          <w:rFonts w:ascii="Times New Roman" w:eastAsia="標楷體"/>
          <w:b w:val="false"/>
          <w:bCs w:val="false"/>
          <w:sz w:val="24"/>
          <w:szCs w:val="24"/>
        </w:rPr>
        <w:t xml:space="preserve">承造人，依第 14 條為營造業，以依法登記開業之營造廠商為限，負責依核定圖說施工。專任工程人員，依第 15 條，營造業應設置專任工程人員，負承攬工程之施工責任；其法定職責另依營造業法第 35 條，包括查核施工計畫書並簽章、於開工竣工文件簽章、督察按圖施工及解決施工技術問題、處理工地緊急異常狀況、查驗與勘驗時到場說明並簽章等。主管建築機關，依第 2 條，在中央為內政部，在直轄市為直轄市政府，在縣（市）為縣（市）政府，負責審查許可、勘驗、查驗與違規處分。五種民間角色加上主管建築機關，即構成建築法「申請—設計—監造—施工—監督」之完整責任鏈。</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（1）起造人：建造該建築物之申請人，為權利義務歸屬主體（第12條）</w:t>
      </w:r>
    </w:p>
    <w:p>
      <w:pPr>
        <w:spacing w:after="120" w:before="0" w:line="340"/>
        <w:jc w:val="both"/>
      </w:pPr>
      <w:r>
        <w:rPr>
          <w:rFonts w:ascii="Times New Roman" w:eastAsia="標楷體"/>
          <w:b w:val="false"/>
          <w:bCs w:val="false"/>
          <w:sz w:val="22"/>
          <w:szCs w:val="22"/>
        </w:rPr>
        <w:t xml:space="preserve">（2）設計人及監造人為依法登記開業之建築師（第13條）</w:t>
      </w:r>
    </w:p>
    <w:p>
      <w:pPr>
        <w:spacing w:after="120" w:before="0" w:line="340"/>
        <w:jc w:val="both"/>
      </w:pPr>
      <w:r>
        <w:rPr>
          <w:rFonts w:ascii="Times New Roman" w:eastAsia="標楷體"/>
          <w:b w:val="false"/>
          <w:bCs w:val="false"/>
          <w:sz w:val="22"/>
          <w:szCs w:val="22"/>
        </w:rPr>
        <w:t xml:space="preserve">（3）結構及設備專業工程部分應由專業工業技師辦理，建築師負連帶責任</w:t>
      </w:r>
    </w:p>
    <w:p>
      <w:pPr>
        <w:spacing w:after="120" w:before="0" w:line="340"/>
        <w:jc w:val="both"/>
      </w:pPr>
      <w:r>
        <w:rPr>
          <w:rFonts w:ascii="Times New Roman" w:eastAsia="標楷體"/>
          <w:b w:val="false"/>
          <w:bCs w:val="false"/>
          <w:sz w:val="22"/>
          <w:szCs w:val="22"/>
        </w:rPr>
        <w:t xml:space="preserve">（4）承造人為營造業，以依法登記開業之營造廠商為限（第14條）</w:t>
      </w:r>
    </w:p>
    <w:p>
      <w:pPr>
        <w:spacing w:after="120" w:before="0" w:line="340"/>
        <w:jc w:val="both"/>
      </w:pPr>
      <w:r>
        <w:rPr>
          <w:rFonts w:ascii="Times New Roman" w:eastAsia="標楷體"/>
          <w:b w:val="false"/>
          <w:bCs w:val="false"/>
          <w:sz w:val="22"/>
          <w:szCs w:val="22"/>
        </w:rPr>
        <w:t xml:space="preserve">（5）專任工程人員：營造業應設置，負承攬工程之施工責任（第15條）</w:t>
      </w:r>
    </w:p>
    <w:p>
      <w:pPr>
        <w:spacing w:after="120" w:before="0" w:line="340"/>
        <w:jc w:val="both"/>
      </w:pPr>
      <w:r>
        <w:rPr>
          <w:rFonts w:ascii="Times New Roman" w:eastAsia="標楷體"/>
          <w:b w:val="false"/>
          <w:bCs w:val="false"/>
          <w:sz w:val="22"/>
          <w:szCs w:val="22"/>
        </w:rPr>
        <w:t xml:space="preserve">（6）主管建築機關：中央為內政部，直轄市與縣（市）為各該政府（第2條）</w:t>
      </w:r>
    </w:p>
    <w:p>
      <w:pPr>
        <w:spacing w:after="120" w:before="0" w:line="340"/>
        <w:jc w:val="both"/>
      </w:pPr>
      <w:r>
        <w:rPr>
          <w:rFonts w:ascii="Times New Roman" w:eastAsia="標楷體"/>
          <w:b w:val="false"/>
          <w:bCs w:val="false"/>
          <w:sz w:val="22"/>
          <w:szCs w:val="22"/>
        </w:rPr>
        <w:t xml:space="preserve">（7）能說明各角色之責任分工與相互制衡（申請、設計、監造、施工、監督）</w:t>
      </w:r>
    </w:p>
    <w:p>
      <w:pPr>
        <w:pStyle w:val="Heading2"/>
        <w:spacing w:after="140" w:before="240"/>
      </w:pPr>
      <w:r>
        <w:rPr>
          <w:rFonts w:ascii="Times New Roman" w:eastAsia="標楷體"/>
          <w:b/>
          <w:bCs/>
          <w:color w:val="1F3864"/>
          <w:sz w:val="26"/>
          <w:szCs w:val="26"/>
        </w:rPr>
        <w:t xml:space="preserve">二、題目（25 分）</w:t>
      </w:r>
    </w:p>
    <w:p>
      <w:pPr>
        <w:spacing w:after="120" w:before="0" w:line="340"/>
        <w:jc w:val="both"/>
      </w:pPr>
      <w:r>
        <w:rPr>
          <w:rFonts w:ascii="Times New Roman" w:eastAsia="標楷體"/>
          <w:b w:val="false"/>
          <w:bCs w:val="false"/>
          <w:sz w:val="24"/>
          <w:szCs w:val="24"/>
        </w:rPr>
        <w:t xml:space="preserve">請依據政府採購法，說明那些廠商可以從事公共工程之技術服務工作，並說明其可以服務之工作類型。</w:t>
      </w:r>
    </w:p>
    <w:p>
      <w:pPr>
        <w:spacing w:after="120" w:before="0" w:line="340"/>
        <w:jc w:val="both"/>
      </w:pPr>
      <w:r>
        <w:rPr>
          <w:rFonts w:ascii="Times New Roman" w:eastAsia="標楷體"/>
          <w:b w:val="false"/>
          <w:bCs w:val="false"/>
          <w:color w:val="44546A"/>
          <w:sz w:val="22"/>
          <w:szCs w:val="22"/>
        </w:rPr>
        <w:t xml:space="preserve">【法源】政府採購法第 22 條第 1 項第 9 款、第 2 項；機關委託技術服務廠商評選及計費辦法第 2 條、第 3 條、第 4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就法源而言，政府採購法第 22 條第 1 項第 9 款規定，機關辦理公告金額以上之採購，委託專業服務、技術服務、資訊服務或社會福利服務，經公開客觀評選為優勝者，得採限制性招標；同條第 2 項授權主管機關訂定廠商評選辦法與服務費用計算方式，即「機關委託技術服務廠商評選及計費辦法」。該辦法第 2 條規定，機關依本法第 22 條第 1 項第 9 款以公開客觀評選方式委託廠商提供技術服務，其廠商評選與服務費用之計算方式依本辦法之規定。</w:t>
      </w:r>
    </w:p>
    <w:p>
      <w:pPr>
        <w:spacing w:after="120" w:before="0" w:line="340"/>
        <w:jc w:val="both"/>
      </w:pPr>
      <w:r>
        <w:rPr>
          <w:rFonts w:ascii="Times New Roman" w:eastAsia="標楷體"/>
          <w:b w:val="false"/>
          <w:bCs w:val="false"/>
          <w:sz w:val="24"/>
          <w:szCs w:val="24"/>
        </w:rPr>
        <w:t xml:space="preserve">就得從事公共工程技術服務工作之廠商而言，依該辦法第 3 條第 1 項，所稱技術服務指工程技術顧問公司、技師事務所、建築師事務所及其他依法令規定得提供技術性服務之自然人或法人所提供與技術有關之服務。故主體共四類：工程技術顧問公司、技師事務所、建築師事務所，以及其他依法令規定得提供技術性服務之自然人或法人。</w:t>
      </w:r>
    </w:p>
    <w:p>
      <w:pPr>
        <w:spacing w:after="120" w:before="0" w:line="340"/>
        <w:jc w:val="both"/>
      </w:pPr>
      <w:r>
        <w:rPr>
          <w:rFonts w:ascii="Times New Roman" w:eastAsia="標楷體"/>
          <w:b w:val="false"/>
          <w:bCs w:val="false"/>
          <w:sz w:val="24"/>
          <w:szCs w:val="24"/>
        </w:rPr>
        <w:t xml:space="preserve">尤應注意同條第 2 項之限制：前項技術服務，依法令應由專門職業及技術人員或法定機構提供者，不得由其他人員或機構提供。此一規定使技術服務之承攬與各專業法規之執業範圍相互鎖定，例如建築物之設計及監造依建築法第 13 條原則應由依法登記開業之建築師辦理，結構及設備專業工程部分應由依法登記開業之專業工業技師辦理，即不得由不具該資格者承接。</w:t>
      </w:r>
    </w:p>
    <w:p>
      <w:pPr>
        <w:spacing w:after="120" w:before="0" w:line="340"/>
        <w:jc w:val="both"/>
      </w:pPr>
      <w:r>
        <w:rPr>
          <w:rFonts w:ascii="Times New Roman" w:eastAsia="標楷體"/>
          <w:b w:val="false"/>
          <w:bCs w:val="false"/>
          <w:sz w:val="24"/>
          <w:szCs w:val="24"/>
        </w:rPr>
        <w:t xml:space="preserve">就服務之工作類型而言，依該辦法第 3 條第 1 項，包括可行性研究、規劃、設計、監造、專案管理或其他服務六類，其順序恰對應公共工程之生命週期。可行性研究處理計畫是否可行，依第 4 條得就計畫概要研擬、初步踏勘及現況調查、地形測量地質土壤水文氣象材料等資料蒐集與調查試驗、都市計畫與區域計畫之調查研究、需求調查分析、方案研擬及比較評估、成本初估與經濟效益評估、財務分析、風險及不定性分析、經營管理方式研究、運輸及交通衝擊評估、可行性報告及建議等項目擇定。規劃處理整體構想與配置，設計處理工程圖說與規範之製作，監造處理施工階段之查證與品質管理，專案管理則處理跨階段之進度成本品質與界面整合。答題時能將主體資格、專業法規之鎖定與工作類型三者串連說明，即為完整。</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（1）法源：政府採購法第22條第1項第9款及機關委託技術服務廠商評選及計費辦法</w:t>
      </w:r>
    </w:p>
    <w:p>
      <w:pPr>
        <w:spacing w:after="120" w:before="0" w:line="340"/>
        <w:jc w:val="both"/>
      </w:pPr>
      <w:r>
        <w:rPr>
          <w:rFonts w:ascii="Times New Roman" w:eastAsia="標楷體"/>
          <w:b w:val="false"/>
          <w:bCs w:val="false"/>
          <w:sz w:val="22"/>
          <w:szCs w:val="22"/>
        </w:rPr>
        <w:t xml:space="preserve">（2）以公開客觀評選為優勝者，得採限制性招標</w:t>
      </w:r>
    </w:p>
    <w:p>
      <w:pPr>
        <w:spacing w:after="120" w:before="0" w:line="340"/>
        <w:jc w:val="both"/>
      </w:pPr>
      <w:r>
        <w:rPr>
          <w:rFonts w:ascii="Times New Roman" w:eastAsia="標楷體"/>
          <w:b w:val="false"/>
          <w:bCs w:val="false"/>
          <w:sz w:val="22"/>
          <w:szCs w:val="22"/>
        </w:rPr>
        <w:t xml:space="preserve">（3）廠商主體：工程技術顧問公司</w:t>
      </w:r>
    </w:p>
    <w:p>
      <w:pPr>
        <w:spacing w:after="120" w:before="0" w:line="340"/>
        <w:jc w:val="both"/>
      </w:pPr>
      <w:r>
        <w:rPr>
          <w:rFonts w:ascii="Times New Roman" w:eastAsia="標楷體"/>
          <w:b w:val="false"/>
          <w:bCs w:val="false"/>
          <w:sz w:val="22"/>
          <w:szCs w:val="22"/>
        </w:rPr>
        <w:t xml:space="preserve">（4）廠商主體：技師事務所、建築師事務所</w:t>
      </w:r>
    </w:p>
    <w:p>
      <w:pPr>
        <w:spacing w:after="120" w:before="0" w:line="340"/>
        <w:jc w:val="both"/>
      </w:pPr>
      <w:r>
        <w:rPr>
          <w:rFonts w:ascii="Times New Roman" w:eastAsia="標楷體"/>
          <w:b w:val="false"/>
          <w:bCs w:val="false"/>
          <w:sz w:val="22"/>
          <w:szCs w:val="22"/>
        </w:rPr>
        <w:t xml:space="preserve">（5）廠商主體：其他依法令規定得提供技術性服務之自然人或法人</w:t>
      </w:r>
    </w:p>
    <w:p>
      <w:pPr>
        <w:spacing w:after="120" w:before="0" w:line="340"/>
        <w:jc w:val="both"/>
      </w:pPr>
      <w:r>
        <w:rPr>
          <w:rFonts w:ascii="Times New Roman" w:eastAsia="標楷體"/>
          <w:b w:val="false"/>
          <w:bCs w:val="false"/>
          <w:sz w:val="22"/>
          <w:szCs w:val="22"/>
        </w:rPr>
        <w:t xml:space="preserve">（6）限制：依法令應由專門職業及技術人員或法定機構提供者，不得由其他人員或機構提供</w:t>
      </w:r>
    </w:p>
    <w:p>
      <w:pPr>
        <w:spacing w:after="120" w:before="0" w:line="340"/>
        <w:jc w:val="both"/>
      </w:pPr>
      <w:r>
        <w:rPr>
          <w:rFonts w:ascii="Times New Roman" w:eastAsia="標楷體"/>
          <w:b w:val="false"/>
          <w:bCs w:val="false"/>
          <w:sz w:val="22"/>
          <w:szCs w:val="22"/>
        </w:rPr>
        <w:t xml:space="preserve">（7）工作類型：可行性研究、規劃、設計、監造、專案管理及其他服務</w:t>
      </w:r>
    </w:p>
    <w:p>
      <w:pPr>
        <w:pStyle w:val="Heading2"/>
        <w:spacing w:after="140" w:before="240"/>
      </w:pPr>
      <w:r>
        <w:rPr>
          <w:rFonts w:ascii="Times New Roman" w:eastAsia="標楷體"/>
          <w:b/>
          <w:bCs/>
          <w:color w:val="1F3864"/>
          <w:sz w:val="26"/>
          <w:szCs w:val="26"/>
        </w:rPr>
        <w:t xml:space="preserve">三、題目（25 分）</w:t>
      </w:r>
    </w:p>
    <w:p>
      <w:pPr>
        <w:spacing w:after="120" w:before="0" w:line="340"/>
        <w:jc w:val="both"/>
      </w:pPr>
      <w:r>
        <w:rPr>
          <w:rFonts w:ascii="Times New Roman" w:eastAsia="標楷體"/>
          <w:b w:val="false"/>
          <w:bCs w:val="false"/>
          <w:sz w:val="24"/>
          <w:szCs w:val="24"/>
        </w:rPr>
        <w:t xml:space="preserve">建築物的火災經常造成人員傷亡或財損，依建築物類別，有那些建築物應為防火構造。</w:t>
      </w:r>
    </w:p>
    <w:p>
      <w:pPr>
        <w:spacing w:after="120" w:before="0" w:line="340"/>
        <w:jc w:val="both"/>
      </w:pPr>
      <w:r>
        <w:rPr>
          <w:rFonts w:ascii="Times New Roman" w:eastAsia="標楷體"/>
          <w:b w:val="false"/>
          <w:bCs w:val="false"/>
          <w:color w:val="44546A"/>
          <w:sz w:val="22"/>
          <w:szCs w:val="22"/>
        </w:rPr>
        <w:t xml:space="preserve">【法源】建築技術規則建築設計施工編第 69 條；並涉第 1 條第 33 款防火構造之定義</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防火構造之定義，依建築技術規則建築設計施工編第 1 條第 33 款，指具有該編第三章第三節所定防火性能與時效之構造。應為防火構造之建築物，則規定於第 69 條，依建築物使用類組，以樓層、總樓地板面積及樓層與樓地板面積之組合三種判準認定。</w:t>
      </w:r>
    </w:p>
    <w:p>
      <w:pPr>
        <w:spacing w:after="120" w:before="0" w:line="340"/>
        <w:jc w:val="both"/>
      </w:pPr>
      <w:r>
        <w:rPr>
          <w:rFonts w:ascii="Times New Roman" w:eastAsia="標楷體"/>
          <w:b w:val="false"/>
          <w:bCs w:val="false"/>
          <w:sz w:val="24"/>
          <w:szCs w:val="24"/>
        </w:rPr>
        <w:t xml:space="preserve">依第 69 條附表，Ａ類公共集會類，全部組別、全部建築物均應為防火構造，無面積或樓層門檻，管制最嚴。Ｂ類商業類，三層以上之樓層，或總樓地板面積三千平方公尺以上，或二層部分之面積在五百平方公尺以上者。Ｃ類工業、倉儲類，三層以上之樓層，或總樓地板面積一千五百平方公尺以上（工廠除外），或變電所、飛機庫、汽車修理場、發電場、廢料堆置或處理場、廢棄物處理場及其他經地方主管建築機關認定之建築物，其總樓地板面積在一百五十平方公尺以上者。</w:t>
      </w:r>
    </w:p>
    <w:p>
      <w:pPr>
        <w:spacing w:after="120" w:before="0" w:line="340"/>
        <w:jc w:val="both"/>
      </w:pPr>
      <w:r>
        <w:rPr>
          <w:rFonts w:ascii="Times New Roman" w:eastAsia="標楷體"/>
          <w:b w:val="false"/>
          <w:bCs w:val="false"/>
          <w:sz w:val="24"/>
          <w:szCs w:val="24"/>
        </w:rPr>
        <w:t xml:space="preserve">Ｄ類休閒、文教類與Ｅ類宗教、殯葬類，三層以上之樓層，或總樓地板面積二千平方公尺以上。Ｆ類衛生、福利、更生類，三層以上之樓層，或二層面積在三百平方公尺以上；醫院限於有病房者。Ｇ類辦公、服務類，三層以上之樓層，或總樓地板面積二千平方公尺以上。Ｈ類住宿類，三層以上之樓層，或二層面積在三百平方公尺以上。Ｉ類危險物品類，依危險品種及儲藏量，另行由內政部以命令規定之。</w:t>
      </w:r>
    </w:p>
    <w:p>
      <w:pPr>
        <w:spacing w:after="120" w:before="0" w:line="340"/>
        <w:jc w:val="both"/>
      </w:pPr>
      <w:r>
        <w:rPr>
          <w:rFonts w:ascii="Times New Roman" w:eastAsia="標楷體"/>
          <w:b w:val="false"/>
          <w:bCs w:val="false"/>
          <w:sz w:val="24"/>
          <w:szCs w:val="24"/>
        </w:rPr>
        <w:t xml:space="preserve">另有二項重要說明。其一，第 69 條但書規定，工廠建築除依表列Ｃ類規定外，作業廠房樓地板面積合計超過五十平方公尺者，其主要構造均應以不燃材料建造。其二，附表說明指出，表內三層以上之樓層，係表示三層以上之任一樓層供表列用途時，該棟建築物即應為防火構造；如在第二層供同類用途使用，則可不受防火構造之限制，但該使用之樓地板面積超過表列規定時，即不論層數如何均應為防火構造。答題時能掌握「Ａ類全部、其餘類組以三層以上為原則並輔以面積門檻」之架構，並記住Ｆ類與Ｈ類之二層三百平方公尺門檻，即已具備得分要件。</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（1）指出法源為建築技術規則建築設計施工編第69條，並說明防火構造之定義</w:t>
      </w:r>
    </w:p>
    <w:p>
      <w:pPr>
        <w:spacing w:after="120" w:before="0" w:line="340"/>
        <w:jc w:val="both"/>
      </w:pPr>
      <w:r>
        <w:rPr>
          <w:rFonts w:ascii="Times New Roman" w:eastAsia="標楷體"/>
          <w:b w:val="false"/>
          <w:bCs w:val="false"/>
          <w:sz w:val="22"/>
          <w:szCs w:val="22"/>
        </w:rPr>
        <w:t xml:space="preserve">（2）Ａ類公共集會類：全部建築物均應為防火構造</w:t>
      </w:r>
    </w:p>
    <w:p>
      <w:pPr>
        <w:spacing w:after="120" w:before="0" w:line="340"/>
        <w:jc w:val="both"/>
      </w:pPr>
      <w:r>
        <w:rPr>
          <w:rFonts w:ascii="Times New Roman" w:eastAsia="標楷體"/>
          <w:b w:val="false"/>
          <w:bCs w:val="false"/>
          <w:sz w:val="22"/>
          <w:szCs w:val="22"/>
        </w:rPr>
        <w:t xml:space="preserve">（3）Ｂ類商業類：三層以上樓層、總樓地板面積3000平方公尺以上、二層部分500平方公尺以上</w:t>
      </w:r>
    </w:p>
    <w:p>
      <w:pPr>
        <w:spacing w:after="120" w:before="0" w:line="340"/>
        <w:jc w:val="both"/>
      </w:pPr>
      <w:r>
        <w:rPr>
          <w:rFonts w:ascii="Times New Roman" w:eastAsia="標楷體"/>
          <w:b w:val="false"/>
          <w:bCs w:val="false"/>
          <w:sz w:val="22"/>
          <w:szCs w:val="22"/>
        </w:rPr>
        <w:t xml:space="preserve">（4）Ｃ類工業倉儲類：三層以上樓層、總樓地板面積1500平方公尺以上（工廠除外）、特定設施150平方公尺以上</w:t>
      </w:r>
    </w:p>
    <w:p>
      <w:pPr>
        <w:spacing w:after="120" w:before="0" w:line="340"/>
        <w:jc w:val="both"/>
      </w:pPr>
      <w:r>
        <w:rPr>
          <w:rFonts w:ascii="Times New Roman" w:eastAsia="標楷體"/>
          <w:b w:val="false"/>
          <w:bCs w:val="false"/>
          <w:sz w:val="22"/>
          <w:szCs w:val="22"/>
        </w:rPr>
        <w:t xml:space="preserve">（5）Ｄ、Ｅ、Ｇ類：三層以上樓層或總樓地板面積2000平方公尺以上</w:t>
      </w:r>
    </w:p>
    <w:p>
      <w:pPr>
        <w:spacing w:after="120" w:before="0" w:line="340"/>
        <w:jc w:val="both"/>
      </w:pPr>
      <w:r>
        <w:rPr>
          <w:rFonts w:ascii="Times New Roman" w:eastAsia="標楷體"/>
          <w:b w:val="false"/>
          <w:bCs w:val="false"/>
          <w:sz w:val="22"/>
          <w:szCs w:val="22"/>
        </w:rPr>
        <w:t xml:space="preserve">（6）Ｆ類衛生福利更生類與Ｈ類住宿類：三層以上樓層或二層面積300平方公尺以上</w:t>
      </w:r>
    </w:p>
    <w:p>
      <w:pPr>
        <w:spacing w:after="120" w:before="0" w:line="340"/>
        <w:jc w:val="both"/>
      </w:pPr>
      <w:r>
        <w:rPr>
          <w:rFonts w:ascii="Times New Roman" w:eastAsia="標楷體"/>
          <w:b w:val="false"/>
          <w:bCs w:val="false"/>
          <w:sz w:val="22"/>
          <w:szCs w:val="22"/>
        </w:rPr>
        <w:t xml:space="preserve">（7）Ｉ類危險物品類另由內政部以命令規定；工廠作業廠房超過50平方公尺應以不燃材料建造</w:t>
      </w:r>
    </w:p>
    <w:p>
      <w:pPr>
        <w:pStyle w:val="Heading2"/>
        <w:spacing w:after="140" w:before="240"/>
      </w:pPr>
      <w:r>
        <w:rPr>
          <w:rFonts w:ascii="Times New Roman" w:eastAsia="標楷體"/>
          <w:b/>
          <w:bCs/>
          <w:color w:val="1F3864"/>
          <w:sz w:val="26"/>
          <w:szCs w:val="26"/>
        </w:rPr>
        <w:t xml:space="preserve">四、題目（25 分）</w:t>
      </w:r>
    </w:p>
    <w:p>
      <w:pPr>
        <w:spacing w:after="120" w:before="0" w:line="340"/>
        <w:jc w:val="both"/>
      </w:pPr>
      <w:r>
        <w:rPr>
          <w:rFonts w:ascii="Times New Roman" w:eastAsia="標楷體"/>
          <w:b w:val="false"/>
          <w:bCs w:val="false"/>
          <w:sz w:val="24"/>
          <w:szCs w:val="24"/>
        </w:rPr>
        <w:t xml:space="preserve">依據區域計畫法對於區域土地使用管制，申請開發之案件，經審議符合那些條件得許可開發。</w:t>
      </w:r>
    </w:p>
    <w:p>
      <w:pPr>
        <w:spacing w:after="120" w:before="0" w:line="340"/>
        <w:jc w:val="both"/>
      </w:pPr>
      <w:r>
        <w:rPr>
          <w:rFonts w:ascii="Times New Roman" w:eastAsia="標楷體"/>
          <w:b w:val="false"/>
          <w:bCs w:val="false"/>
          <w:color w:val="44546A"/>
          <w:sz w:val="22"/>
          <w:szCs w:val="22"/>
        </w:rPr>
        <w:t xml:space="preserve">【法源】區域計畫法第 15 條之 1 第 1 項第 2 款、第 15 條之 2</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應先說明開發許可制之運作架構。依區域計畫法第 15 條之 1 第 1 項，區域計畫完成通盤檢討公告實施後，不屬第 11 條之非都市土地，符合非都市土地分區使用計畫者，得依二種方式辦理分區變更：第一款為政府為加強資源保育須檢討變更使用分區者，得由直轄市、縣（市）政府報經上級主管機關核定時逕為辦理；第二款為為開發利用，依各該區域計畫之規定，由申請人擬具開發計畫，檢同有關文件，向直轄市、縣（市）政府申請，報經各該區域計畫擬定機關許可後辦理分區變更。同條第 2 項規定，區域計畫擬定機關為前項第二款計畫之許可前，應先將申請開發案提報各該區域計畫委員會審議之。</w:t>
      </w:r>
    </w:p>
    <w:p>
      <w:pPr>
        <w:spacing w:after="120" w:before="0" w:line="340"/>
        <w:jc w:val="both"/>
      </w:pPr>
      <w:r>
        <w:rPr>
          <w:rFonts w:ascii="Times New Roman" w:eastAsia="標楷體"/>
          <w:b w:val="false"/>
          <w:bCs w:val="false"/>
          <w:sz w:val="24"/>
          <w:szCs w:val="24"/>
        </w:rPr>
        <w:t xml:space="preserve">依第 15 條之 2 第 1 項，依前條第 1 項第 2 款規定申請開發之案件，經審議符合下列各款條件，得許可開發，共五款：於國土利用係屬適當而合理者；不違反中央、直轄市或縣（市）政府基於中央法規或地方自治法規所為之土地利用或環境保護計畫者；對環境保護、自然保育及災害防止為妥適規劃者；與水源供應、鄰近之交通設施、排水系統、電力、電信及垃圾處理等公共設施及公用設備服務能相互配合者；取得開發地區土地及建築物權利證明文件者。同條第 2 項並規定，前項審議之作業規範由中央主管機關會商有關機關定之。</w:t>
      </w:r>
    </w:p>
    <w:p>
      <w:pPr>
        <w:spacing w:after="120" w:before="0" w:line="340"/>
        <w:jc w:val="both"/>
      </w:pPr>
      <w:r>
        <w:rPr>
          <w:rFonts w:ascii="Times New Roman" w:eastAsia="標楷體"/>
          <w:b w:val="false"/>
          <w:bCs w:val="false"/>
          <w:sz w:val="24"/>
          <w:szCs w:val="24"/>
        </w:rPr>
        <w:t xml:space="preserve">五款條件可歸納為四個審查面向。第一款為國土利用之適當性與合理性，屬總體性判斷，涉及開發區位與國土空間發展方向是否相符。第二款為計畫一致性，要求不得牴觸上位之土地利用或環境保護計畫，此為法規範層次之檢驗。第三款為環境承載，要求就環境保護、自然保育及災害防止為妥適規劃，與環境影響評估及水土保持之審查相互配合。</w:t>
      </w:r>
    </w:p>
    <w:p>
      <w:pPr>
        <w:spacing w:after="120" w:before="0" w:line="340"/>
        <w:jc w:val="both"/>
      </w:pPr>
      <w:r>
        <w:rPr>
          <w:rFonts w:ascii="Times New Roman" w:eastAsia="標楷體"/>
          <w:b w:val="false"/>
          <w:bCs w:val="false"/>
          <w:sz w:val="24"/>
          <w:szCs w:val="24"/>
        </w:rPr>
        <w:t xml:space="preserve">第四款為公共設施與公用設備之服務水準，要求開發強度須與水源供應、交通設施、排水系統、電力、電信及垃圾處理之供給能力相互配合，避免將外部成本轉嫁予公部門或鄰近地區。第五款為權利基礎，要求取得開發地區土地及建築物權利證明文件，確保申請人具備實施能力。答題時可補充說明，開發許可制之精神在於由申請人負舉證責任、由計畫機關就個案進行綜合審議，與都市計畫地區之土地使用分區管制採一般性規範之方式不同。</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（1）指出法源為區域計畫法第15條之2，並說明第15條之1第1項第2款之申請程序</w:t>
      </w:r>
    </w:p>
    <w:p>
      <w:pPr>
        <w:spacing w:after="120" w:before="0" w:line="340"/>
        <w:jc w:val="both"/>
      </w:pPr>
      <w:r>
        <w:rPr>
          <w:rFonts w:ascii="Times New Roman" w:eastAsia="標楷體"/>
          <w:b w:val="false"/>
          <w:bCs w:val="false"/>
          <w:sz w:val="22"/>
          <w:szCs w:val="22"/>
        </w:rPr>
        <w:t xml:space="preserve">（2）條件一：於國土利用係屬適當而合理</w:t>
      </w:r>
    </w:p>
    <w:p>
      <w:pPr>
        <w:spacing w:after="120" w:before="0" w:line="340"/>
        <w:jc w:val="both"/>
      </w:pPr>
      <w:r>
        <w:rPr>
          <w:rFonts w:ascii="Times New Roman" w:eastAsia="標楷體"/>
          <w:b w:val="false"/>
          <w:bCs w:val="false"/>
          <w:sz w:val="22"/>
          <w:szCs w:val="22"/>
        </w:rPr>
        <w:t xml:space="preserve">（3）條件二：不違反中央或地方政府所為之土地利用或環境保護計畫</w:t>
      </w:r>
    </w:p>
    <w:p>
      <w:pPr>
        <w:spacing w:after="120" w:before="0" w:line="340"/>
        <w:jc w:val="both"/>
      </w:pPr>
      <w:r>
        <w:rPr>
          <w:rFonts w:ascii="Times New Roman" w:eastAsia="標楷體"/>
          <w:b w:val="false"/>
          <w:bCs w:val="false"/>
          <w:sz w:val="22"/>
          <w:szCs w:val="22"/>
        </w:rPr>
        <w:t xml:space="preserve">（4）條件三：對環境保護、自然保育及災害防止為妥適規劃</w:t>
      </w:r>
    </w:p>
    <w:p>
      <w:pPr>
        <w:spacing w:after="120" w:before="0" w:line="340"/>
        <w:jc w:val="both"/>
      </w:pPr>
      <w:r>
        <w:rPr>
          <w:rFonts w:ascii="Times New Roman" w:eastAsia="標楷體"/>
          <w:b w:val="false"/>
          <w:bCs w:val="false"/>
          <w:sz w:val="22"/>
          <w:szCs w:val="22"/>
        </w:rPr>
        <w:t xml:space="preserve">（5）條件四：與水源供應、交通設施、排水系統、電力、電信及垃圾處理等公共設施及公用設備服務能相互配合</w:t>
      </w:r>
    </w:p>
    <w:p>
      <w:pPr>
        <w:spacing w:after="120" w:before="0" w:line="340"/>
        <w:jc w:val="both"/>
      </w:pPr>
      <w:r>
        <w:rPr>
          <w:rFonts w:ascii="Times New Roman" w:eastAsia="標楷體"/>
          <w:b w:val="false"/>
          <w:bCs w:val="false"/>
          <w:sz w:val="22"/>
          <w:szCs w:val="22"/>
        </w:rPr>
        <w:t xml:space="preserve">（6）條件五：取得開發地區土地及建築物權利證明文件</w:t>
      </w:r>
    </w:p>
    <w:p>
      <w:pPr>
        <w:spacing w:after="120" w:before="0" w:line="340"/>
        <w:jc w:val="both"/>
      </w:pPr>
      <w:r>
        <w:rPr>
          <w:rFonts w:ascii="Times New Roman" w:eastAsia="標楷體"/>
          <w:b w:val="false"/>
          <w:bCs w:val="false"/>
          <w:sz w:val="22"/>
          <w:szCs w:val="22"/>
        </w:rPr>
        <w:t xml:space="preserve">（7）能說明開發許可制之審查精神與作業規範由中央主管機關會商定之</w:t>
      </w:r>
    </w:p>
    <w:p>
      <w:r>
        <w:br w:type="page"/>
      </w:r>
    </w:p>
    <w:p>
      <w:pPr>
        <w:pStyle w:val="Heading1"/>
        <w:spacing w:after="140" w:before="400"/>
      </w:pPr>
      <w:r>
        <w:rPr>
          <w:rFonts w:ascii="Times New Roman" w:eastAsia="標楷體"/>
          <w:b/>
          <w:bCs/>
          <w:color w:val="1F3864"/>
          <w:sz w:val="28"/>
          <w:szCs w:val="28"/>
        </w:rPr>
        <w:t xml:space="preserve">115 年公務人員普通考試 建築工程 營建法規概要（試題代號 44030）</w:t>
      </w:r>
    </w:p>
    <w:p>
      <w:pPr>
        <w:pStyle w:val="Heading2"/>
        <w:spacing w:after="140" w:before="240"/>
      </w:pPr>
      <w:r>
        <w:rPr>
          <w:rFonts w:ascii="Times New Roman" w:eastAsia="標楷體"/>
          <w:b/>
          <w:bCs/>
          <w:color w:val="1F3864"/>
          <w:sz w:val="26"/>
          <w:szCs w:val="26"/>
        </w:rPr>
        <w:t xml:space="preserve">一、題目（25 分）</w:t>
      </w:r>
    </w:p>
    <w:p>
      <w:pPr>
        <w:spacing w:after="120" w:before="0" w:line="340"/>
        <w:jc w:val="both"/>
      </w:pPr>
      <w:r>
        <w:rPr>
          <w:rFonts w:ascii="Times New Roman" w:eastAsia="標楷體"/>
          <w:b w:val="false"/>
          <w:bCs w:val="false"/>
          <w:sz w:val="24"/>
          <w:szCs w:val="24"/>
        </w:rPr>
        <w:t xml:space="preserve">區域計畫法由何機關擬定、審議及核定？</w:t>
      </w:r>
    </w:p>
    <w:p>
      <w:pPr>
        <w:spacing w:after="120" w:before="0" w:line="340"/>
        <w:jc w:val="both"/>
      </w:pPr>
      <w:r>
        <w:rPr>
          <w:rFonts w:ascii="Times New Roman" w:eastAsia="標楷體"/>
          <w:b w:val="false"/>
          <w:bCs w:val="false"/>
          <w:color w:val="44546A"/>
          <w:sz w:val="22"/>
          <w:szCs w:val="22"/>
        </w:rPr>
        <w:t xml:space="preserve">【法源】區域計畫法第 9 條；並涉第 4 條、第 6 條、第 13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區域計畫之擬定、審議及核定，其權責分配規定於區域計畫法第 9 條。該條規定區域計畫依下列規定程序核定之，共四款，由各款文字即可反推擬定機關、審議機關與核定機關三者。</w:t>
      </w:r>
    </w:p>
    <w:p>
      <w:pPr>
        <w:spacing w:after="120" w:before="0" w:line="340"/>
        <w:jc w:val="both"/>
      </w:pPr>
      <w:r>
        <w:rPr>
          <w:rFonts w:ascii="Times New Roman" w:eastAsia="標楷體"/>
          <w:b w:val="false"/>
          <w:bCs w:val="false"/>
          <w:sz w:val="24"/>
          <w:szCs w:val="24"/>
        </w:rPr>
        <w:t xml:space="preserve">就擬定機關而言，依第 9 條各款，區域計畫得由中央主管機關、直轄市主管機關或縣（市）主管機關擬定。依同法第 4 條，本法之主管機關在中央為內政部，在直轄市為直轄市政府，在縣（市）為縣（市）政府。另依第 6 條第 2 項，主管機關擬定區域計畫時，得要求有關政府機關或民間團體提供資料；上級主管機關並得於下級主管機關逾期未擬定時，代為擬定，此時依第 9 條第四款比照第一款程序辦理。</w:t>
      </w:r>
    </w:p>
    <w:p>
      <w:pPr>
        <w:spacing w:after="120" w:before="0" w:line="340"/>
        <w:jc w:val="both"/>
      </w:pPr>
      <w:r>
        <w:rPr>
          <w:rFonts w:ascii="Times New Roman" w:eastAsia="標楷體"/>
          <w:b w:val="false"/>
          <w:bCs w:val="false"/>
          <w:sz w:val="24"/>
          <w:szCs w:val="24"/>
        </w:rPr>
        <w:t xml:space="preserve">就審議機關而言，一律為各該層級之區域計畫委員會。中央主管機關擬定者，經中央區域計畫委員會審議通過；直轄市主管機關擬定者，經直轄市區域計畫委員會審議通過；縣（市）主管機關擬定者，經縣（市）區域計畫委員會審議通過。審議採委員會合議制，目的在於引入專業與多元意見。</w:t>
      </w:r>
    </w:p>
    <w:p>
      <w:pPr>
        <w:spacing w:after="120" w:before="0" w:line="340"/>
        <w:jc w:val="both"/>
      </w:pPr>
      <w:r>
        <w:rPr>
          <w:rFonts w:ascii="Times New Roman" w:eastAsia="標楷體"/>
          <w:b w:val="false"/>
          <w:bCs w:val="false"/>
          <w:sz w:val="24"/>
          <w:szCs w:val="24"/>
        </w:rPr>
        <w:t xml:space="preserve">就核定機關而言，依擬定層級而異。中央主管機關擬定之區域計畫，經中央區域計畫委員會審議通過後，報請行政院備案；直轄市主管機關擬定之區域計畫，經直轄市區域計畫委員會審議通過後，報請中央主管機關核定；縣（市）主管機關擬定之區域計畫，經縣（市）區域計畫委員會審議通過後，報請中央主管機關核定。應特別辨明者為，中央擬定者係報行政院「備案」而非核定，蓋中央主管機關本身即為最高計畫主管機關，行政院之角色為事後知悉與監督；直轄市與縣（市）擬定者則須報中央主管機關「核定」，屬事前之合法性與適當性監督。此一「備案」與「核定」之區別，是本題最關鍵之得分點。另依第 13 條，區域計畫公告實施後應每五年通盤檢討一次，其變更依第 9 條及第 10 條程序辦理。</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（1）擬定機關：中央主管機關（內政部）、直轄市主管機關、縣（市）主管機關</w:t>
      </w:r>
    </w:p>
    <w:p>
      <w:pPr>
        <w:spacing w:after="120" w:before="0" w:line="340"/>
        <w:jc w:val="both"/>
      </w:pPr>
      <w:r>
        <w:rPr>
          <w:rFonts w:ascii="Times New Roman" w:eastAsia="標楷體"/>
          <w:b w:val="false"/>
          <w:bCs w:val="false"/>
          <w:sz w:val="22"/>
          <w:szCs w:val="22"/>
        </w:rPr>
        <w:t xml:space="preserve">（2）審議機關：各該層級之區域計畫委員會</w:t>
      </w:r>
    </w:p>
    <w:p>
      <w:pPr>
        <w:spacing w:after="120" w:before="0" w:line="340"/>
        <w:jc w:val="both"/>
      </w:pPr>
      <w:r>
        <w:rPr>
          <w:rFonts w:ascii="Times New Roman" w:eastAsia="標楷體"/>
          <w:b w:val="false"/>
          <w:bCs w:val="false"/>
          <w:sz w:val="22"/>
          <w:szCs w:val="22"/>
        </w:rPr>
        <w:t xml:space="preserve">（3）中央主管機關擬定者，經中央區域計畫委員會審議通過，報請行政院備案</w:t>
      </w:r>
    </w:p>
    <w:p>
      <w:pPr>
        <w:spacing w:after="120" w:before="0" w:line="340"/>
        <w:jc w:val="both"/>
      </w:pPr>
      <w:r>
        <w:rPr>
          <w:rFonts w:ascii="Times New Roman" w:eastAsia="標楷體"/>
          <w:b w:val="false"/>
          <w:bCs w:val="false"/>
          <w:sz w:val="22"/>
          <w:szCs w:val="22"/>
        </w:rPr>
        <w:t xml:space="preserve">（4）直轄市主管機關擬定者，經直轄市區域計畫委員會審議通過，報請中央主管機關核定</w:t>
      </w:r>
    </w:p>
    <w:p>
      <w:pPr>
        <w:spacing w:after="120" w:before="0" w:line="340"/>
        <w:jc w:val="both"/>
      </w:pPr>
      <w:r>
        <w:rPr>
          <w:rFonts w:ascii="Times New Roman" w:eastAsia="標楷體"/>
          <w:b w:val="false"/>
          <w:bCs w:val="false"/>
          <w:sz w:val="22"/>
          <w:szCs w:val="22"/>
        </w:rPr>
        <w:t xml:space="preserve">（5）縣（市）主管機關擬定者，經縣（市）區域計畫委員會審議通過，報請中央主管機關核定</w:t>
      </w:r>
    </w:p>
    <w:p>
      <w:pPr>
        <w:spacing w:after="120" w:before="0" w:line="340"/>
        <w:jc w:val="both"/>
      </w:pPr>
      <w:r>
        <w:rPr>
          <w:rFonts w:ascii="Times New Roman" w:eastAsia="標楷體"/>
          <w:b w:val="false"/>
          <w:bCs w:val="false"/>
          <w:sz w:val="22"/>
          <w:szCs w:val="22"/>
        </w:rPr>
        <w:t xml:space="preserve">（6）辨明「備案」與「核定」之區別</w:t>
      </w:r>
    </w:p>
    <w:p>
      <w:pPr>
        <w:spacing w:after="120" w:before="0" w:line="340"/>
        <w:jc w:val="both"/>
      </w:pPr>
      <w:r>
        <w:rPr>
          <w:rFonts w:ascii="Times New Roman" w:eastAsia="標楷體"/>
          <w:b w:val="false"/>
          <w:bCs w:val="false"/>
          <w:sz w:val="22"/>
          <w:szCs w:val="22"/>
        </w:rPr>
        <w:t xml:space="preserve">（7）延伸：上級主管機關代為擬定者比照第一款程序；每五年通盤檢討一次</w:t>
      </w:r>
    </w:p>
    <w:p>
      <w:pPr>
        <w:pStyle w:val="Heading2"/>
        <w:spacing w:after="140" w:before="240"/>
      </w:pPr>
      <w:r>
        <w:rPr>
          <w:rFonts w:ascii="Times New Roman" w:eastAsia="標楷體"/>
          <w:b/>
          <w:bCs/>
          <w:color w:val="1F3864"/>
          <w:sz w:val="26"/>
          <w:szCs w:val="26"/>
        </w:rPr>
        <w:t xml:space="preserve">二、題目（25 分）</w:t>
      </w:r>
    </w:p>
    <w:p>
      <w:pPr>
        <w:spacing w:after="120" w:before="0" w:line="340"/>
        <w:jc w:val="both"/>
      </w:pPr>
      <w:r>
        <w:rPr>
          <w:rFonts w:ascii="Times New Roman" w:eastAsia="標楷體"/>
          <w:b w:val="false"/>
          <w:bCs w:val="false"/>
          <w:sz w:val="24"/>
          <w:szCs w:val="24"/>
        </w:rPr>
        <w:t xml:space="preserve">依據營造業法規定，營造業之專任工程人員與工地主任應具備何種資格始得擔任？（15 分）專任工程人員與工地主任之職責如何區別？（10 分）</w:t>
      </w:r>
    </w:p>
    <w:p>
      <w:pPr>
        <w:spacing w:after="120" w:before="0" w:line="340"/>
        <w:jc w:val="both"/>
      </w:pPr>
      <w:r>
        <w:rPr>
          <w:rFonts w:ascii="Times New Roman" w:eastAsia="標楷體"/>
          <w:b w:val="false"/>
          <w:bCs w:val="false"/>
          <w:color w:val="44546A"/>
          <w:sz w:val="22"/>
          <w:szCs w:val="22"/>
        </w:rPr>
        <w:t xml:space="preserve">【法源】營造業法第 3 條第 9 款及第 10 款、第 7 條、第 30 條、第 31 條、第 32 條、第 35 條；並涉建築法第 15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就專任工程人員之資格而言，依營造業法第 3 條第 9 款，專任工程人員係指受聘於營造業之技師或建築師，擔任其所承攬工程之施工技術指導及施工安全之人員；其為技師者應稱主任技師，其為建築師者應稱主任建築師。故其資格門檻為依法取得技師或建築師資格。以綜合營造業為例，依第 7 條第 1 項第 1 款，應置領有土木、水利、測量、環工、結構、大地或水土保持工程科技師證書或建築師證書，並於考試取得技師證書前修習土木建築相關課程一定學分以上，具二年以上土木建築工程經驗之專任工程人員一人以上。同條第 2 項並規定，專任工程人員為技師者，應加入各該營造業所在地之技師公會後，始得受聘於綜合營造業。此外建築法第 15 條第 1 項亦規定，營造業應設置專任工程人員，負承攬工程之施工責任。</w:t>
      </w:r>
    </w:p>
    <w:p>
      <w:pPr>
        <w:spacing w:after="120" w:before="0" w:line="340"/>
        <w:jc w:val="both"/>
      </w:pPr>
      <w:r>
        <w:rPr>
          <w:rFonts w:ascii="Times New Roman" w:eastAsia="標楷體"/>
          <w:b w:val="false"/>
          <w:bCs w:val="false"/>
          <w:sz w:val="24"/>
          <w:szCs w:val="24"/>
        </w:rPr>
        <w:t xml:space="preserve">就工地主任之資格而言，依第 3 條第 10 款，工地主任係指受聘於營造業，擔任其所承攬工程之工地事務及施工管理之人員。依第 30 條，營造業承攬一定金額或一定規模以上之工程，其施工期間應於工地置工地主任，且工地主任於施工期間不得同時兼任其他營造工地主任之業務。依第 31 條第 1 項，工地主任應符合六款學經歷資格之一，並另經中央主管機關評定合格或取得營造工程管理甲級技術士證，由中央主管機關核發工地主任執業證者，始得擔任。六款資格分別為：專科以上學校土木、建築、營建、水利、環境或相關系科畢業並有二年以上經驗；職業學校土木、建築或相關類科畢業並有五年以上經驗；高級中學或職業學校以上畢業並有十年以上經驗；普通考試或相當於普通考試以上之特種考試土木、建築或相關類科考試及格並有二年以上經驗；領有建築工程管理甲級或乙級技術士證並有三年以上經驗；專業營造業得以領有該項專業甲級或乙級技術士證並有三年以上該項專業工程經驗者為之。同條第 3 項並規定，取得工地主任執業證者每逾四年應再取得最近四年內回訓證明，始得擔任。</w:t>
      </w:r>
    </w:p>
    <w:p>
      <w:pPr>
        <w:spacing w:after="120" w:before="0" w:line="340"/>
        <w:jc w:val="both"/>
      </w:pPr>
      <w:r>
        <w:rPr>
          <w:rFonts w:ascii="Times New Roman" w:eastAsia="標楷體"/>
          <w:b w:val="false"/>
          <w:bCs w:val="false"/>
          <w:sz w:val="24"/>
          <w:szCs w:val="24"/>
        </w:rPr>
        <w:t xml:space="preserve">就職責之區別而言，專任工程人員依第 35 條負責辦理八項工作：查核施工計畫書並於認可後簽名或蓋章；於開工、竣工報告文件及工程查報表簽名或蓋章；督察按圖施工、解決施工技術問題；依工地主任之通報處理工地緊急異常狀況；查驗工程時到場說明並於查驗文件簽名或蓋章；營繕工程必須勘驗部分赴現場履勘並於申報勘驗文件簽名或蓋章；主管機關勘驗工程時在場說明並於相關文件簽名或蓋章；其他依法令規定應辦理之事項。</w:t>
      </w:r>
    </w:p>
    <w:p>
      <w:pPr>
        <w:spacing w:after="120" w:before="0" w:line="340"/>
        <w:jc w:val="both"/>
      </w:pPr>
      <w:r>
        <w:rPr>
          <w:rFonts w:ascii="Times New Roman" w:eastAsia="標楷體"/>
          <w:b w:val="false"/>
          <w:bCs w:val="false"/>
          <w:sz w:val="24"/>
          <w:szCs w:val="24"/>
        </w:rPr>
        <w:t xml:space="preserve">工地主任依第 32 條負責辦理六項工作：依施工計畫書執行按圖施工；按日填報施工日誌；工地之人員、機具及材料等管理；工地勞工安全衛生事項之督導、公共環境與安全之維護及其他工地行政事務；工地遇緊急異常狀況之通報；其他依法令規定應辦理之事項。營造業承攬之工程免依第 30 條置工地主任者，前項工作應由專任工程人員或指定專人為之。兩者職責之根本區別在於：專任工程人員為技術責任主體，其工作核心為簽證與技術指導，故八項中有五項涉及簽名或蓋章；工地主任為管理責任主體，其工作核心為現場執行與管理，故以按圖施工、填報日誌、人機料管理與安衛督導為主。兩者於緊急異常狀況之處理上形成明確銜接：工地主任負責通報，專任工程人員負責處理。</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（1）專任工程人員為受聘於營造業之技師或建築師，其為技師者稱主任技師、建築師者稱主任建築師</w:t>
      </w:r>
    </w:p>
    <w:p>
      <w:pPr>
        <w:spacing w:after="120" w:before="0" w:line="340"/>
        <w:jc w:val="both"/>
      </w:pPr>
      <w:r>
        <w:rPr>
          <w:rFonts w:ascii="Times New Roman" w:eastAsia="標楷體"/>
          <w:b w:val="false"/>
          <w:bCs w:val="false"/>
          <w:sz w:val="22"/>
          <w:szCs w:val="22"/>
        </w:rPr>
        <w:t xml:space="preserve">（2）綜合營造業之專任工程人員須具相關科技師證書或建築師證書並具二年以上經驗，技師並應加入技師公會</w:t>
      </w:r>
    </w:p>
    <w:p>
      <w:pPr>
        <w:spacing w:after="120" w:before="0" w:line="340"/>
        <w:jc w:val="both"/>
      </w:pPr>
      <w:r>
        <w:rPr>
          <w:rFonts w:ascii="Times New Roman" w:eastAsia="標楷體"/>
          <w:b w:val="false"/>
          <w:bCs w:val="false"/>
          <w:sz w:val="22"/>
          <w:szCs w:val="22"/>
        </w:rPr>
        <w:t xml:space="preserve">（3）工地主任為受聘於營造業，擔任工地事務及施工管理之人員；一定金額或規模以上工程應設置且不得兼任</w:t>
      </w:r>
    </w:p>
    <w:p>
      <w:pPr>
        <w:spacing w:after="120" w:before="0" w:line="340"/>
        <w:jc w:val="both"/>
      </w:pPr>
      <w:r>
        <w:rPr>
          <w:rFonts w:ascii="Times New Roman" w:eastAsia="標楷體"/>
          <w:b w:val="false"/>
          <w:bCs w:val="false"/>
          <w:sz w:val="22"/>
          <w:szCs w:val="22"/>
        </w:rPr>
        <w:t xml:space="preserve">（4）工地主任須符合學經歷資格之一，並經評定合格或取得營造工程管理甲級技術士證，領有執業證</w:t>
      </w:r>
    </w:p>
    <w:p>
      <w:pPr>
        <w:spacing w:after="120" w:before="0" w:line="340"/>
        <w:jc w:val="both"/>
      </w:pPr>
      <w:r>
        <w:rPr>
          <w:rFonts w:ascii="Times New Roman" w:eastAsia="標楷體"/>
          <w:b w:val="false"/>
          <w:bCs w:val="false"/>
          <w:sz w:val="22"/>
          <w:szCs w:val="22"/>
        </w:rPr>
        <w:t xml:space="preserve">（5）工地主任執業證每逾四年應取得最近四年內回訓證明</w:t>
      </w:r>
    </w:p>
    <w:p>
      <w:pPr>
        <w:spacing w:after="120" w:before="0" w:line="340"/>
        <w:jc w:val="both"/>
      </w:pPr>
      <w:r>
        <w:rPr>
          <w:rFonts w:ascii="Times New Roman" w:eastAsia="標楷體"/>
          <w:b w:val="false"/>
          <w:bCs w:val="false"/>
          <w:sz w:val="22"/>
          <w:szCs w:val="22"/>
        </w:rPr>
        <w:t xml:space="preserve">（6）專任工程人員職責：查核施工計畫書、簽章、督察按圖施工、解決技術問題、查驗與勘驗到場說明</w:t>
      </w:r>
    </w:p>
    <w:p>
      <w:pPr>
        <w:spacing w:after="120" w:before="0" w:line="340"/>
        <w:jc w:val="both"/>
      </w:pPr>
      <w:r>
        <w:rPr>
          <w:rFonts w:ascii="Times New Roman" w:eastAsia="標楷體"/>
          <w:b w:val="false"/>
          <w:bCs w:val="false"/>
          <w:sz w:val="22"/>
          <w:szCs w:val="22"/>
        </w:rPr>
        <w:t xml:space="preserve">（7）工地主任職責：按圖施工、按日填報施工日誌、人機料管理、安衛督導、緊急異常通報</w:t>
      </w:r>
    </w:p>
    <w:p>
      <w:pPr>
        <w:pStyle w:val="Heading2"/>
        <w:spacing w:after="140" w:before="240"/>
      </w:pPr>
      <w:r>
        <w:rPr>
          <w:rFonts w:ascii="Times New Roman" w:eastAsia="標楷體"/>
          <w:b/>
          <w:bCs/>
          <w:color w:val="1F3864"/>
          <w:sz w:val="26"/>
          <w:szCs w:val="26"/>
        </w:rPr>
        <w:t xml:space="preserve">三、題目（25 分）</w:t>
      </w:r>
    </w:p>
    <w:p>
      <w:pPr>
        <w:spacing w:after="120" w:before="0" w:line="340"/>
        <w:jc w:val="both"/>
      </w:pPr>
      <w:r>
        <w:rPr>
          <w:rFonts w:ascii="Times New Roman" w:eastAsia="標楷體"/>
          <w:b w:val="false"/>
          <w:bCs w:val="false"/>
          <w:sz w:val="24"/>
          <w:szCs w:val="24"/>
        </w:rPr>
        <w:t xml:space="preserve">建築物在施工中，可能因何種原因遭主管建築機關勒令停工或修改或強制拆除？（13 分）請舉二例說明之。（12 分）</w:t>
      </w:r>
    </w:p>
    <w:p>
      <w:pPr>
        <w:spacing w:after="120" w:before="0" w:line="340"/>
        <w:jc w:val="both"/>
      </w:pPr>
      <w:r>
        <w:rPr>
          <w:rFonts w:ascii="Times New Roman" w:eastAsia="標楷體"/>
          <w:b w:val="false"/>
          <w:bCs w:val="false"/>
          <w:color w:val="44546A"/>
          <w:sz w:val="22"/>
          <w:szCs w:val="22"/>
        </w:rPr>
        <w:t xml:space="preserve">【法源】建築法第 58 條；並涉第 59 條、第 61 條、第 81 條、第 82 條、第 93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建築法第 58 條規定，建築物在施工中，直轄市、縣（市）（局）主管建築機關認有必要時，得隨時加以勘驗，發現下列情事之一者，應以書面通知承造人或起造人或監造人，勒令停工或修改；必要時，得強制拆除。七款情事為：妨礙都市計畫者；妨礙區域計畫者；危害公共安全者；妨礙公共交通者；妨礙公共衛生者；主要構造或位置或高度或面積與核定工程圖樣及說明書不符者；違反本法其他規定或基於本法所發布之命令者。三種處置手段依侵害強度遞增，主管機關應依比例原則選擇，強制拆除並以「必要時」為要件。</w:t>
      </w:r>
    </w:p>
    <w:p>
      <w:pPr>
        <w:spacing w:after="120" w:before="0" w:line="340"/>
        <w:jc w:val="both"/>
      </w:pPr>
      <w:r>
        <w:rPr>
          <w:rFonts w:ascii="Times New Roman" w:eastAsia="標楷體"/>
          <w:b w:val="false"/>
          <w:bCs w:val="false"/>
          <w:sz w:val="24"/>
          <w:szCs w:val="24"/>
        </w:rPr>
        <w:t xml:space="preserve">第一例，基地開挖造成鄰房傾斜。某工程於市區狹小基地施作地下三層開挖，擋土支撐設計不足致鄰房發生沉陷傾斜，並使人行道下陷。此情形構成第 58 條第三款危害公共安全，並因人行道下陷而構成第四款妨礙公共交通。主管建築機關應以書面通知承造人、起造人或監造人勒令停工，命其提出補強與復舊計畫；若鄰房已達傾頹或朽壞而有危害公共安全之虞，並得依第 81 條通知所有人或占有人停止使用並限期命其拆除，逾期未拆者得強制拆除。同時因違反第 69 條鄰接建築物挖土應作防護措施之規定，依第 89 條處承造人、監造人罰鍰。</w:t>
      </w:r>
    </w:p>
    <w:p>
      <w:pPr>
        <w:spacing w:after="120" w:before="0" w:line="340"/>
        <w:jc w:val="both"/>
      </w:pPr>
      <w:r>
        <w:rPr>
          <w:rFonts w:ascii="Times New Roman" w:eastAsia="標楷體"/>
          <w:b w:val="false"/>
          <w:bCs w:val="false"/>
          <w:sz w:val="24"/>
          <w:szCs w:val="24"/>
        </w:rPr>
        <w:t xml:space="preserve">第二例，未依核定圖說擅自增加樓層或擴大面積。某工程於施工中未辦理變更設計，逕行將地上七層增建為地上八層，或將建築面積擴大逾核定範圍。此情形構成第 58 條第六款主要構造或位置或高度或面積與核定工程圖樣及說明書不符。主管建築機關應勒令停工或修改，命其恢復為核定圖說之內容或依第 39 條辦理變更設計；若無法補正且危害公共安全者，得強制拆除違規部分。此外因違反第 39 條應依核定工程圖樣及說明書施工之規定，依第 87 條第一款處起造人、承造人或監造人新臺幣九千元以下罰鍰，並勒令補辦手續，必要時並得勒令停工。</w:t>
      </w:r>
    </w:p>
    <w:p>
      <w:pPr>
        <w:spacing w:after="120" w:before="0" w:line="340"/>
        <w:jc w:val="both"/>
      </w:pPr>
      <w:r>
        <w:rPr>
          <w:rFonts w:ascii="Times New Roman" w:eastAsia="標楷體"/>
          <w:b w:val="false"/>
          <w:bCs w:val="false"/>
          <w:sz w:val="24"/>
          <w:szCs w:val="24"/>
        </w:rPr>
        <w:t xml:space="preserve">應補充二點。其一，依第 61 條，建築物施工中如有第 58 條各款情事之一時，監造人應分別通知承造人及起造人修改，其未依照規定修改者應即申報主管建築機關處理，故監造人為第 58 條發動前之第一道防線。其二，依第 93 條，經勒令停工之建築物非經許可不得擅自復工，未經許可擅自復工經制止不從者，除強制拆除或勒令恢復原狀外，處一年以下有期徒刑、拘役或科或併科三萬元以下罰金。此外第 82 條另規定因地震、水災、風災、火災或其他重大事變致建築物發生危險不及通知所有人或占有人予以拆除時，得由主管建築機關逕予強制拆除，此為獨立於第 58 條之緊急權限，不可混淆。</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（1）指出第58條之發動要件與處分對象、三種處置手段</w:t>
      </w:r>
    </w:p>
    <w:p>
      <w:pPr>
        <w:spacing w:after="120" w:before="0" w:line="340"/>
        <w:jc w:val="both"/>
      </w:pPr>
      <w:r>
        <w:rPr>
          <w:rFonts w:ascii="Times New Roman" w:eastAsia="標楷體"/>
          <w:b w:val="false"/>
          <w:bCs w:val="false"/>
          <w:sz w:val="22"/>
          <w:szCs w:val="22"/>
        </w:rPr>
        <w:t xml:space="preserve">（2）妨礙都市計畫、妨礙區域計畫</w:t>
      </w:r>
    </w:p>
    <w:p>
      <w:pPr>
        <w:spacing w:after="120" w:before="0" w:line="340"/>
        <w:jc w:val="both"/>
      </w:pPr>
      <w:r>
        <w:rPr>
          <w:rFonts w:ascii="Times New Roman" w:eastAsia="標楷體"/>
          <w:b w:val="false"/>
          <w:bCs w:val="false"/>
          <w:sz w:val="22"/>
          <w:szCs w:val="22"/>
        </w:rPr>
        <w:t xml:space="preserve">（3）危害公共安全、妨礙公共交通、妨礙公共衛生</w:t>
      </w:r>
    </w:p>
    <w:p>
      <w:pPr>
        <w:spacing w:after="120" w:before="0" w:line="340"/>
        <w:jc w:val="both"/>
      </w:pPr>
      <w:r>
        <w:rPr>
          <w:rFonts w:ascii="Times New Roman" w:eastAsia="標楷體"/>
          <w:b w:val="false"/>
          <w:bCs w:val="false"/>
          <w:sz w:val="22"/>
          <w:szCs w:val="22"/>
        </w:rPr>
        <w:t xml:space="preserve">（4）主要構造或位置或高度或面積與核定工程圖樣及說明書不符</w:t>
      </w:r>
    </w:p>
    <w:p>
      <w:pPr>
        <w:spacing w:after="120" w:before="0" w:line="340"/>
        <w:jc w:val="both"/>
      </w:pPr>
      <w:r>
        <w:rPr>
          <w:rFonts w:ascii="Times New Roman" w:eastAsia="標楷體"/>
          <w:b w:val="false"/>
          <w:bCs w:val="false"/>
          <w:sz w:val="22"/>
          <w:szCs w:val="22"/>
        </w:rPr>
        <w:t xml:space="preserve">（5）違反本法其他規定或基於本法所發布之命令</w:t>
      </w:r>
    </w:p>
    <w:p>
      <w:pPr>
        <w:spacing w:after="120" w:before="0" w:line="340"/>
        <w:jc w:val="both"/>
      </w:pPr>
      <w:r>
        <w:rPr>
          <w:rFonts w:ascii="Times New Roman" w:eastAsia="標楷體"/>
          <w:b w:val="false"/>
          <w:bCs w:val="false"/>
          <w:sz w:val="22"/>
          <w:szCs w:val="22"/>
        </w:rPr>
        <w:t xml:space="preserve">（6）舉例一：開挖致鄰房傾斜或道路下陷，構成危害公共安全或妨礙公共交通</w:t>
      </w:r>
    </w:p>
    <w:p>
      <w:pPr>
        <w:spacing w:after="120" w:before="0" w:line="340"/>
        <w:jc w:val="both"/>
      </w:pPr>
      <w:r>
        <w:rPr>
          <w:rFonts w:ascii="Times New Roman" w:eastAsia="標楷體"/>
          <w:b w:val="false"/>
          <w:bCs w:val="false"/>
          <w:sz w:val="22"/>
          <w:szCs w:val="22"/>
        </w:rPr>
        <w:t xml:space="preserve">（7）舉例二：未依核定圖說擅自增加樓層、高度或面積，構成第六款與核定圖說不符</w:t>
      </w:r>
    </w:p>
    <w:p>
      <w:pPr>
        <w:pStyle w:val="Heading2"/>
        <w:spacing w:after="140" w:before="240"/>
      </w:pPr>
      <w:r>
        <w:rPr>
          <w:rFonts w:ascii="Times New Roman" w:eastAsia="標楷體"/>
          <w:b/>
          <w:bCs/>
          <w:color w:val="1F3864"/>
          <w:sz w:val="26"/>
          <w:szCs w:val="26"/>
        </w:rPr>
        <w:t xml:space="preserve">四、題目（25 分）</w:t>
      </w:r>
    </w:p>
    <w:p>
      <w:pPr>
        <w:spacing w:after="120" w:before="0" w:line="340"/>
        <w:jc w:val="both"/>
      </w:pPr>
      <w:r>
        <w:rPr>
          <w:rFonts w:ascii="Times New Roman" w:eastAsia="標楷體"/>
          <w:b w:val="false"/>
          <w:bCs w:val="false"/>
          <w:sz w:val="24"/>
          <w:szCs w:val="24"/>
        </w:rPr>
        <w:t xml:space="preserve">請申論容積獎勵與容積移轉之目的、依據與功能。</w:t>
      </w:r>
    </w:p>
    <w:p>
      <w:pPr>
        <w:spacing w:after="120" w:before="0" w:line="340"/>
        <w:jc w:val="both"/>
      </w:pPr>
      <w:r>
        <w:rPr>
          <w:rFonts w:ascii="Times New Roman" w:eastAsia="標楷體"/>
          <w:b w:val="false"/>
          <w:bCs w:val="false"/>
          <w:color w:val="44546A"/>
          <w:sz w:val="22"/>
          <w:szCs w:val="22"/>
        </w:rPr>
        <w:t xml:space="preserve">【法源】都市計畫法第 83 條之 1；都市計畫容積移轉實施辦法第 1 條、第 5 條、第 6 條、第 8 條；都市更新條例第 65 條；都市更新建築容積獎勵辦法第 10 條</w:t>
      </w:r>
    </w:p>
    <w:p>
      <w:pPr>
        <w:pStyle w:val="Heading3"/>
        <w:spacing w:after="140" w:before="240"/>
      </w:pPr>
      <w:r>
        <w:rPr>
          <w:rFonts w:ascii="Times New Roman" w:eastAsia="標楷體"/>
          <w:b/>
          <w:bCs/>
          <w:color w:val="2E5C8A"/>
          <w:sz w:val="24"/>
          <w:szCs w:val="24"/>
        </w:rPr>
        <w:t xml:space="preserve">參考答案</w:t>
      </w:r>
    </w:p>
    <w:p>
      <w:pPr>
        <w:spacing w:after="120" w:before="0" w:line="340"/>
        <w:jc w:val="both"/>
      </w:pPr>
      <w:r>
        <w:rPr>
          <w:rFonts w:ascii="Times New Roman" w:eastAsia="標楷體"/>
          <w:b w:val="false"/>
          <w:bCs w:val="false"/>
          <w:sz w:val="24"/>
          <w:szCs w:val="24"/>
        </w:rPr>
        <w:t xml:space="preserve">容積獎勵與容積移轉同為容積管制之彈性化工具，二者皆使建築基地得超過原基準容積建築，但其目的、依據與功能並不相同，答題時應分項對照論述。</w:t>
      </w:r>
    </w:p>
    <w:p>
      <w:pPr>
        <w:spacing w:after="120" w:before="0" w:line="340"/>
        <w:jc w:val="both"/>
      </w:pPr>
      <w:r>
        <w:rPr>
          <w:rFonts w:ascii="Times New Roman" w:eastAsia="標楷體"/>
          <w:b w:val="false"/>
          <w:bCs w:val="false"/>
          <w:sz w:val="24"/>
          <w:szCs w:val="24"/>
        </w:rPr>
        <w:t xml:space="preserve">就容積獎勵而言，其目的在於以容積作為誘因，換取私人提供公共利益或達成特定政策目標，例如更新老舊窳陋地區、興建社會住宅、取得綠建築標章或提供公共開放空間。其依據散見於各法規：都市更新條例第 65 條第 1 項規定，都市更新事業計畫範圍內之建築基地得視都市更新事業需要，給予適度之建築容積獎勵，獎勵後之建築容積原則不得超過各該建築基地一點五倍之基準容積，且不得超過都市計畫法第 85 條所定施行細則之規定；同條第 5 項授權中央主管機關訂定都市更新建築容積獎勵辦法，該辦法第 10 條即規定取得候選綠建築證書者依等級給予基準容積百分之二至百分之十之獎勵容積。其功能在於改變開發之財務可行性，使原本不具誘因之更新或公益設施得以實現，本質上是政府以容積代替預算支出。</w:t>
      </w:r>
    </w:p>
    <w:p>
      <w:pPr>
        <w:spacing w:after="120" w:before="0" w:line="340"/>
        <w:jc w:val="both"/>
      </w:pPr>
      <w:r>
        <w:rPr>
          <w:rFonts w:ascii="Times New Roman" w:eastAsia="標楷體"/>
          <w:b w:val="false"/>
          <w:bCs w:val="false"/>
          <w:sz w:val="24"/>
          <w:szCs w:val="24"/>
        </w:rPr>
        <w:t xml:space="preserve">就容積移轉而言，其目的在於保障既有財產權並保存特定資源，使因公益需要而無法充分使用其容積之土地所有權人，得將容積移轉至他處實現，避免徵收所需之龐大財政負擔。其依據為都市計畫法第 83 條之 1，該條規定公共設施保留地之取得、具有紀念性或藝術價值之建築與歷史建築之保存維護及公共開放空間之提供，得以容積移轉方式辦理，並授權訂定都市計畫容積移轉實施辦法。依該辦法第 5 條，容積指土地可建築之總樓地板面積；容積移轉指一宗土地容積移轉至其他可建築土地供建築使用；送出基地指得將全部或部分容積移轉至其他可建築土地建築使用之土地；接受基地指接受容積移入之土地；基準容積指以都市計畫及其相關法規規定之容積率上限乘土地面積所得之積數。依第 6 條，送出基地以都市計畫表明應予保存或經認定有保存價值之建築所定著之土地、為改善都市環境或景觀而提供作為公共開放空間使用之可建築土地、私有都市計畫公共設施保留地三者為限；其中提供公共開放空間者，其坵形應完整且面積不得小於五百平方公尺。依第 8 條，接受基地之可移入容積以不超過該接受基地基準容積百分之三十為原則，位於整體開發地區、實施都市更新地區、面臨永久性空地或其他都市計畫指定地區範圍內者得酌予增加，但不得超過百分之四十。</w:t>
      </w:r>
    </w:p>
    <w:p>
      <w:pPr>
        <w:spacing w:after="120" w:before="0" w:line="340"/>
        <w:jc w:val="both"/>
      </w:pPr>
      <w:r>
        <w:rPr>
          <w:rFonts w:ascii="Times New Roman" w:eastAsia="標楷體"/>
          <w:b w:val="false"/>
          <w:bCs w:val="false"/>
          <w:sz w:val="24"/>
          <w:szCs w:val="24"/>
        </w:rPr>
        <w:t xml:space="preserve">就二者之比較而言，容積獎勵為「無中生有」，係在既有容積之外額外增加，其對價為公共利益之提供；容積移轉為「移地實現」，係將既有容積自甲地搬移至乙地，總量原則不變，其對價為送出基地之保存或提供。故容積獎勵之政策風險在於獎勵浮濫導致實質容積率失控，須以總量上限管制；容積移轉之政策風險則在於送出基地與接受基地之區位不對稱，可能造成接受地區之公共設施服務水準不足。二者共同之功能，在於使剛性的容積率管制取得彈性，並將部分公共建設成本內部化至開發行為之中。</w:t>
      </w:r>
    </w:p>
    <w:p>
      <w:pPr>
        <w:pStyle w:val="Heading3"/>
        <w:spacing w:after="140" w:before="240"/>
      </w:pPr>
      <w:r>
        <w:rPr>
          <w:rFonts w:ascii="Times New Roman" w:eastAsia="標楷體"/>
          <w:b/>
          <w:bCs/>
          <w:color w:val="2E5C8A"/>
          <w:sz w:val="24"/>
          <w:szCs w:val="24"/>
        </w:rPr>
        <w:t xml:space="preserve">得分要點（供 0–10 分評分核對）</w:t>
      </w:r>
    </w:p>
    <w:p>
      <w:pPr>
        <w:spacing w:after="120" w:before="0" w:line="340"/>
        <w:jc w:val="both"/>
      </w:pPr>
      <w:r>
        <w:rPr>
          <w:rFonts w:ascii="Times New Roman" w:eastAsia="標楷體"/>
          <w:b w:val="false"/>
          <w:bCs w:val="false"/>
          <w:sz w:val="22"/>
          <w:szCs w:val="22"/>
        </w:rPr>
        <w:t xml:space="preserve">（1）容積獎勵之目的：以容積為誘因換取公共利益或達成政策目標</w:t>
      </w:r>
    </w:p>
    <w:p>
      <w:pPr>
        <w:spacing w:after="120" w:before="0" w:line="340"/>
        <w:jc w:val="both"/>
      </w:pPr>
      <w:r>
        <w:rPr>
          <w:rFonts w:ascii="Times New Roman" w:eastAsia="標楷體"/>
          <w:b w:val="false"/>
          <w:bCs w:val="false"/>
          <w:sz w:val="22"/>
          <w:szCs w:val="22"/>
        </w:rPr>
        <w:t xml:space="preserve">（2）容積獎勵之依據：都市更新條例第65條、都市更新建築容積獎勵辦法等</w:t>
      </w:r>
    </w:p>
    <w:p>
      <w:pPr>
        <w:spacing w:after="120" w:before="0" w:line="340"/>
        <w:jc w:val="both"/>
      </w:pPr>
      <w:r>
        <w:rPr>
          <w:rFonts w:ascii="Times New Roman" w:eastAsia="標楷體"/>
          <w:b w:val="false"/>
          <w:bCs w:val="false"/>
          <w:sz w:val="22"/>
          <w:szCs w:val="22"/>
        </w:rPr>
        <w:t xml:space="preserve">（3）容積獎勵之上限：原則不得超過基準容積之一點五倍</w:t>
      </w:r>
    </w:p>
    <w:p>
      <w:pPr>
        <w:spacing w:after="120" w:before="0" w:line="340"/>
        <w:jc w:val="both"/>
      </w:pPr>
      <w:r>
        <w:rPr>
          <w:rFonts w:ascii="Times New Roman" w:eastAsia="標楷體"/>
          <w:b w:val="false"/>
          <w:bCs w:val="false"/>
          <w:sz w:val="22"/>
          <w:szCs w:val="22"/>
        </w:rPr>
        <w:t xml:space="preserve">（4）容積移轉之目的：保障財產權並保存特定資源，避免徵收之財政負擔</w:t>
      </w:r>
    </w:p>
    <w:p>
      <w:pPr>
        <w:spacing w:after="120" w:before="0" w:line="340"/>
        <w:jc w:val="both"/>
      </w:pPr>
      <w:r>
        <w:rPr>
          <w:rFonts w:ascii="Times New Roman" w:eastAsia="標楷體"/>
          <w:b w:val="false"/>
          <w:bCs w:val="false"/>
          <w:sz w:val="22"/>
          <w:szCs w:val="22"/>
        </w:rPr>
        <w:t xml:space="preserve">（5）容積移轉之依據：都市計畫法第83條之1及都市計畫容積移轉實施辦法</w:t>
      </w:r>
    </w:p>
    <w:p>
      <w:pPr>
        <w:spacing w:after="120" w:before="0" w:line="340"/>
        <w:jc w:val="both"/>
      </w:pPr>
      <w:r>
        <w:rPr>
          <w:rFonts w:ascii="Times New Roman" w:eastAsia="標楷體"/>
          <w:b w:val="false"/>
          <w:bCs w:val="false"/>
          <w:sz w:val="22"/>
          <w:szCs w:val="22"/>
        </w:rPr>
        <w:t xml:space="preserve">（6）容積移轉之要件：送出基地三種類型、接受基地可移入容積原則不超過基準容積30%</w:t>
      </w:r>
    </w:p>
    <w:p>
      <w:pPr>
        <w:spacing w:after="120" w:before="0" w:line="340"/>
        <w:jc w:val="both"/>
      </w:pPr>
      <w:r>
        <w:rPr>
          <w:rFonts w:ascii="Times New Roman" w:eastAsia="標楷體"/>
          <w:b w:val="false"/>
          <w:bCs w:val="false"/>
          <w:sz w:val="22"/>
          <w:szCs w:val="22"/>
        </w:rPr>
        <w:t xml:space="preserve">（7）二者之功能比較：獎勵為額外增加、移轉為移地實現，並說明其政策風險或共同功能</w:t>
      </w:r>
    </w:p>
    <w:sectPr>
      <w:pgSz w:w="11906" w:h="16838" w:orient="portrait"/>
      <w:pgMar w:top="1440" w:right="1247" w:bottom="144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標楷體"/>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2026-09-03T12:28:19.869Z</dcterms:created>
  <dcterms:modified xsi:type="dcterms:W3CDTF">2026-09-03T12:28:19.869Z</dcterms:modified>
</cp:coreProperties>
</file>

<file path=docProps/custom.xml><?xml version="1.0" encoding="utf-8"?>
<Properties xmlns="http://schemas.openxmlformats.org/officeDocument/2006/custom-properties" xmlns:vt="http://schemas.openxmlformats.org/officeDocument/2006/docPropsVTypes"/>
</file>