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泡泡玛特_09992_投资分析报告</w:t>
      </w:r>
    </w:p>
    <w:p/>
    <w:p>
      <w:r>
        <w:t>**一句话结论**：泡泡玛特是少数已经跑出全球化能力的中国消费 IP 平台，2025 年利润和现金流都极强，但按 2026-04-24 收盘价折算后 **PE 14.33 倍、PB 8.08 倍、剔除净现金 FCF 倍数 17.08 倍**，远高于本模板港股熊市安全边际标准；**当前建议观察，不追高，不作为核心仓位标的**。</w:t>
      </w:r>
    </w:p>
    <w:p/>
    <w:p>
      <w:r>
        <w:rPr>
          <w:i/>
        </w:rPr>
        <w:t>**报告版本**：V5.5.14</w:t>
      </w:r>
    </w:p>
    <w:p>
      <w:r>
        <w:rPr>
          <w:i/>
        </w:rPr>
        <w:t>**数据时点**：2025 年报（截至 2025 年 12 月 31 日）</w:t>
      </w:r>
    </w:p>
    <w:p>
      <w:r>
        <w:rPr>
          <w:i/>
        </w:rPr>
        <w:t>**分析日期**：2026 年 4 月 27 日</w:t>
      </w:r>
    </w:p>
    <w:p>
      <w:r>
        <w:rPr>
          <w:i/>
        </w:rPr>
        <w:t>**股价参考**：156.5 港元（2026-04-24 收盘）</w:t>
      </w:r>
    </w:p>
    <w:p>
      <w:r>
        <w:rPr>
          <w:i/>
        </w:rPr>
        <w:t>**汇率口径**：1 港元 = 0.8711 人民币（Yahoo Finance，2026-04-24）</w:t>
      </w:r>
    </w:p>
    <w:p>
      <w:r>
        <w:rPr>
          <w:i/>
        </w:rPr>
        <w:t>**数据置信度**：核心财务数据 S 级；股价、汇率与市场情绪数据 A/B 级</w:t>
      </w:r>
    </w:p>
    <w:p/>
    <w:p/>
    <w:p/>
    <w:p>
      <w:pPr>
        <w:pStyle w:val="Heading2"/>
      </w:pPr>
      <w:r>
        <w:t>📋 数据质量校验表</w:t>
      </w:r>
    </w:p>
    <w:p/>
    <w:p>
      <w:pPr>
        <w:pStyle w:val="Heading3"/>
      </w:pPr>
      <w:r>
        <w:t>核心数据来源声明</w:t>
      </w:r>
    </w:p>
    <w:p/>
    <w:p>
      <w:r>
        <w:t>| 数据项 | 数值 | 来源 | 页码 | 置信度 | ✅确认 |</w:t>
      </w:r>
    </w:p>
    <w:p>
      <w:r>
        <w:t>|--------|------|------|------|--------|-------|</w:t>
      </w:r>
    </w:p>
    <w:p>
      <w:r>
        <w:t>| 现金及银行结余（含定期存款/受限现金） | 174.84 亿元人民币 | 2025 年报附注 24 | 329 | S | [x] |</w:t>
      </w:r>
    </w:p>
    <w:p>
      <w:r>
        <w:t>| 受限制现金 | 2.59 亿元人民币 | 2025 年报附注 24 | 329 | S | [x] |</w:t>
      </w:r>
    </w:p>
    <w:p>
      <w:r>
        <w:t>| 一年内定期存款 | 34.50 亿元人民币 | 2025 年报附注 24 | 329 | S | [x] |</w:t>
      </w:r>
    </w:p>
    <w:p>
      <w:r>
        <w:t>| 银行借款 | 0 | 年报 MD&amp;A：Bank borrowings | 33 | S | [x] |</w:t>
      </w:r>
    </w:p>
    <w:p>
      <w:r>
        <w:t>| 租赁负债 | 28.62 亿元人民币 | 2025 年报附注 16 | 299 | S | [x] |</w:t>
      </w:r>
    </w:p>
    <w:p>
      <w:r>
        <w:t>| 营业收入 | 371.20 亿元人民币 | 2025 年报综合损益表 | 218 | S | [x] |</w:t>
      </w:r>
    </w:p>
    <w:p>
      <w:r>
        <w:t>| 年内净利润 | 130.12 亿元人民币 | 2025 年报综合损益表 | 218 | S | [x] |</w:t>
      </w:r>
    </w:p>
    <w:p>
      <w:r>
        <w:t>| 归母净利润 | 127.76 亿元人民币 | 2025 年报综合损益表 | 218 | S | [x] |</w:t>
      </w:r>
    </w:p>
    <w:p>
      <w:r>
        <w:t>| 经营现金流净额 | 108.65 亿元人民币 | 2025 年报现金流量表 | 225 | S | [x] |</w:t>
      </w:r>
    </w:p>
    <w:p>
      <w:r>
        <w:t>| 资本开支（物管设备购置） | 9.85 亿元人民币 | 2025 年报现金流量表 | 225 | S | [x] |</w:t>
      </w:r>
    </w:p>
    <w:p>
      <w:r>
        <w:t>| 总股本 | 13.429 亿股 | 2025 年报附注 25 | 330 | S | [x] |</w:t>
      </w:r>
    </w:p>
    <w:p>
      <w:r>
        <w:t>| 收盘价 | 156.5 港元 | Yahoo Finance | - | B | [x] |</w:t>
      </w:r>
    </w:p>
    <w:p>
      <w:r>
        <w:t>| VHSI | 20.69 | `08-决策追踪/vhsi_monitoring.json`（脚本抓取） | - | B | [x] |</w:t>
      </w:r>
    </w:p>
    <w:p>
      <w:r>
        <w:t>| VIX | 18.71 | Yahoo Finance | - | B | [x] |</w:t>
      </w:r>
    </w:p>
    <w:p/>
    <w:p>
      <w:pPr>
        <w:pStyle w:val="Heading3"/>
      </w:pPr>
      <w:r>
        <w:t>币种核对（统一人民币口径）</w:t>
      </w:r>
    </w:p>
    <w:p/>
    <w:p>
      <w:r>
        <w:t>| 项目 | 原始口径 | 汇率/处理方式 | 换算后 |</w:t>
      </w:r>
    </w:p>
    <w:p>
      <w:r>
        <w:t>|------|----------|---------------|--------|</w:t>
      </w:r>
    </w:p>
    <w:p>
      <w:r>
        <w:t>| 股价 | 156.5 港元 | ×0.8711 | 136.33 元人民币 |</w:t>
      </w:r>
    </w:p>
    <w:p>
      <w:r>
        <w:t>| 总市值 | 2101.71 亿港元 | ×0.8711 | 1830.80 亿元人民币 |</w:t>
      </w:r>
    </w:p>
    <w:p>
      <w:r>
        <w:t>| 财报项目 | 人民币 | 无需换算 | 直接使用 |</w:t>
      </w:r>
    </w:p>
    <w:p/>
    <w:p>
      <w:r>
        <w:rPr>
          <w:i/>
        </w:rPr>
        <w:t>说明：本报告所有估值倍数统一按人民币计算，避免港元市值与人民币利润/现金流混算。</w:t>
      </w:r>
    </w:p>
    <w:p/>
    <w:p>
      <w:pPr>
        <w:pStyle w:val="Heading3"/>
      </w:pPr>
      <w:r>
        <w:t>关键指标计算过程</w:t>
      </w:r>
    </w:p>
    <w:p/>
    <w:p>
      <w:r>
        <w:t>```text</w:t>
      </w:r>
    </w:p>
    <w:p>
      <w:r>
        <w:t>净现金 = 现金及银行结余 - 受限制现金 - 有息负债</w:t>
      </w:r>
    </w:p>
    <w:p>
      <w:r>
        <w:t xml:space="preserve">       = 174.84 - 2.59 - 28.62</w:t>
      </w:r>
    </w:p>
    <w:p>
      <w:r>
        <w:t xml:space="preserve">       = 143.63 亿元人民币</w:t>
      </w:r>
    </w:p>
    <w:p/>
    <w:p>
      <w:r>
        <w:t>FCF = 经营现金流 - 资本开支</w:t>
      </w:r>
    </w:p>
    <w:p>
      <w:r>
        <w:t xml:space="preserve">    = 108.65 - 9.85</w:t>
      </w:r>
    </w:p>
    <w:p>
      <w:r>
        <w:t xml:space="preserve">    = 98.80 亿元人民币</w:t>
      </w:r>
    </w:p>
    <w:p/>
    <w:p>
      <w:r>
        <w:t>人民币股价 = 156.5 × 0.8711</w:t>
      </w:r>
    </w:p>
    <w:p>
      <w:r>
        <w:t xml:space="preserve">          = 136.33 元人民币</w:t>
      </w:r>
    </w:p>
    <w:p/>
    <w:p>
      <w:r>
        <w:t>人民币市值 = 13.429 亿股 × 136.33 元</w:t>
      </w:r>
    </w:p>
    <w:p>
      <w:r>
        <w:t xml:space="preserve">          = 1830.80 亿元人民币</w:t>
      </w:r>
    </w:p>
    <w:p/>
    <w:p>
      <w:r>
        <w:t>剔除净现金市值 = 总市值 - 净现金</w:t>
      </w:r>
    </w:p>
    <w:p>
      <w:r>
        <w:t xml:space="preserve">              = 1830.80 - 143.63</w:t>
      </w:r>
    </w:p>
    <w:p>
      <w:r>
        <w:t xml:space="preserve">              = 1687.16 亿元人民币</w:t>
      </w:r>
    </w:p>
    <w:p/>
    <w:p>
      <w:r>
        <w:t>PE = 总市值 ÷ 归母净利润</w:t>
      </w:r>
    </w:p>
    <w:p>
      <w:r>
        <w:t xml:space="preserve">   = 1830.80 ÷ 127.76</w:t>
      </w:r>
    </w:p>
    <w:p>
      <w:r>
        <w:t xml:space="preserve">   = 14.33 倍</w:t>
      </w:r>
    </w:p>
    <w:p/>
    <w:p>
      <w:r>
        <w:t>PB = 总市值 ÷ 净资产</w:t>
      </w:r>
    </w:p>
    <w:p>
      <w:r>
        <w:t xml:space="preserve">   = 1830.80 ÷ 226.52</w:t>
      </w:r>
    </w:p>
    <w:p>
      <w:r>
        <w:t xml:space="preserve">   = 8.08 倍</w:t>
      </w:r>
    </w:p>
    <w:p/>
    <w:p>
      <w:r>
        <w:t>剔除净现金 FCF 倍数 = 1687.16 ÷ 98.80</w:t>
      </w:r>
    </w:p>
    <w:p>
      <w:r>
        <w:t xml:space="preserve">                  = 17.08 倍</w:t>
      </w:r>
    </w:p>
    <w:p>
      <w:r>
        <w:t>```</w:t>
      </w:r>
    </w:p>
    <w:p/>
    <w:p>
      <w:pPr>
        <w:pStyle w:val="Heading3"/>
      </w:pPr>
      <w:r>
        <w:t>校验检查点</w:t>
      </w:r>
    </w:p>
    <w:p/>
    <w:p>
      <w:r>
        <w:t>- [x] 使用最新完整年度年报（2025 年报）</w:t>
      </w:r>
    </w:p>
    <w:p>
      <w:r>
        <w:t>- [x] 核心财务数据来自年报原文与附注</w:t>
      </w:r>
    </w:p>
    <w:p>
      <w:r>
        <w:t>- [x] 人民币/港元口径已统一</w:t>
      </w:r>
    </w:p>
    <w:p>
      <w:r>
        <w:t>- [x] 现金、负债、利润、现金流均已手工复核</w:t>
      </w:r>
    </w:p>
    <w:p>
      <w:r>
        <w:t>- [x] 3 年历史对比已填入 validation</w:t>
      </w:r>
    </w:p>
    <w:p>
      <w:r>
        <w:t>- [x] `python3 scripts/validate_data.py config/validation_09992.yaml` 已通过</w:t>
      </w:r>
    </w:p>
    <w:p/>
    <w:p>
      <w:pPr>
        <w:pStyle w:val="Heading3"/>
      </w:pPr>
      <w:r>
        <w:t>交叉验证</w:t>
      </w:r>
    </w:p>
    <w:p/>
    <w:p>
      <w:r>
        <w:t>| 验证项 | 结果 | 结论 |</w:t>
      </w:r>
    </w:p>
    <w:p>
      <w:r>
        <w:t>|--------|------|------|</w:t>
      </w:r>
    </w:p>
    <w:p>
      <w:r>
        <w:t>| 利息收入/总现金 | 1.36% | 处于 1%-5% 合理区间 |</w:t>
      </w:r>
    </w:p>
    <w:p>
      <w:r>
        <w:t>| 利息支出/租赁负债 | 2.88% | 处于 2%-10% 合理区间 |</w:t>
      </w:r>
    </w:p>
    <w:p>
      <w:r>
        <w:t>| FCF/归母净利润 | 77.3% | 现金转化质量良好 |</w:t>
      </w:r>
    </w:p>
    <w:p>
      <w:r>
        <w:t>| 资产负债率 | 29.4% | 财务风险低，非高杠杆企业 |</w:t>
      </w:r>
    </w:p>
    <w:p/>
    <w:p/>
    <w:p/>
    <w:p>
      <w:pPr>
        <w:pStyle w:val="Heading2"/>
      </w:pPr>
      <w:r>
        <w:t>第一章：数据核查与地缘政治排除</w:t>
      </w:r>
    </w:p>
    <w:p/>
    <w:p>
      <w:pPr>
        <w:pStyle w:val="Heading3"/>
      </w:pPr>
      <w:r>
        <w:t>1.1 地缘政治与政策前置排查</w:t>
      </w:r>
    </w:p>
    <w:p/>
    <w:p>
      <w:r>
        <w:t>| 维度 | 判断 | 说明 |</w:t>
      </w:r>
    </w:p>
    <w:p>
      <w:r>
        <w:t>|------|------|------|</w:t>
      </w:r>
    </w:p>
    <w:p>
      <w:r>
        <w:t>| 资产地域 | 🟢 低风险 | 经营主体以中国内地和海外消费零售网络为主，无战争冲突区重资产暴露 |</w:t>
      </w:r>
    </w:p>
    <w:p>
      <w:r>
        <w:t>| 政策敏感性 | 🟡 中性 | 潮玩/文创消费并非强监管行业，但涉及未成年人消费、跨境电商、IP 合规 |</w:t>
      </w:r>
    </w:p>
    <w:p>
      <w:r>
        <w:t>| 实控人结构 | 🔴 民营 | 创始人王宁及配偶控制，非央国企，无政治安全边际 |</w:t>
      </w:r>
    </w:p>
    <w:p>
      <w:r>
        <w:t>| 地缘外溢风险 | 🟡 中性 | 海外扩张越快，越受汇率、关税、物流与当地监管影响 |</w:t>
      </w:r>
    </w:p>
    <w:p/>
    <w:p>
      <w:r>
        <w:t>**结论**：泡泡玛特没有典型地缘政治排除项，但**民营背景**决定了它天然不属于本模板偏爱的防御型资产。</w:t>
      </w:r>
    </w:p>
    <w:p/>
    <w:p>
      <w:pPr>
        <w:pStyle w:val="Heading3"/>
      </w:pPr>
      <w:r>
        <w:t>1.2 基础数据速览</w:t>
      </w:r>
    </w:p>
    <w:p/>
    <w:p>
      <w:r>
        <w:t>| 指标 | 数值 | 说明 |</w:t>
      </w:r>
    </w:p>
    <w:p>
      <w:r>
        <w:t>|------|------|------|</w:t>
      </w:r>
    </w:p>
    <w:p>
      <w:r>
        <w:t>| 现价 | 156.5 港元 | 2026-04-24 收盘 |</w:t>
      </w:r>
    </w:p>
    <w:p>
      <w:r>
        <w:t>| 52 周高/低 | 339.8 / 140.1 港元 | Yahoo Finance |</w:t>
      </w:r>
    </w:p>
    <w:p>
      <w:r>
        <w:t>| 当前价格位置 | 距 52 周高点 -53.9%，距低点 +11.7% | 从高位腰斩，但离低点不远 |</w:t>
      </w:r>
    </w:p>
    <w:p>
      <w:r>
        <w:t>| VHSI | 20.69 | 平静期 |</w:t>
      </w:r>
    </w:p>
    <w:p>
      <w:r>
        <w:t>| VIX | 18.71 | 平静期 |</w:t>
      </w:r>
    </w:p>
    <w:p>
      <w:r>
        <w:t>| 2025 收入 | 371.20 亿元 | 同比 +184.7% |</w:t>
      </w:r>
    </w:p>
    <w:p>
      <w:r>
        <w:t>| 2025 归母净利润 | 127.76 亿元 | 同比 +308.8% |</w:t>
      </w:r>
    </w:p>
    <w:p>
      <w:r>
        <w:t>| 2025 FCF | 98.80 亿元 | 经营现金流强 |</w:t>
      </w:r>
    </w:p>
    <w:p>
      <w:r>
        <w:t>| 净现金 | 143.63 亿元 | 有现金垫，但占市值仅 7.85% |</w:t>
      </w:r>
    </w:p>
    <w:p/>
    <w:p>
      <w:pPr>
        <w:pStyle w:val="Heading3"/>
      </w:pPr>
      <w:r>
        <w:t>1.3 5 分钟快速初筛</w:t>
      </w:r>
    </w:p>
    <w:p/>
    <w:p>
      <w:r>
        <w:t>| 检查项 | 结果 | 评估 |</w:t>
      </w:r>
    </w:p>
    <w:p>
      <w:r>
        <w:t>|--------|------|------|</w:t>
      </w:r>
    </w:p>
    <w:p>
      <w:r>
        <w:t>| ① 价格位置 | 距低点仅 +11.7% | ✅ 位置不算高，情绪已回落 |</w:t>
      </w:r>
    </w:p>
    <w:p>
      <w:r>
        <w:t>| ② 负债扫描 | 无银行借款，租赁负债 28.62 亿 | ✅ 非高杠杆 |</w:t>
      </w:r>
    </w:p>
    <w:p>
      <w:r>
        <w:t>| ③ 现金覆盖 | 净现金/市值 7.85% | ❌ 现金安全垫偏弱 |</w:t>
      </w:r>
    </w:p>
    <w:p>
      <w:r>
        <w:t>| ④ 盈利连续性 | 经营现金流持续为正且 2025 大增 | ✅ 通过 |</w:t>
      </w:r>
    </w:p>
    <w:p/>
    <w:p>
      <w:r>
        <w:t>**初筛结论**：泡泡玛特不是“垃圾股高位”，但也不是本模板喜欢的“现金护城河型低估资产”。**能研究，但不能按烟蒂股/高股息框架买。**</w:t>
      </w:r>
    </w:p>
    <w:p/>
    <w:p/>
    <w:p/>
    <w:p>
      <w:pPr>
        <w:pStyle w:val="Heading2"/>
      </w:pPr>
      <w:r>
        <w:t>第二章：央国企筛选与流派识别</w:t>
      </w:r>
    </w:p>
    <w:p/>
    <w:p>
      <w:pPr>
        <w:pStyle w:val="Heading3"/>
      </w:pPr>
      <w:r>
        <w:t>2.1 央国企属性判断</w:t>
      </w:r>
    </w:p>
    <w:p/>
    <w:p>
      <w:r>
        <w:t>| 项目 | 结论 |</w:t>
      </w:r>
    </w:p>
    <w:p>
      <w:r>
        <w:t>|------|------|</w:t>
      </w:r>
    </w:p>
    <w:p>
      <w:r>
        <w:t>| 控股股东/实控人 | 王宁及其一致行动人 |</w:t>
      </w:r>
    </w:p>
    <w:p>
      <w:r>
        <w:t>| 企业性质 | 创始人民营企业 |</w:t>
      </w:r>
    </w:p>
    <w:p>
      <w:r>
        <w:t>| 政治安全边际 | 低 |</w:t>
      </w:r>
    </w:p>
    <w:p>
      <w:r>
        <w:t>| 是否符合央国企优先原则 | 否 |</w:t>
      </w:r>
    </w:p>
    <w:p/>
    <w:p>
      <w:r>
        <w:t>**判断**：泡泡玛特是典型的**创始人驱动型民营消费公司**，与本模板偏好的央企/国企防御型资产不一致。</w:t>
      </w:r>
    </w:p>
    <w:p/>
    <w:p>
      <w:pPr>
        <w:pStyle w:val="Heading3"/>
      </w:pPr>
      <w:r>
        <w:t>2.2 四流派识别</w:t>
      </w:r>
    </w:p>
    <w:p/>
    <w:p>
      <w:r>
        <w:t>```text</w:t>
      </w:r>
    </w:p>
    <w:p>
      <w:r>
        <w:t>纯硬收息型：否</w:t>
      </w:r>
    </w:p>
    <w:p>
      <w:r>
        <w:t xml:space="preserve">  - 股息率低，不是高股息资产</w:t>
      </w:r>
    </w:p>
    <w:p>
      <w:r>
        <w:t xml:space="preserve">  - 民营背景，不符合防御仓核心要求</w:t>
      </w:r>
    </w:p>
    <w:p/>
    <w:p>
      <w:r>
        <w:t>烟蒂股型：否</w:t>
      </w:r>
    </w:p>
    <w:p>
      <w:r>
        <w:t xml:space="preserve">  - 净现金/市值仅 7.85%</w:t>
      </w:r>
    </w:p>
    <w:p>
      <w:r>
        <w:t xml:space="preserve">  - PB 8.08 倍，完全不是清算折价逻辑</w:t>
      </w:r>
    </w:p>
    <w:p/>
    <w:p>
      <w:r>
        <w:t>关联方资源型：否</w:t>
      </w:r>
    </w:p>
    <w:p>
      <w:r>
        <w:t xml:space="preserve">  - 没有母集团资源注入或控股平台折价逻辑</w:t>
      </w:r>
    </w:p>
    <w:p/>
    <w:p>
      <w:r>
        <w:t>价值发现型：勉强可作“成长观察型”研究</w:t>
      </w:r>
    </w:p>
    <w:p>
      <w:r>
        <w:t xml:space="preserve">  - 商业模式优质、增长强</w:t>
      </w:r>
    </w:p>
    <w:p>
      <w:r>
        <w:t xml:space="preserve">  - 但估值仍高，不符合熊市严格买入标准</w:t>
      </w:r>
    </w:p>
    <w:p>
      <w:r>
        <w:t>```</w:t>
      </w:r>
    </w:p>
    <w:p/>
    <w:p>
      <w:r>
        <w:t>**流派结论**：更适合归入**成长观察型 / 价值发现型候选**，但**当前不满足本模板买入标准**。</w:t>
      </w:r>
    </w:p>
    <w:p/>
    <w:p>
      <w:pPr>
        <w:pStyle w:val="Heading3"/>
      </w:pPr>
      <w:r>
        <w:t>2.3 为什么它值得研究，但不值得按模板重仓</w:t>
      </w:r>
    </w:p>
    <w:p/>
    <w:p>
      <w:r>
        <w:t>| 维度 | 泡泡玛特 | 模板偏好 |</w:t>
      </w:r>
    </w:p>
    <w:p>
      <w:r>
        <w:t>|------|----------|----------|</w:t>
      </w:r>
    </w:p>
    <w:p>
      <w:r>
        <w:t>| 商业模式 | 强 IP、强零售、强全球化 | 可以接受 |</w:t>
      </w:r>
    </w:p>
    <w:p>
      <w:r>
        <w:t>| 财务杠杆 | 低 | 符合 |</w:t>
      </w:r>
    </w:p>
    <w:p>
      <w:r>
        <w:t>| 现金护城河 | 一般 | 不够好 |</w:t>
      </w:r>
    </w:p>
    <w:p>
      <w:r>
        <w:t>| 股息保护 | 弱 | 明显不符合 |</w:t>
      </w:r>
    </w:p>
    <w:p>
      <w:r>
        <w:t>| 估值安全边际 | 弱 | 明显不符合 |</w:t>
      </w:r>
    </w:p>
    <w:p/>
    <w:p/>
    <w:p/>
    <w:p>
      <w:pPr>
        <w:pStyle w:val="Heading2"/>
      </w:pPr>
      <w:r>
        <w:t>第三章：深度负债与周期分析</w:t>
      </w:r>
    </w:p>
    <w:p/>
    <w:p>
      <w:pPr>
        <w:pStyle w:val="Heading3"/>
      </w:pPr>
      <w:r>
        <w:t>3.1 负债结构：不是借款风险，而是扩张型租赁风险</w:t>
      </w:r>
    </w:p>
    <w:p/>
    <w:p>
      <w:r>
        <w:t>```text</w:t>
      </w:r>
    </w:p>
    <w:p>
      <w:r>
        <w:t>总负债：94.49 亿元</w:t>
      </w:r>
    </w:p>
    <w:p>
      <w:r>
        <w:t>├── 银行借款：0</w:t>
      </w:r>
    </w:p>
    <w:p>
      <w:r>
        <w:t>├── 租赁负债：28.62 亿元</w:t>
      </w:r>
    </w:p>
    <w:p>
      <w:r>
        <w:t>├── 应付账款：18.58 亿元</w:t>
      </w:r>
    </w:p>
    <w:p>
      <w:r>
        <w:t>├── 应付授权费：4.37 亿元</w:t>
      </w:r>
    </w:p>
    <w:p>
      <w:r>
        <w:t>├── 其他应付款：17.77 亿元</w:t>
      </w:r>
    </w:p>
    <w:p>
      <w:r>
        <w:t>└── 所得税负债：21.16 亿元</w:t>
      </w:r>
    </w:p>
    <w:p>
      <w:r>
        <w:t>```</w:t>
      </w:r>
    </w:p>
    <w:p/>
    <w:p>
      <w:r>
        <w:t>**判断**：</w:t>
      </w:r>
    </w:p>
    <w:p>
      <w:r>
        <w:t>- 没有银行借款，财务风险低于大多数成长零售股；</w:t>
      </w:r>
    </w:p>
    <w:p>
      <w:r>
        <w:t>- 负债上升核心来自**全球门店扩张带来的租赁负债**；</w:t>
      </w:r>
    </w:p>
    <w:p>
      <w:r>
        <w:t>- 真正要盯的不是“会不会还不上债”，而是**扩店效率能不能持续覆盖租金和库存投入**。</w:t>
      </w:r>
    </w:p>
    <w:p/>
    <w:p>
      <w:pPr>
        <w:pStyle w:val="Heading3"/>
      </w:pPr>
      <w:r>
        <w:t>3.2 利润归因：增长极强，但质量要拆开看</w:t>
      </w:r>
    </w:p>
    <w:p/>
    <w:p>
      <w:r>
        <w:t>| 项目 | 2025 | 2024 | 同比 |</w:t>
      </w:r>
    </w:p>
    <w:p>
      <w:r>
        <w:t>|------|------|------|------|</w:t>
      </w:r>
    </w:p>
    <w:p>
      <w:r>
        <w:t>| 收入 | 371.20 亿 | 130.38 亿 | +184.7% |</w:t>
      </w:r>
    </w:p>
    <w:p>
      <w:r>
        <w:t>| 毛利 | 267.65 亿 | 87.08 亿 | +207.4% |</w:t>
      </w:r>
    </w:p>
    <w:p>
      <w:r>
        <w:t>| 毛利率 | 72.1% | 66.8% | +5.3pct |</w:t>
      </w:r>
    </w:p>
    <w:p>
      <w:r>
        <w:t>| 经营利润 | 168.90 亿 | 41.54 亿 | +306.6% |</w:t>
      </w:r>
    </w:p>
    <w:p>
      <w:r>
        <w:t>| 归母净利润 | 127.76 亿 | 31.25 亿 | +308.8% |</w:t>
      </w:r>
    </w:p>
    <w:p/>
    <w:p>
      <w:r>
        <w:t>**利润增长来源**：</w:t>
      </w:r>
    </w:p>
    <w:p>
      <w:r>
        <w:t>1. **IP 爆发**：THE MONSTERS 收入 141.61 亿元，单一 IP 已占总收入约 **38.1%**；</w:t>
      </w:r>
    </w:p>
    <w:p>
      <w:r>
        <w:t>2. **海外扩张**：海外收入约 162.68 亿元，占总收入 **43.8%**；</w:t>
      </w:r>
    </w:p>
    <w:p>
      <w:r>
        <w:t>3. **毛利率抬升**：海外销售占比提升、供应链优化，使毛利率从 66.8% 升到 72.1%。</w:t>
      </w:r>
    </w:p>
    <w:p/>
    <w:p>
      <w:pPr>
        <w:pStyle w:val="Heading3"/>
      </w:pPr>
      <w:r>
        <w:t>3.3 业务结构与集中度</w:t>
      </w:r>
    </w:p>
    <w:p/>
    <w:p>
      <w:r>
        <w:t>| 指标 | 数值 | 解读 |</w:t>
      </w:r>
    </w:p>
    <w:p>
      <w:r>
        <w:t>|------|------|------|</w:t>
      </w:r>
    </w:p>
    <w:p>
      <w:r>
        <w:t>| 中国收入 | 208.52 亿元 | 仍是基本盘 |</w:t>
      </w:r>
    </w:p>
    <w:p>
      <w:r>
        <w:t>| 海外收入 | 162.68 亿元 | 海外已接近半壁江山 |</w:t>
      </w:r>
    </w:p>
    <w:p>
      <w:r>
        <w:t>| THE MONSTERS 收入 | 141.61 亿元 | 爆款贡献极高 |</w:t>
      </w:r>
    </w:p>
    <w:p>
      <w:r>
        <w:t>| 17 个 IP 收入过亿 | 是 | IP 矩阵在扩展，但头部依赖仍重 |</w:t>
      </w:r>
    </w:p>
    <w:p/>
    <w:p>
      <w:r>
        <w:t xml:space="preserve">**核心问题**：  </w:t>
      </w:r>
    </w:p>
    <w:p>
      <w:r>
        <w:t>泡泡玛特已经不是“只靠中国盲盒”的公司，但也尚未彻底摆脱**头部 IP 依赖**。现在的高利润率，很大程度上反映了爆款周期的威力。</w:t>
      </w:r>
    </w:p>
    <w:p/>
    <w:p>
      <w:pPr>
        <w:pStyle w:val="Heading3"/>
      </w:pPr>
      <w:r>
        <w:t>3.4 同业对比框架</w:t>
      </w:r>
    </w:p>
    <w:p/>
    <w:p>
      <w:r>
        <w:t>| 维度 | 泡泡玛特 | 传统消费品牌 | 互联网平台 |</w:t>
      </w:r>
    </w:p>
    <w:p>
      <w:r>
        <w:t>|------|----------|--------------|------------|</w:t>
      </w:r>
    </w:p>
    <w:p>
      <w:r>
        <w:t>| 成长性 | 很高 | 低到中 | 中 |</w:t>
      </w:r>
    </w:p>
    <w:p>
      <w:r>
        <w:t>| 毛利率 | 很高（72%） | 中 | 高 |</w:t>
      </w:r>
    </w:p>
    <w:p>
      <w:r>
        <w:t>| 现金流 | 强 | 中到强 | 强 |</w:t>
      </w:r>
    </w:p>
    <w:p>
      <w:r>
        <w:t>| 估值波动 | 很大 | 较小 | 中到大 |</w:t>
      </w:r>
    </w:p>
    <w:p>
      <w:r>
        <w:t>| 核心风险 | IP 热度衰减 | 渠道老化 | 监管/竞争 |</w:t>
      </w:r>
    </w:p>
    <w:p/>
    <w:p>
      <w:r>
        <w:t>**判断**：泡泡玛特更像**消费品 + 内容 IP + 零售渠道**的混合体，不适合只用传统消费股估值，也不能简单套互联网平台估值。</w:t>
      </w:r>
    </w:p>
    <w:p/>
    <w:p>
      <w:pPr>
        <w:pStyle w:val="Heading3"/>
      </w:pPr>
      <w:r>
        <w:t>3.5 风险专项拆解</w:t>
      </w:r>
    </w:p>
    <w:p/>
    <w:p>
      <w:r>
        <w:t>| 风险项 | 当前表现 | 风险等级 | 监控指标 |</w:t>
      </w:r>
    </w:p>
    <w:p>
      <w:r>
        <w:t>|--------|----------|----------|----------|</w:t>
      </w:r>
    </w:p>
    <w:p>
      <w:r>
        <w:t>| 单一 IP 依赖 | THE MONSTERS 占比高 | 🔴 高 | 头部 IP 收入占比、复购率 |</w:t>
      </w:r>
    </w:p>
    <w:p>
      <w:r>
        <w:t>| 库存膨胀 | 存货从 15.25 亿升至 54.73 亿 | 🟠 中高 | 存货周转天数、滞销 SKU |</w:t>
      </w:r>
    </w:p>
    <w:p>
      <w:r>
        <w:t>| 海外扩张执行 | 海外收入爆发，但门店投入大 | 🟠 中高 | 海外同店、租金回报率 |</w:t>
      </w:r>
    </w:p>
    <w:p>
      <w:r>
        <w:t>| 估值压缩 | PB 8 倍、剔除净现金 FCF 17 倍 | 🔴 高 | 估值与增长匹配度 |</w:t>
      </w:r>
    </w:p>
    <w:p>
      <w:r>
        <w:t>| 创始人依赖 | 民营创始人型公司 | 🟠 中 | 治理结构、激励与接班 |</w:t>
      </w:r>
    </w:p>
    <w:p/>
    <w:p/>
    <w:p/>
    <w:p>
      <w:pPr>
        <w:pStyle w:val="Heading2"/>
      </w:pPr>
      <w:r>
        <w:t>第四章：动态现金与周期拐点</w:t>
      </w:r>
    </w:p>
    <w:p/>
    <w:p>
      <w:pPr>
        <w:pStyle w:val="Heading3"/>
      </w:pPr>
      <w:r>
        <w:t>4.1 现金流质量</w:t>
      </w:r>
    </w:p>
    <w:p/>
    <w:p>
      <w:r>
        <w:t>| 指标 | 2025 | 2024 | 解读 |</w:t>
      </w:r>
    </w:p>
    <w:p>
      <w:r>
        <w:t>|------|------|------|------|</w:t>
      </w:r>
    </w:p>
    <w:p>
      <w:r>
        <w:t>| 经营现金流 | 108.65 亿 | 49.54 亿 | 现金流显著强于 2024 |</w:t>
      </w:r>
    </w:p>
    <w:p>
      <w:r>
        <w:t>| 资本开支 | 9.85 亿 | 3.73 亿 | 扩张加速，但 CAPEX 仍可控 |</w:t>
      </w:r>
    </w:p>
    <w:p>
      <w:r>
        <w:t>| FCF | 98.80 亿 | 45.82 亿 | 自由现金流爆发 |</w:t>
      </w:r>
    </w:p>
    <w:p>
      <w:r>
        <w:t>| FCF/归母净利润 | 77.3% | - | 现金转化良好 |</w:t>
      </w:r>
    </w:p>
    <w:p/>
    <w:p>
      <w:pPr>
        <w:pStyle w:val="Heading3"/>
      </w:pPr>
      <w:r>
        <w:t>4.2 但现金流不是“无代价”的</w:t>
      </w:r>
    </w:p>
    <w:p/>
    <w:p>
      <w:r>
        <w:t>2025 年最值得警惕的不是利润，而是**营运资金提前占用**：</w:t>
      </w:r>
    </w:p>
    <w:p/>
    <w:p>
      <w:r>
        <w:t>- 存货增加 **39.32 亿元**</w:t>
      </w:r>
    </w:p>
    <w:p>
      <w:r>
        <w:t>- 贸易应收增加 **4.43 亿元**</w:t>
      </w:r>
    </w:p>
    <w:p>
      <w:r>
        <w:t>- 预付款及其他应收增加 **8.21 亿元**</w:t>
      </w:r>
    </w:p>
    <w:p/>
    <w:p>
      <w:r>
        <w:t xml:space="preserve">这说明公司为了配合全球扩张，已经在主动把更多现金投向库存和渠道前置准备。  </w:t>
      </w:r>
    </w:p>
    <w:p>
      <w:r>
        <w:t>如果 2026 年增速放缓，这些项目可能会成为利润率和现金流的反向压力。</w:t>
      </w:r>
    </w:p>
    <w:p/>
    <w:p>
      <w:pPr>
        <w:pStyle w:val="Heading3"/>
      </w:pPr>
      <w:r>
        <w:t>4.3 周期判断</w:t>
      </w:r>
    </w:p>
    <w:p/>
    <w:p>
      <w:r>
        <w:t>泡泡玛特并非传统意义上的强周期股，但它有自己的“内容消费周期”：</w:t>
      </w:r>
    </w:p>
    <w:p/>
    <w:p>
      <w:r>
        <w:t>```text</w:t>
      </w:r>
    </w:p>
    <w:p>
      <w:r>
        <w:t>IP 爆发期 → 收入/毛利率/现金流同步跃升</w:t>
      </w:r>
    </w:p>
    <w:p>
      <w:r>
        <w:t>IP 常态期 → 增速放缓，估值压缩最明显</w:t>
      </w:r>
    </w:p>
    <w:p>
      <w:r>
        <w:t>IP 衰退期 → 库存、折扣、渠道效率压力集中暴露</w:t>
      </w:r>
    </w:p>
    <w:p>
      <w:r>
        <w:t>```</w:t>
      </w:r>
    </w:p>
    <w:p/>
    <w:p>
      <w:r>
        <w:t>当前更像是**爆发高点后的估值消化阶段**，不是低谷反转阶段。</w:t>
      </w:r>
    </w:p>
    <w:p/>
    <w:p/>
    <w:p/>
    <w:p>
      <w:pPr>
        <w:pStyle w:val="Heading2"/>
      </w:pPr>
      <w:r>
        <w:t>第五章：极端情景测试</w:t>
      </w:r>
    </w:p>
    <w:p/>
    <w:p>
      <w:pPr>
        <w:pStyle w:val="Heading3"/>
      </w:pPr>
      <w:r>
        <w:t>5.1 情景推演</w:t>
      </w:r>
    </w:p>
    <w:p/>
    <w:p>
      <w:r>
        <w:t>| 情景 | 假设 | 影响 |</w:t>
      </w:r>
    </w:p>
    <w:p>
      <w:r>
        <w:t>|------|------|------|</w:t>
      </w:r>
    </w:p>
    <w:p>
      <w:r>
        <w:t>| 乐观 | 海外扩张顺利，头部 IP 热度延续 | 当前估值可被业绩消化 |</w:t>
      </w:r>
    </w:p>
    <w:p>
      <w:r>
        <w:t>| 基准 | 增速明显回落，但仍保持正增长 | 估值中枢下移，股价横盘或震荡 |</w:t>
      </w:r>
    </w:p>
    <w:p>
      <w:r>
        <w:t>| 悲观 | 爆款热度下滑，库存周转恶化 | 利润和 FCF 双杀，估值大幅压缩 |</w:t>
      </w:r>
    </w:p>
    <w:p/>
    <w:p>
      <w:pPr>
        <w:pStyle w:val="Heading3"/>
      </w:pPr>
      <w:r>
        <w:t>5.2 FCF 压力测试</w:t>
      </w:r>
    </w:p>
    <w:p/>
    <w:p>
      <w:r>
        <w:t>以当前剔除净现金市值 1687.16 亿元为基数：</w:t>
      </w:r>
    </w:p>
    <w:p/>
    <w:p>
      <w:r>
        <w:t>| FCF 下降幅度 | 对应 FCF | 剔除净现金 FCF 倍数 |</w:t>
      </w:r>
    </w:p>
    <w:p>
      <w:r>
        <w:t>|--------------|----------|----------------------|</w:t>
      </w:r>
    </w:p>
    <w:p>
      <w:r>
        <w:t>| 当前 | 98.80 亿 | 17.08 倍 |</w:t>
      </w:r>
    </w:p>
    <w:p>
      <w:r>
        <w:t>| -20% | 79.04 亿 | 21.35 倍 |</w:t>
      </w:r>
    </w:p>
    <w:p>
      <w:r>
        <w:t>| -30% | 69.16 亿 | 24.40 倍 |</w:t>
      </w:r>
    </w:p>
    <w:p>
      <w:r>
        <w:t>| -40% | 59.28 亿 | 28.46 倍 |</w:t>
      </w:r>
    </w:p>
    <w:p>
      <w:r>
        <w:t>| -50% | 49.40 亿 | 34.15 倍 |</w:t>
      </w:r>
    </w:p>
    <w:p/>
    <w:p>
      <w:r>
        <w:t xml:space="preserve">**结论**：市场并没有按“安全边际”给泡泡玛特定价，而是在按“高增长还能持续”定价。  </w:t>
      </w:r>
    </w:p>
    <w:p>
      <w:r>
        <w:t>只要增长掉档，估值会迅速失去支撑。</w:t>
      </w:r>
    </w:p>
    <w:p/>
    <w:p/>
    <w:p/>
    <w:p>
      <w:pPr>
        <w:pStyle w:val="Heading2"/>
      </w:pPr>
      <w:r>
        <w:t>第六章：估值与安全边际</w:t>
      </w:r>
    </w:p>
    <w:p/>
    <w:p>
      <w:pPr>
        <w:pStyle w:val="Heading3"/>
      </w:pPr>
      <w:r>
        <w:t>6.1 核心估值结果（人民币口径）</w:t>
      </w:r>
    </w:p>
    <w:p/>
    <w:p>
      <w:r>
        <w:t>| 指标 | 结果 | 评价 |</w:t>
      </w:r>
    </w:p>
    <w:p>
      <w:r>
        <w:t>|------|------|------|</w:t>
      </w:r>
    </w:p>
    <w:p>
      <w:r>
        <w:t>| PE | 14.33 倍 | 对传统消费不便宜，对高增公司不算离谱 |</w:t>
      </w:r>
    </w:p>
    <w:p>
      <w:r>
        <w:t>| PB | 8.08 倍 | 很高，说明市场主要买的是未来 |</w:t>
      </w:r>
    </w:p>
    <w:p>
      <w:r>
        <w:t>| FCF 收益率 | 5.40% | 一般，不是超高回报资产 |</w:t>
      </w:r>
    </w:p>
    <w:p>
      <w:r>
        <w:t>| 剔除净现金 FCF 倍数 | 17.08 倍 | 明显高 |</w:t>
      </w:r>
    </w:p>
    <w:p>
      <w:r>
        <w:t>| 净现金/市值 | 7.85% | 现金安全垫很薄 |</w:t>
      </w:r>
    </w:p>
    <w:p/>
    <w:p>
      <w:pPr>
        <w:pStyle w:val="Heading3"/>
      </w:pPr>
      <w:r>
        <w:t>6.2 与模板标准对比</w:t>
      </w:r>
    </w:p>
    <w:p/>
    <w:p>
      <w:r>
        <w:t>| 模板标准（港股熊市） | 泡泡玛特 | 结果 |</w:t>
      </w:r>
    </w:p>
    <w:p>
      <w:r>
        <w:t>|----------------------|----------|------|</w:t>
      </w:r>
    </w:p>
    <w:p>
      <w:r>
        <w:t>| 剔除净现金 FCF 倍数 &lt; 3 倍 | 17.08 倍 | ❌ |</w:t>
      </w:r>
    </w:p>
    <w:p>
      <w:r>
        <w:t>| 股息率 &gt; 6% | 约 1.75%（按拟派末期股息） | ❌ |</w:t>
      </w:r>
    </w:p>
    <w:p>
      <w:r>
        <w:t>| PB &lt; 0.6 倍 | 8.08 倍 | ❌ |</w:t>
      </w:r>
    </w:p>
    <w:p>
      <w:r>
        <w:t>| 净现金/市值足够高 | 7.85% | ❌ |</w:t>
      </w:r>
    </w:p>
    <w:p/>
    <w:p>
      <w:r>
        <w:t>**结论**：泡泡玛特是“好公司高估值”而不是“低估值好资产”。</w:t>
      </w:r>
    </w:p>
    <w:p/>
    <w:p>
      <w:pPr>
        <w:pStyle w:val="Heading3"/>
      </w:pPr>
      <w:r>
        <w:t>6.3 估值本质</w:t>
      </w:r>
    </w:p>
    <w:p/>
    <w:p>
      <w:r>
        <w:t>市场当前愿意给泡泡玛特高估值，隐含的是以下前提：</w:t>
      </w:r>
    </w:p>
    <w:p/>
    <w:p>
      <w:r>
        <w:t>1. 海外扩张仍能高增长；</w:t>
      </w:r>
    </w:p>
    <w:p>
      <w:r>
        <w:t>2. 头部 IP 热度不是一次性；</w:t>
      </w:r>
    </w:p>
    <w:p>
      <w:r>
        <w:t>3. 毛利率高位能维持；</w:t>
      </w:r>
    </w:p>
    <w:p>
      <w:r>
        <w:t>4. 库存扩张不会转成减值与折扣清货。</w:t>
      </w:r>
    </w:p>
    <w:p/>
    <w:p>
      <w:r>
        <w:t>只要其中一项被打破，17 倍剔除净现金 FCF 倍数就会显得过高。</w:t>
      </w:r>
    </w:p>
    <w:p/>
    <w:p>
      <w:pPr>
        <w:pStyle w:val="Heading3"/>
      </w:pPr>
      <w:r>
        <w:t>6.4 为什么它不适合本模板核心仓位</w:t>
      </w:r>
    </w:p>
    <w:p/>
    <w:p>
      <w:r>
        <w:t>本模板核心追求的是：</w:t>
      </w:r>
    </w:p>
    <w:p/>
    <w:p>
      <w:r>
        <w:t>- 高股息</w:t>
      </w:r>
    </w:p>
    <w:p>
      <w:r>
        <w:t>- 高现金覆盖</w:t>
      </w:r>
    </w:p>
    <w:p>
      <w:r>
        <w:t>- 低估值</w:t>
      </w:r>
    </w:p>
    <w:p>
      <w:r>
        <w:t>- 央国企背景</w:t>
      </w:r>
    </w:p>
    <w:p/>
    <w:p>
      <w:r>
        <w:t>泡泡玛特恰好相反：</w:t>
      </w:r>
    </w:p>
    <w:p/>
    <w:p>
      <w:r>
        <w:t>- 低股息</w:t>
      </w:r>
    </w:p>
    <w:p>
      <w:r>
        <w:t>- 现金保护弱</w:t>
      </w:r>
    </w:p>
    <w:p>
      <w:r>
        <w:t>- 估值高</w:t>
      </w:r>
    </w:p>
    <w:p>
      <w:r>
        <w:t>- 民营创始人公司</w:t>
      </w:r>
    </w:p>
    <w:p/>
    <w:p>
      <w:r>
        <w:t>所以它即便优秀，也更适合**观察名单**，而非核心仓。</w:t>
      </w:r>
    </w:p>
    <w:p/>
    <w:p/>
    <w:p/>
    <w:p>
      <w:pPr>
        <w:pStyle w:val="Heading2"/>
      </w:pPr>
      <w:r>
        <w:t>第七章：决策流程与持仓管理</w:t>
      </w:r>
    </w:p>
    <w:p/>
    <w:p>
      <w:pPr>
        <w:pStyle w:val="Heading3"/>
      </w:pPr>
      <w:r>
        <w:t>7.1 市场情绪锚</w:t>
      </w:r>
    </w:p>
    <w:p/>
    <w:p>
      <w:r>
        <w:t>| 指标 | 数值 | 判断 |</w:t>
      </w:r>
    </w:p>
    <w:p>
      <w:r>
        <w:t>|------|------|------|</w:t>
      </w:r>
    </w:p>
    <w:p>
      <w:r>
        <w:t>| VHSI | 20.69 | 平静期 |</w:t>
      </w:r>
    </w:p>
    <w:p>
      <w:r>
        <w:t>| VIX | 18.71 | 平静期 |</w:t>
      </w:r>
    </w:p>
    <w:p>
      <w:r>
        <w:t>| 双锚结论 | VHSI 低 + VIX 低 | 市场非恐慌状态，可按常规估值标准，不存在情绪型抄底溢价 |</w:t>
      </w:r>
    </w:p>
    <w:p/>
    <w:p>
      <w:r>
        <w:t xml:space="preserve">**解读**：  </w:t>
      </w:r>
    </w:p>
    <w:p>
      <w:r>
        <w:t xml:space="preserve">当前并不是“市场把好公司错杀到极端便宜”的阶段。  </w:t>
      </w:r>
    </w:p>
    <w:p>
      <w:r>
        <w:t>在 VHSI 仅 20.69 的环境下，如果泡泡玛特依然有 17 倍剔除净现金 FCF 倍数，只能说明它本身不便宜，而不是市场过度恐慌。</w:t>
      </w:r>
    </w:p>
    <w:p/>
    <w:p>
      <w:pPr>
        <w:pStyle w:val="Heading3"/>
      </w:pPr>
      <w:r>
        <w:t>7.2 风险分级</w:t>
      </w:r>
    </w:p>
    <w:p/>
    <w:p>
      <w:r>
        <w:t>| 维度 | 结果 | 风险等级 |</w:t>
      </w:r>
    </w:p>
    <w:p>
      <w:r>
        <w:t>|------|------|----------|</w:t>
      </w:r>
    </w:p>
    <w:p>
      <w:r>
        <w:t>| 现金安全垫 | 7.85% | 🔴 |</w:t>
      </w:r>
    </w:p>
    <w:p>
      <w:r>
        <w:t>| 估值安全垫 | 剔除净现金 FCF 17.08 倍 | 🔴 |</w:t>
      </w:r>
    </w:p>
    <w:p>
      <w:r>
        <w:t>| 背景安全垫 | 民营创始人公司 | 🔴 |</w:t>
      </w:r>
    </w:p>
    <w:p>
      <w:r>
        <w:t>| 经营质量 | 极强 | 🟢 |</w:t>
      </w:r>
    </w:p>
    <w:p>
      <w:r>
        <w:t>| 综合评价 | 好公司，但价格不便宜 | 🔴/🟠 |</w:t>
      </w:r>
    </w:p>
    <w:p/>
    <w:p>
      <w:pPr>
        <w:pStyle w:val="Heading3"/>
      </w:pPr>
      <w:r>
        <w:t>7.3 最终建议</w:t>
      </w:r>
    </w:p>
    <w:p/>
    <w:p>
      <w:r>
        <w:t>**当前建议：⚠️ 观察，不追高，不作为核心仓位配置。**</w:t>
      </w:r>
    </w:p>
    <w:p/>
    <w:p>
      <w:r>
        <w:t>原因只有三条，但都很硬：</w:t>
      </w:r>
    </w:p>
    <w:p/>
    <w:p>
      <w:r>
        <w:t>1. **估值不便宜**：剔除净现金 FCF 17.08 倍，不满足港股熊市标准；</w:t>
      </w:r>
    </w:p>
    <w:p>
      <w:r>
        <w:t>2. **安全垫不厚**：净现金只占市值 7.85%，不能靠现金保护 downside；</w:t>
      </w:r>
    </w:p>
    <w:p>
      <w:r>
        <w:t>3. **民营成长股属性强**：一旦增长掉档，估值压缩会很快。</w:t>
      </w:r>
    </w:p>
    <w:p/>
    <w:p>
      <w:pPr>
        <w:pStyle w:val="Heading3"/>
      </w:pPr>
      <w:r>
        <w:t>7.4 操作纪律</w:t>
      </w:r>
    </w:p>
    <w:p/>
    <w:p>
      <w:r>
        <w:t>```text</w:t>
      </w:r>
    </w:p>
    <w:p>
      <w:r>
        <w:t>现阶段：</w:t>
      </w:r>
    </w:p>
    <w:p>
      <w:r>
        <w:t>├── 不追高</w:t>
      </w:r>
    </w:p>
    <w:p>
      <w:r>
        <w:t>├── 只做跟踪，不做重仓</w:t>
      </w:r>
    </w:p>
    <w:p>
      <w:r>
        <w:t>└── 若后续业绩继续高增而股价横住/回落，再重新评估</w:t>
      </w:r>
    </w:p>
    <w:p/>
    <w:p>
      <w:r>
        <w:t>重点跟踪三项：</w:t>
      </w:r>
    </w:p>
    <w:p>
      <w:r>
        <w:t>1. THE MONSTERS 收入占比是否回落但整体矩阵仍稳</w:t>
      </w:r>
    </w:p>
    <w:p>
      <w:r>
        <w:t>2. 海外收入增长是否继续高于门店/库存增长</w:t>
      </w:r>
    </w:p>
    <w:p>
      <w:r>
        <w:t>3. FCF 是否能稳定在高位，而不是靠一次性爆发</w:t>
      </w:r>
    </w:p>
    <w:p>
      <w:r>
        <w:t>```</w:t>
      </w:r>
    </w:p>
    <w:p/>
    <w:p/>
    <w:p/>
    <w:p>
      <w:pPr>
        <w:pStyle w:val="Heading2"/>
      </w:pPr>
      <w:r>
        <w:t>总结</w:t>
      </w:r>
    </w:p>
    <w:p/>
    <w:p>
      <w:r>
        <w:t>泡泡玛特的难点不在“看不懂公司”，而在“好公司该给多高估值”。</w:t>
      </w:r>
    </w:p>
    <w:p/>
    <w:p>
      <w:r>
        <w:t>从经营质量看，它已经证明：</w:t>
      </w:r>
    </w:p>
    <w:p/>
    <w:p>
      <w:r>
        <w:t>- 有全球化扩张能力；</w:t>
      </w:r>
    </w:p>
    <w:p>
      <w:r>
        <w:t>- 有强 IP 商业化能力；</w:t>
      </w:r>
    </w:p>
    <w:p>
      <w:r>
        <w:t>- 有优秀的现金流转化能力。</w:t>
      </w:r>
    </w:p>
    <w:p/>
    <w:p>
      <w:r>
        <w:t>但从本模板最看重的**安全边际**看，它仍然不合格：</w:t>
      </w:r>
    </w:p>
    <w:p/>
    <w:p>
      <w:r>
        <w:t>- 净现金不够厚，</w:t>
      </w:r>
    </w:p>
    <w:p>
      <w:r>
        <w:t>- 股息不够高，</w:t>
      </w:r>
    </w:p>
    <w:p>
      <w:r>
        <w:t>- 估值不够低，</w:t>
      </w:r>
    </w:p>
    <w:p>
      <w:r>
        <w:t>- 民营背景又放大了下行波动。</w:t>
      </w:r>
    </w:p>
    <w:p/>
    <w:p>
      <w:r>
        <w:t>**所以这是一只值得持续研究的优质成长股，但不是当前这个模板框架下值得重仓的便宜资产。**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