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F172A"/>
          <w:sz w:val="56"/>
        </w:rPr>
        <w:t>TANGENTCORE / SCALEZIX</w:t>
        <w:br/>
        <w:t>AEO-GEO SYSTEM</w:t>
      </w:r>
    </w:p>
    <w:p>
      <w:pPr>
        <w:spacing w:after="480"/>
        <w:jc w:val="center"/>
      </w:pPr>
      <w:r>
        <w:rPr>
          <w:rFonts w:ascii="Calibri" w:hAnsi="Calibri"/>
          <w:color w:val="B87333"/>
          <w:sz w:val="28"/>
        </w:rPr>
        <w:t>Comprehensive Technical Documentation, Feature Blueprints,</w:t>
        <w:br/>
        <w:t>Architecture &amp; Micro-Tools Operations Manual</w:t>
      </w:r>
    </w:p>
    <w:p>
      <w:pPr>
        <w:spacing w:after="720"/>
        <w:jc w:val="center"/>
      </w:pPr>
      <w:r>
        <w:rPr>
          <w:rFonts w:ascii="Calibri" w:hAnsi="Calibri"/>
          <w:color w:val="64748B"/>
          <w:sz w:val="20"/>
        </w:rPr>
        <w:t>Platform Version: 1.0 Enterprise Edition  |  Next.js 15 + React 19 + Supabase + Multi-LLM Gateway</w:t>
        <w:br/>
        <w:t>Document Classification: Complete System Specification &amp; Architecture Reference</w:t>
        <w:br/>
        <w:t>Date of Compilation: 2026</w:t>
      </w:r>
    </w:p>
    <w:p>
      <w:r>
        <w:br w:type="page"/>
      </w:r>
    </w:p>
    <w:p>
      <w:pPr>
        <w:pStyle w:val="Heading1"/>
        <w:keepNext/>
        <w:spacing w:before="280" w:after="120"/>
      </w:pPr>
      <w:r>
        <w:rPr>
          <w:b/>
          <w:color w:val="0F172A"/>
          <w:sz w:val="40"/>
        </w:rPr>
        <w:t>Table of Contents</w:t>
      </w:r>
    </w:p>
    <w:p>
      <w:pPr>
        <w:spacing w:after="60"/>
      </w:pPr>
      <w:r>
        <w:rPr>
          <w:b/>
          <w:color w:val="B87333"/>
        </w:rPr>
        <w:t xml:space="preserve">Section 1: </w:t>
      </w:r>
      <w:r>
        <w:rPr>
          <w:color w:val="334155"/>
        </w:rPr>
        <w:t>Executive Summary &amp; Industry Paradigm (AEO &amp; GEO Defined)</w:t>
      </w:r>
    </w:p>
    <w:p>
      <w:pPr>
        <w:spacing w:after="60"/>
      </w:pPr>
      <w:r>
        <w:rPr>
          <w:b/>
          <w:color w:val="B87333"/>
        </w:rPr>
        <w:t xml:space="preserve">Section 2: </w:t>
      </w:r>
      <w:r>
        <w:rPr>
          <w:color w:val="334155"/>
        </w:rPr>
        <w:t>High-Level System Architecture &amp; Technology Stack</w:t>
      </w:r>
    </w:p>
    <w:p>
      <w:pPr>
        <w:spacing w:after="60"/>
      </w:pPr>
      <w:r>
        <w:rPr>
          <w:b/>
          <w:color w:val="B87333"/>
        </w:rPr>
        <w:t xml:space="preserve">Section 3: </w:t>
      </w:r>
      <w:r>
        <w:rPr>
          <w:color w:val="334155"/>
        </w:rPr>
        <w:t>Core Platform Features &amp; Dashboard Intelligence Modules</w:t>
      </w:r>
    </w:p>
    <w:p>
      <w:pPr>
        <w:spacing w:after="60"/>
      </w:pPr>
      <w:r>
        <w:rPr>
          <w:b/>
          <w:color w:val="B87333"/>
        </w:rPr>
        <w:t xml:space="preserve">Section 4: </w:t>
      </w:r>
      <w:r>
        <w:rPr>
          <w:color w:val="334155"/>
        </w:rPr>
        <w:t>The 12 Micro-Tools: In-Depth Technical &amp; Functional Blueprints</w:t>
      </w:r>
    </w:p>
    <w:p>
      <w:pPr>
        <w:spacing w:after="60"/>
      </w:pPr>
      <w:r>
        <w:rPr>
          <w:b/>
          <w:color w:val="B87333"/>
        </w:rPr>
        <w:t xml:space="preserve">Section 5: </w:t>
      </w:r>
      <w:r>
        <w:rPr>
          <w:color w:val="334155"/>
        </w:rPr>
        <w:t>Database Architecture, Supabase Schema &amp; Security Model</w:t>
      </w:r>
    </w:p>
    <w:p>
      <w:pPr>
        <w:spacing w:after="60"/>
      </w:pPr>
      <w:r>
        <w:rPr>
          <w:b/>
          <w:color w:val="B87333"/>
        </w:rPr>
        <w:t xml:space="preserve">Section 6: </w:t>
      </w:r>
      <w:r>
        <w:rPr>
          <w:color w:val="334155"/>
        </w:rPr>
        <w:t>REST API Reference &amp; Backend Endpoint Specifications</w:t>
      </w:r>
    </w:p>
    <w:p>
      <w:pPr>
        <w:spacing w:after="60"/>
      </w:pPr>
      <w:r>
        <w:rPr>
          <w:b/>
          <w:color w:val="B87333"/>
        </w:rPr>
        <w:t xml:space="preserve">Section 7: </w:t>
      </w:r>
      <w:r>
        <w:rPr>
          <w:color w:val="334155"/>
        </w:rPr>
        <w:t>Public Experience, Marketing Pages &amp; Information Architecture</w:t>
      </w:r>
    </w:p>
    <w:p>
      <w:pPr>
        <w:spacing w:after="60"/>
      </w:pPr>
      <w:r>
        <w:rPr>
          <w:b/>
          <w:color w:val="B87333"/>
        </w:rPr>
        <w:t xml:space="preserve">Section 8: </w:t>
      </w:r>
      <w:r>
        <w:rPr>
          <w:color w:val="334155"/>
        </w:rPr>
        <w:t>Commercial Tiering, Pricing Models &amp; Monetization Structure</w:t>
      </w:r>
    </w:p>
    <w:p>
      <w:pPr>
        <w:spacing w:after="60"/>
      </w:pPr>
      <w:r>
        <w:rPr>
          <w:b/>
          <w:color w:val="B87333"/>
        </w:rPr>
        <w:t xml:space="preserve">Section 9: </w:t>
      </w:r>
      <w:r>
        <w:rPr>
          <w:color w:val="334155"/>
        </w:rPr>
        <w:t>Deployment, Environment Configuration &amp; Operational Manual</w:t>
      </w:r>
    </w:p>
    <w:p>
      <w:pPr>
        <w:spacing w:after="240"/>
      </w:pPr>
    </w:p>
    <w:p>
      <w:pPr>
        <w:pStyle w:val="Heading1"/>
        <w:keepNext/>
        <w:spacing w:before="280" w:after="120"/>
      </w:pPr>
      <w:r>
        <w:rPr>
          <w:b/>
          <w:color w:val="0F172A"/>
          <w:sz w:val="40"/>
        </w:rPr>
        <w:t>1. Executive Summary &amp; Industry Paradigm</w:t>
      </w:r>
    </w:p>
    <w:p>
      <w:pPr>
        <w:spacing w:after="120" w:line="276" w:lineRule="auto"/>
      </w:pPr>
      <w:r>
        <w:rPr>
          <w:rFonts w:ascii="Calibri" w:hAnsi="Calibri"/>
          <w:b w:val="0"/>
          <w:i w:val="0"/>
          <w:color w:val="334155"/>
          <w:sz w:val="21"/>
        </w:rPr>
        <w:t>The search landscape has undergone a historic paradigm shift. Traditional Search Engine Optimization (SEO), which focused predominantly on keyword density, backlink quantities, and blue organic link positioning on Google SERPs, is no longer sufficient to secure commercial digital visibility. The rise of conversational AI and Generative Answer Engines—including OpenAI ChatGPT (SearchGPT/GPT-4o), Google Gemini &amp; AI Overviews, Anthropic Claude, Perplexity AI, DeepSeek, and Grok—has introduced a zero-click, synthesized direct-answer era.</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284C7"/>
              <w:top w:val="none"/>
              <w:right w:val="none"/>
              <w:bottom w:val="none"/>
            </w:tcBorders>
          </w:tcPr>
          <w:p>
            <w:pPr>
              <w:spacing w:after="60"/>
            </w:pPr>
            <w:r>
              <w:rPr>
                <w:rFonts w:ascii="Calibri" w:hAnsi="Calibri"/>
                <w:b/>
                <w:color w:val="0F172A"/>
                <w:sz w:val="22"/>
              </w:rPr>
              <w:t>📌 Core Industry Distinction: SEO vs. AEO vs. GEO</w:t>
              <w:br/>
            </w:r>
            <w:r>
              <w:rPr>
                <w:rFonts w:ascii="Calibri" w:hAnsi="Calibri"/>
                <w:color w:val="334155"/>
                <w:sz w:val="20"/>
              </w:rPr>
              <w:t>• SEO (Search Engine Optimization): Optimizing web pages to rank in traditional ten-blue-link keyword results.</w:t>
              <w:br/>
              <w:t>• AEO (Answer Engine Optimization): Structuring brand facts, JSON-LD schemas, FAQs, and authority entities so AI engines extract and cite your brand in direct zero-click answer boxes.</w:t>
              <w:br/>
              <w:t>• GEO (Generative Engine Optimization): Maximizing the probability that large language models (LLMs) synthesize and recommend your brand when prospective buyers prompt AI assistants with complex multi-intent purchasing queries.</w:t>
            </w:r>
          </w:p>
        </w:tc>
      </w:tr>
    </w:tbl>
    <w:p>
      <w:pPr>
        <w:spacing w:after="120"/>
      </w:pPr>
    </w:p>
    <w:p>
      <w:pPr>
        <w:spacing w:after="120" w:line="276" w:lineRule="auto"/>
      </w:pPr>
      <w:r>
        <w:rPr>
          <w:rFonts w:ascii="Calibri" w:hAnsi="Calibri"/>
          <w:b w:val="0"/>
          <w:i w:val="0"/>
          <w:color w:val="334155"/>
          <w:sz w:val="21"/>
        </w:rPr>
        <w:t>The TangentCore / Scalezix AEO-GEO System is an enterprise-grade intelligence platform engineered specifically to measure, audit, optimize, and dominate brand visibility across conversational generative search engines. The platform bridges the gap between technical site architecture, structured knowledge graphs, and real-time multi-model AI consensus simulations.</w:t>
      </w:r>
    </w:p>
    <w:p>
      <w:pPr>
        <w:pStyle w:val="Heading2"/>
        <w:keepNext/>
        <w:spacing w:before="280" w:after="120"/>
      </w:pPr>
      <w:r>
        <w:rPr>
          <w:b/>
          <w:color w:val="B87333"/>
          <w:sz w:val="30"/>
        </w:rPr>
        <w:t>Target User Personas &amp; Value Proposition</w:t>
      </w:r>
    </w:p>
    <w:p>
      <w:pPr>
        <w:pStyle w:val="ListBullet"/>
        <w:spacing w:after="80" w:line="276" w:lineRule="auto"/>
      </w:pPr>
      <w:r>
        <w:rPr>
          <w:rFonts w:ascii="Calibri" w:hAnsi="Calibri"/>
          <w:b/>
          <w:color w:val="1E293B"/>
          <w:sz w:val="21"/>
        </w:rPr>
        <w:t xml:space="preserve">Enterprise CMOs &amp; Marketing Leaders: </w:t>
      </w:r>
      <w:r>
        <w:rPr>
          <w:rFonts w:ascii="Calibri" w:hAnsi="Calibri"/>
          <w:color w:val="334155"/>
          <w:sz w:val="21"/>
        </w:rPr>
        <w:t>Gain visibility into their brand's true multi-model AI citation share, monitor brand sentiment across flagship LLMs, and defend market dominance against disruptive rivals.</w:t>
      </w:r>
    </w:p>
    <w:p>
      <w:pPr>
        <w:pStyle w:val="ListBullet"/>
        <w:spacing w:after="80" w:line="276" w:lineRule="auto"/>
      </w:pPr>
      <w:r>
        <w:rPr>
          <w:rFonts w:ascii="Calibri" w:hAnsi="Calibri"/>
          <w:b/>
          <w:color w:val="1E293B"/>
          <w:sz w:val="21"/>
        </w:rPr>
        <w:t xml:space="preserve">SEO &amp; Growth Agencies: </w:t>
      </w:r>
      <w:r>
        <w:rPr>
          <w:rFonts w:ascii="Calibri" w:hAnsi="Calibri"/>
          <w:color w:val="334155"/>
          <w:sz w:val="21"/>
        </w:rPr>
        <w:t>Deliver data-backed AEO/GEO audits, identify commercial prompt gaps, and automate the generation of high-converting content briefs tailored for generative citation.</w:t>
      </w:r>
    </w:p>
    <w:p>
      <w:pPr>
        <w:pStyle w:val="ListBullet"/>
        <w:spacing w:after="80" w:line="276" w:lineRule="auto"/>
      </w:pPr>
      <w:r>
        <w:rPr>
          <w:rFonts w:ascii="Calibri" w:hAnsi="Calibri"/>
          <w:b/>
          <w:color w:val="1E293B"/>
          <w:sz w:val="21"/>
        </w:rPr>
        <w:t xml:space="preserve">E-Commerce &amp; DTC Brands: </w:t>
      </w:r>
      <w:r>
        <w:rPr>
          <w:rFonts w:ascii="Calibri" w:hAnsi="Calibri"/>
          <w:color w:val="334155"/>
          <w:sz w:val="21"/>
        </w:rPr>
        <w:t>Prepare digital storefronts for ChatGPT Shopping and Agentic Checkout protocols (Product JSON-LD, ACP, UCP).</w:t>
      </w:r>
    </w:p>
    <w:p>
      <w:pPr>
        <w:pStyle w:val="ListBullet"/>
        <w:spacing w:after="80" w:line="276" w:lineRule="auto"/>
      </w:pPr>
      <w:r>
        <w:rPr>
          <w:rFonts w:ascii="Calibri" w:hAnsi="Calibri"/>
          <w:b/>
          <w:color w:val="1E293B"/>
          <w:sz w:val="21"/>
        </w:rPr>
        <w:t xml:space="preserve">B2B SaaS Companies: </w:t>
      </w:r>
      <w:r>
        <w:rPr>
          <w:rFonts w:ascii="Calibri" w:hAnsi="Calibri"/>
          <w:color w:val="334155"/>
          <w:sz w:val="21"/>
        </w:rPr>
        <w:t>Ensure documentation and feature matrices are vector-indexed by AI web crawlers via standards like /llms.txt.</w:t>
      </w:r>
    </w:p>
    <w:p>
      <w:pPr>
        <w:pStyle w:val="Heading1"/>
        <w:keepNext/>
        <w:spacing w:before="280" w:after="120"/>
      </w:pPr>
      <w:r>
        <w:rPr>
          <w:b/>
          <w:color w:val="0F172A"/>
          <w:sz w:val="40"/>
        </w:rPr>
        <w:t>2. High-Level System Architecture &amp; Technology Stack</w:t>
      </w:r>
    </w:p>
    <w:p>
      <w:pPr>
        <w:spacing w:after="120" w:line="276" w:lineRule="auto"/>
      </w:pPr>
      <w:r>
        <w:rPr>
          <w:rFonts w:ascii="Calibri" w:hAnsi="Calibri"/>
          <w:b w:val="0"/>
          <w:i w:val="0"/>
          <w:color w:val="334155"/>
          <w:sz w:val="21"/>
        </w:rPr>
        <w:t>The AEO-GEO system is built upon a high-performance modern web architecture designed for low-latency live web scraping, concurrent multi-model LLM querying, responsive interactive data visualizations, and robust multi-tenant data isolation.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spacing w:after="0"/>
              <w:jc w:val="left"/>
            </w:pPr>
            <w:r>
              <w:rPr>
                <w:rFonts w:ascii="Calibri" w:hAnsi="Calibri"/>
                <w:b/>
                <w:color w:val="FFFFFF"/>
                <w:sz w:val="20"/>
              </w:rPr>
              <w:t>Layer / Subsystem</w:t>
            </w:r>
          </w:p>
        </w:tc>
        <w:tc>
          <w:tcPr>
            <w:tcW w:type="dxa" w:w="2160"/>
            <w:shd w:fill="0F172A"/>
            <w:tcMar>
              <w:top w:w="120" w:type="dxa"/>
              <w:bottom w:w="120" w:type="dxa"/>
              <w:left w:w="140" w:type="dxa"/>
              <w:right w:w="140" w:type="dxa"/>
            </w:tcMar>
          </w:tcPr>
          <w:p>
            <w:pPr>
              <w:spacing w:after="0"/>
              <w:jc w:val="left"/>
            </w:pPr>
            <w:r>
              <w:rPr>
                <w:rFonts w:ascii="Calibri" w:hAnsi="Calibri"/>
                <w:b/>
                <w:color w:val="FFFFFF"/>
                <w:sz w:val="20"/>
              </w:rPr>
              <w:t>Technology Used</w:t>
            </w:r>
          </w:p>
        </w:tc>
        <w:tc>
          <w:tcPr>
            <w:tcW w:type="dxa" w:w="4608"/>
            <w:shd w:fill="0F172A"/>
            <w:tcMar>
              <w:top w:w="120" w:type="dxa"/>
              <w:bottom w:w="120" w:type="dxa"/>
              <w:left w:w="140" w:type="dxa"/>
              <w:right w:w="140" w:type="dxa"/>
            </w:tcMar>
          </w:tcPr>
          <w:p>
            <w:pPr>
              <w:spacing w:after="0"/>
              <w:jc w:val="left"/>
            </w:pPr>
            <w:r>
              <w:rPr>
                <w:rFonts w:ascii="Calibri" w:hAnsi="Calibri"/>
                <w:b/>
                <w:color w:val="FFFFFF"/>
                <w:sz w:val="20"/>
              </w:rPr>
              <w:t>Role &amp; Architectural Responsibility</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Core Framework</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Next.js 15 (App Router)</w:t>
            </w:r>
          </w:p>
        </w:tc>
        <w:tc>
          <w:tcPr>
            <w:tcW w:type="dxa" w:w="4608"/>
            <w:shd w:fill="FFFFFF"/>
            <w:tcMar>
              <w:top w:w="100" w:type="dxa"/>
              <w:bottom w:w="100" w:type="dxa"/>
              <w:left w:w="140" w:type="dxa"/>
              <w:right w:w="140" w:type="dxa"/>
            </w:tcMar>
          </w:tcPr>
          <w:p>
            <w:pPr>
              <w:spacing w:after="0" w:line="276" w:lineRule="auto"/>
            </w:pPr>
            <w:r>
              <w:rPr>
                <w:rFonts w:ascii="Calibri" w:hAnsi="Calibri"/>
                <w:color w:val="334155"/>
                <w:sz w:val="19"/>
              </w:rPr>
              <w:t>Full-stack React framework utilizing Server Actions, Route Handlers, and SSR.</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UI &amp; Component Model</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React 19 &amp; TypeScript</w:t>
            </w:r>
          </w:p>
        </w:tc>
        <w:tc>
          <w:tcPr>
            <w:tcW w:type="dxa" w:w="4608"/>
            <w:shd w:fill="F8FAFC"/>
            <w:tcMar>
              <w:top w:w="100" w:type="dxa"/>
              <w:bottom w:w="100" w:type="dxa"/>
              <w:left w:w="140" w:type="dxa"/>
              <w:right w:w="140" w:type="dxa"/>
            </w:tcMar>
          </w:tcPr>
          <w:p>
            <w:pPr>
              <w:spacing w:after="0" w:line="276" w:lineRule="auto"/>
            </w:pPr>
            <w:r>
              <w:rPr>
                <w:rFonts w:ascii="Calibri" w:hAnsi="Calibri"/>
                <w:color w:val="334155"/>
                <w:sz w:val="19"/>
              </w:rPr>
              <w:t>Strict type-safety, component modularity, and modern hooks state management.</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Styling System</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Tailwind CSS v3.4</w:t>
            </w:r>
          </w:p>
        </w:tc>
        <w:tc>
          <w:tcPr>
            <w:tcW w:type="dxa" w:w="4608"/>
            <w:shd w:fill="FFFFFF"/>
            <w:tcMar>
              <w:top w:w="100" w:type="dxa"/>
              <w:bottom w:w="100" w:type="dxa"/>
              <w:left w:w="140" w:type="dxa"/>
              <w:right w:w="140" w:type="dxa"/>
            </w:tcMar>
          </w:tcPr>
          <w:p>
            <w:pPr>
              <w:spacing w:after="0" w:line="276" w:lineRule="auto"/>
            </w:pPr>
            <w:r>
              <w:rPr>
                <w:rFonts w:ascii="Calibri" w:hAnsi="Calibri"/>
                <w:color w:val="334155"/>
                <w:sz w:val="19"/>
              </w:rPr>
              <w:t>Bespoke dual theme engine (Dark Obsidian #0B0B0C &amp; Light Pure Slate #FCFCFB).</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Motion &amp; Micro-interactions</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Framer Motion &amp; Lucide</w:t>
            </w:r>
          </w:p>
        </w:tc>
        <w:tc>
          <w:tcPr>
            <w:tcW w:type="dxa" w:w="4608"/>
            <w:shd w:fill="F8FAFC"/>
            <w:tcMar>
              <w:top w:w="100" w:type="dxa"/>
              <w:bottom w:w="100" w:type="dxa"/>
              <w:left w:w="140" w:type="dxa"/>
              <w:right w:w="140" w:type="dxa"/>
            </w:tcMar>
          </w:tcPr>
          <w:p>
            <w:pPr>
              <w:spacing w:after="0" w:line="276" w:lineRule="auto"/>
            </w:pPr>
            <w:r>
              <w:rPr>
                <w:rFonts w:ascii="Calibri" w:hAnsi="Calibri"/>
                <w:color w:val="334155"/>
                <w:sz w:val="19"/>
              </w:rPr>
              <w:t>Hardware-accelerated animations, scroll reveals, and luxury vector icons.</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Charts &amp; Data Viz</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Recharts</w:t>
            </w:r>
          </w:p>
        </w:tc>
        <w:tc>
          <w:tcPr>
            <w:tcW w:type="dxa" w:w="4608"/>
            <w:shd w:fill="FFFFFF"/>
            <w:tcMar>
              <w:top w:w="100" w:type="dxa"/>
              <w:bottom w:w="100" w:type="dxa"/>
              <w:left w:w="140" w:type="dxa"/>
              <w:right w:w="140" w:type="dxa"/>
            </w:tcMar>
          </w:tcPr>
          <w:p>
            <w:pPr>
              <w:spacing w:after="0" w:line="276" w:lineRule="auto"/>
            </w:pPr>
            <w:r>
              <w:rPr>
                <w:rFonts w:ascii="Calibri" w:hAnsi="Calibri"/>
                <w:color w:val="334155"/>
                <w:sz w:val="19"/>
              </w:rPr>
              <w:t>Interactive radar benchmarks, share-of-voice distributions, and score meters.</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Database &amp; Security</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Supabase (PostgreSQL)</w:t>
            </w:r>
          </w:p>
        </w:tc>
        <w:tc>
          <w:tcPr>
            <w:tcW w:type="dxa" w:w="4608"/>
            <w:shd w:fill="F8FAFC"/>
            <w:tcMar>
              <w:top w:w="100" w:type="dxa"/>
              <w:bottom w:w="100" w:type="dxa"/>
              <w:left w:w="140" w:type="dxa"/>
              <w:right w:w="140" w:type="dxa"/>
            </w:tcMar>
          </w:tcPr>
          <w:p>
            <w:pPr>
              <w:spacing w:after="0" w:line="276" w:lineRule="auto"/>
            </w:pPr>
            <w:r>
              <w:rPr>
                <w:rFonts w:ascii="Calibri" w:hAnsi="Calibri"/>
                <w:color w:val="334155"/>
                <w:sz w:val="19"/>
              </w:rPr>
              <w:t>Relational storage with Row-Level Security (RLS) policies for complete isolation.</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AI Gateway</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OpenRouter API</w:t>
            </w:r>
          </w:p>
        </w:tc>
        <w:tc>
          <w:tcPr>
            <w:tcW w:type="dxa" w:w="4608"/>
            <w:shd w:fill="FFFFFF"/>
            <w:tcMar>
              <w:top w:w="100" w:type="dxa"/>
              <w:bottom w:w="100" w:type="dxa"/>
              <w:left w:w="140" w:type="dxa"/>
              <w:right w:w="140" w:type="dxa"/>
            </w:tcMar>
          </w:tcPr>
          <w:p>
            <w:pPr>
              <w:spacing w:after="0" w:line="276" w:lineRule="auto"/>
            </w:pPr>
            <w:r>
              <w:rPr>
                <w:rFonts w:ascii="Calibri" w:hAnsi="Calibri"/>
                <w:color w:val="334155"/>
                <w:sz w:val="19"/>
              </w:rPr>
              <w:t>Unified multi-model API routing to GPT-4o, Gemini 2.5 Flash, Claude 3.7, Sonar Pro, and DeepSeek.</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DOM Parsing &amp; Scraping</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Cheerio &amp; Native Fetch</w:t>
            </w:r>
          </w:p>
        </w:tc>
        <w:tc>
          <w:tcPr>
            <w:tcW w:type="dxa" w:w="4608"/>
            <w:shd w:fill="F8FAFC"/>
            <w:tcMar>
              <w:top w:w="100" w:type="dxa"/>
              <w:bottom w:w="100" w:type="dxa"/>
              <w:left w:w="140" w:type="dxa"/>
              <w:right w:w="140" w:type="dxa"/>
            </w:tcMar>
          </w:tcPr>
          <w:p>
            <w:pPr>
              <w:spacing w:after="0" w:line="276" w:lineRule="auto"/>
            </w:pPr>
            <w:r>
              <w:rPr>
                <w:rFonts w:ascii="Calibri" w:hAnsi="Calibri"/>
                <w:color w:val="334155"/>
                <w:sz w:val="19"/>
              </w:rPr>
              <w:t>Headless HTML parsing, metadata extraction, JSON-LD detection, and logo discovery.</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Feedback &amp; Notifications</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Sonner Toast Library</w:t>
            </w:r>
          </w:p>
        </w:tc>
        <w:tc>
          <w:tcPr>
            <w:tcW w:type="dxa" w:w="4608"/>
            <w:shd w:fill="FFFFFF"/>
            <w:tcMar>
              <w:top w:w="100" w:type="dxa"/>
              <w:bottom w:w="100" w:type="dxa"/>
              <w:left w:w="140" w:type="dxa"/>
              <w:right w:w="140" w:type="dxa"/>
            </w:tcMar>
          </w:tcPr>
          <w:p>
            <w:pPr>
              <w:spacing w:after="0" w:line="276" w:lineRule="auto"/>
            </w:pPr>
            <w:r>
              <w:rPr>
                <w:rFonts w:ascii="Calibri" w:hAnsi="Calibri"/>
                <w:color w:val="334155"/>
                <w:sz w:val="19"/>
              </w:rPr>
              <w:t>Real-time non-blocking interactive notification feedback.</w:t>
            </w:r>
          </w:p>
        </w:tc>
      </w:tr>
    </w:tbl>
    <w:p>
      <w:pPr>
        <w:spacing w:after="120"/>
      </w:pPr>
    </w:p>
    <w:p>
      <w:pPr>
        <w:pStyle w:val="Heading2"/>
        <w:keepNext/>
        <w:spacing w:before="280" w:after="120"/>
      </w:pPr>
      <w:r>
        <w:rPr>
          <w:b/>
          <w:color w:val="B87333"/>
          <w:sz w:val="30"/>
        </w:rPr>
        <w:t>End-to-End Analysis Workflow &amp; Data Pipeline</w:t>
      </w:r>
    </w:p>
    <w:p>
      <w:pPr>
        <w:spacing w:after="120" w:line="276" w:lineRule="auto"/>
      </w:pPr>
      <w:r>
        <w:rPr>
          <w:rFonts w:ascii="Calibri" w:hAnsi="Calibri"/>
          <w:b w:val="0"/>
          <w:i w:val="0"/>
          <w:color w:val="334155"/>
          <w:sz w:val="21"/>
        </w:rPr>
        <w:t>When an audit is initiated from the Dashboard or Homepage, the system executes an automated 4-stage pipeline:</w:t>
      </w:r>
    </w:p>
    <w:p>
      <w:pPr>
        <w:pStyle w:val="ListBullet"/>
        <w:spacing w:after="80" w:line="276" w:lineRule="auto"/>
      </w:pPr>
      <w:r>
        <w:rPr>
          <w:rFonts w:ascii="Calibri" w:hAnsi="Calibri"/>
          <w:b/>
          <w:color w:val="1E293B"/>
          <w:sz w:val="21"/>
        </w:rPr>
        <w:t xml:space="preserve">Stage 1 - Live Grounding &amp; Domain Profiling (`analyzePageGeo`): </w:t>
      </w:r>
      <w:r>
        <w:rPr>
          <w:rFonts w:ascii="Calibri" w:hAnsi="Calibri"/>
          <w:color w:val="334155"/>
          <w:sz w:val="21"/>
        </w:rPr>
        <w:t>The engine performs HTTP scraping of the target domain's HTML and issues a live web-search grounded query via OpenRouter (Perplexity Sonar Pro / GPT-4o / Gemini 2.5). It extracts the official brand name, executive summary, 5 direct commercial competitors, and 15 realistic unbranded buyer-intent queries.</w:t>
      </w:r>
    </w:p>
    <w:p>
      <w:pPr>
        <w:pStyle w:val="ListBullet"/>
        <w:spacing w:after="80" w:line="276" w:lineRule="auto"/>
      </w:pPr>
      <w:r>
        <w:rPr>
          <w:rFonts w:ascii="Calibri" w:hAnsi="Calibri"/>
          <w:b/>
          <w:color w:val="1E293B"/>
          <w:sz w:val="21"/>
        </w:rPr>
        <w:t xml:space="preserve">Stage 2 - Multi-Model AI Consensus Simulation (`runMultiModelScan`): </w:t>
      </w:r>
      <w:r>
        <w:rPr>
          <w:rFonts w:ascii="Calibri" w:hAnsi="Calibri"/>
          <w:color w:val="334155"/>
          <w:sz w:val="21"/>
        </w:rPr>
        <w:t>The system dispatches the generated search prompts across 4 flagship LLMs (ChatGPT GPT-4o, Google Gemini 2.5, Claude Sonnet 4, DeepSeek V3) in parallel batches of 5 prompts to maintain low serverless execution times.</w:t>
      </w:r>
    </w:p>
    <w:p>
      <w:pPr>
        <w:pStyle w:val="ListBullet"/>
        <w:spacing w:after="80" w:line="276" w:lineRule="auto"/>
      </w:pPr>
      <w:r>
        <w:rPr>
          <w:rFonts w:ascii="Calibri" w:hAnsi="Calibri"/>
          <w:b/>
          <w:color w:val="1E293B"/>
          <w:sz w:val="21"/>
        </w:rPr>
        <w:t xml:space="preserve">Stage 3 - Response Parsing, Sentiment &amp; Citation Attribution: </w:t>
      </w:r>
      <w:r>
        <w:rPr>
          <w:rFonts w:ascii="Calibri" w:hAnsi="Calibri"/>
          <w:color w:val="334155"/>
          <w:sz w:val="21"/>
        </w:rPr>
        <w:t>For every AI model response, the engine executes string-boundary matchers for brand and domain mentions, determines rank position (Top recommended vs secondary choice), evaluates response sentiment via polarity dictionaries, and extracts all referenced web URLs.</w:t>
      </w:r>
    </w:p>
    <w:p>
      <w:pPr>
        <w:pStyle w:val="ListBullet"/>
        <w:spacing w:after="80" w:line="276" w:lineRule="auto"/>
      </w:pPr>
      <w:r>
        <w:rPr>
          <w:rFonts w:ascii="Calibri" w:hAnsi="Calibri"/>
          <w:b/>
          <w:color w:val="1E293B"/>
          <w:sz w:val="21"/>
        </w:rPr>
        <w:t xml:space="preserve">Stage 4 - Gap Detection, Scoring &amp; Persistence: </w:t>
      </w:r>
      <w:r>
        <w:rPr>
          <w:rFonts w:ascii="Calibri" w:hAnsi="Calibri"/>
          <w:color w:val="334155"/>
          <w:sz w:val="21"/>
        </w:rPr>
        <w:t>The Gap Detector compares competitor coverage against target brand mentions, calculates opportunity scores, generates actionable 1,800-word content briefs, and saves all metrics to Supabase under authenticated user projects.</w:t>
      </w:r>
    </w:p>
    <w:p>
      <w:pPr>
        <w:pStyle w:val="Heading1"/>
        <w:keepNext/>
        <w:spacing w:before="280" w:after="120"/>
      </w:pPr>
      <w:r>
        <w:rPr>
          <w:b/>
          <w:color w:val="0F172A"/>
          <w:sz w:val="40"/>
        </w:rPr>
        <w:t>3. Core Platform Features &amp; Dashboard Modules</w:t>
      </w:r>
    </w:p>
    <w:p>
      <w:pPr>
        <w:spacing w:after="120" w:line="276" w:lineRule="auto"/>
      </w:pPr>
      <w:r>
        <w:rPr>
          <w:rFonts w:ascii="Calibri" w:hAnsi="Calibri"/>
          <w:b w:val="0"/>
          <w:i w:val="0"/>
          <w:color w:val="334155"/>
          <w:sz w:val="21"/>
        </w:rPr>
        <w:t>The Dashboard (`/dashboard`) serves as the command center for AI search visibility intelligence. It integrates 6 core operational tabs backed by real-time analytics engines.</w:t>
      </w:r>
    </w:p>
    <w:p>
      <w:pPr>
        <w:pStyle w:val="Heading2"/>
        <w:keepNext/>
        <w:spacing w:before="280" w:after="120"/>
      </w:pPr>
      <w:r>
        <w:rPr>
          <w:b/>
          <w:color w:val="B87333"/>
          <w:sz w:val="30"/>
        </w:rPr>
        <w:t>3.1 AEO/GEO Scoring Framework &amp; Mathematical Formulas</w:t>
      </w:r>
    </w:p>
    <w:p>
      <w:pPr>
        <w:spacing w:after="120" w:line="276" w:lineRule="auto"/>
      </w:pPr>
      <w:r>
        <w:rPr>
          <w:rFonts w:ascii="Calibri" w:hAnsi="Calibri"/>
          <w:b w:val="0"/>
          <w:i w:val="0"/>
          <w:color w:val="334155"/>
          <w:sz w:val="21"/>
        </w:rPr>
        <w:t>The platform utilizes a weighted composite scoring formula to quantify a domain's answer engine readiness: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284C7"/>
              <w:top w:val="none"/>
              <w:right w:val="none"/>
              <w:bottom w:val="none"/>
            </w:tcBorders>
          </w:tcPr>
          <w:p>
            <w:pPr>
              <w:spacing w:after="60"/>
            </w:pPr>
            <w:r>
              <w:rPr>
                <w:rFonts w:ascii="Calibri" w:hAnsi="Calibri"/>
                <w:b/>
                <w:color w:val="0F172A"/>
                <w:sz w:val="22"/>
              </w:rPr>
              <w:t>📌 Mathematical Score Weighting Formula</w:t>
              <w:br/>
            </w:r>
            <w:r>
              <w:rPr>
                <w:rFonts w:ascii="Calibri" w:hAnsi="Calibri"/>
                <w:color w:val="334155"/>
                <w:sz w:val="20"/>
              </w:rPr>
              <w:t>Overall GEO Score = (ShareOfVoice × 0.40) + (SchemaScore × 0.25) + (EntityScore × 0.20) + (ReadabilityScore × 0.15)</w:t>
              <w:br/>
              <w:br/>
              <w:t>• AI Share of Voice (40% Weight): Measures percentage of tested unbranded buyer queries where the brand is organically cited.</w:t>
              <w:br/>
              <w:t>• Schema Markup Score (25% Weight): Evaluates implementation of Organization, WebSite, FAQPage, and Product JSON-LD.</w:t>
              <w:br/>
              <w:t>• Entity Knowledge Density (20% Weight): Measures core industry semantic entity keywords in page copy and headings.</w:t>
              <w:br/>
              <w:t>• Content Readability &amp; Structure (15% Weight): Assesses single H1 heading integrity and question-based H2/H3 hierarchy.</w:t>
            </w:r>
          </w:p>
        </w:tc>
      </w:tr>
    </w:tbl>
    <w:p>
      <w:pPr>
        <w:spacing w:after="120"/>
      </w:pPr>
    </w:p>
    <w:p>
      <w:pPr>
        <w:pStyle w:val="Heading2"/>
        <w:keepNext/>
        <w:spacing w:before="280" w:after="120"/>
      </w:pPr>
      <w:r>
        <w:rPr>
          <w:b/>
          <w:color w:val="B87333"/>
          <w:sz w:val="30"/>
        </w:rPr>
        <w:t>3.2 Multi-Model Search Engine Heatmap Studio (`MultiModelHeatmap`)</w:t>
      </w:r>
    </w:p>
    <w:p>
      <w:pPr>
        <w:spacing w:after="120" w:line="276" w:lineRule="auto"/>
      </w:pPr>
      <w:r>
        <w:rPr>
          <w:rFonts w:ascii="Calibri" w:hAnsi="Calibri"/>
          <w:b w:val="0"/>
          <w:i w:val="0"/>
          <w:color w:val="334155"/>
          <w:sz w:val="21"/>
        </w:rPr>
        <w:t>The Heatmap Studio visualizes brand presence across all 4 major AI search models simultaneously in an intuitive matrix:</w:t>
      </w:r>
    </w:p>
    <w:p>
      <w:pPr>
        <w:pStyle w:val="ListBullet"/>
        <w:spacing w:after="80" w:line="276" w:lineRule="auto"/>
      </w:pPr>
      <w:r>
        <w:rPr>
          <w:rFonts w:ascii="Calibri" w:hAnsi="Calibri"/>
          <w:b/>
          <w:color w:val="1E293B"/>
          <w:sz w:val="21"/>
        </w:rPr>
        <w:t xml:space="preserve">Status Badges: </w:t>
      </w:r>
      <w:r>
        <w:rPr>
          <w:rFonts w:ascii="Calibri" w:hAnsi="Calibri"/>
          <w:color w:val="334155"/>
          <w:sz w:val="21"/>
        </w:rPr>
        <w:t>Displays Cited (Green), Unranked (Red/Slate), and Sentiment (Positive / Neutral / Negative) for every prompt-model pair.</w:t>
      </w:r>
    </w:p>
    <w:p>
      <w:pPr>
        <w:pStyle w:val="ListBullet"/>
        <w:spacing w:after="80" w:line="276" w:lineRule="auto"/>
      </w:pPr>
      <w:r>
        <w:rPr>
          <w:rFonts w:ascii="Calibri" w:hAnsi="Calibri"/>
          <w:b/>
          <w:color w:val="1E293B"/>
          <w:sz w:val="21"/>
        </w:rPr>
        <w:t xml:space="preserve">Collapsible Prompt Drawers: </w:t>
      </w:r>
      <w:r>
        <w:rPr>
          <w:rFonts w:ascii="Calibri" w:hAnsi="Calibri"/>
          <w:color w:val="334155"/>
          <w:sz w:val="21"/>
        </w:rPr>
        <w:t>Users can expand any row to inspect the exact verbatim AI response text generated by ChatGPT, Gemini, Claude, or DeepSeek.</w:t>
      </w:r>
    </w:p>
    <w:p>
      <w:pPr>
        <w:pStyle w:val="ListBullet"/>
        <w:spacing w:after="80" w:line="276" w:lineRule="auto"/>
      </w:pPr>
      <w:r>
        <w:rPr>
          <w:rFonts w:ascii="Calibri" w:hAnsi="Calibri"/>
          <w:b/>
          <w:color w:val="1E293B"/>
          <w:sz w:val="21"/>
        </w:rPr>
        <w:t xml:space="preserve">Live Extracted Citations: </w:t>
      </w:r>
      <w:r>
        <w:rPr>
          <w:rFonts w:ascii="Calibri" w:hAnsi="Calibri"/>
          <w:color w:val="334155"/>
          <w:sz w:val="21"/>
        </w:rPr>
        <w:t>Shows the exact reference URLs that the AI model cited when constructing its final answer.</w:t>
      </w:r>
    </w:p>
    <w:p>
      <w:pPr>
        <w:pStyle w:val="ListBullet"/>
        <w:spacing w:after="80" w:line="276" w:lineRule="auto"/>
      </w:pPr>
      <w:r>
        <w:rPr>
          <w:rFonts w:ascii="Calibri" w:hAnsi="Calibri"/>
          <w:b/>
          <w:color w:val="1E293B"/>
          <w:sz w:val="21"/>
        </w:rPr>
        <w:t xml:space="preserve">Filterable Categories: </w:t>
      </w:r>
      <w:r>
        <w:rPr>
          <w:rFonts w:ascii="Calibri" w:hAnsi="Calibri"/>
          <w:color w:val="334155"/>
          <w:sz w:val="21"/>
        </w:rPr>
        <w:t>Allows filtering prompts by Competitor, Discovery, Comparison, and How-To search intents.</w:t>
      </w:r>
    </w:p>
    <w:p>
      <w:pPr>
        <w:pStyle w:val="Heading2"/>
        <w:keepNext/>
        <w:spacing w:before="280" w:after="120"/>
      </w:pPr>
      <w:r>
        <w:rPr>
          <w:b/>
          <w:color w:val="B87333"/>
          <w:sz w:val="30"/>
        </w:rPr>
        <w:t>3.3 Technical Site Crawler &amp; Schema Inspector (`SiteCrawlerView`)</w:t>
      </w:r>
    </w:p>
    <w:p>
      <w:pPr>
        <w:spacing w:after="120" w:line="276" w:lineRule="auto"/>
      </w:pPr>
      <w:r>
        <w:rPr>
          <w:rFonts w:ascii="Calibri" w:hAnsi="Calibri"/>
          <w:b w:val="0"/>
          <w:i w:val="0"/>
          <w:color w:val="334155"/>
          <w:sz w:val="21"/>
        </w:rPr>
        <w:t>Deep technical crawler verifying machine-readable structured data. It validates title tag lengths, meta descriptions, H1 and H2 tags, and checks for Schema.org JSON-LD scripts (Organization, FAQPage, SoftwareApplication, Product, and Course).</w:t>
      </w:r>
    </w:p>
    <w:p>
      <w:pPr>
        <w:pStyle w:val="Heading2"/>
        <w:keepNext/>
        <w:spacing w:before="280" w:after="120"/>
      </w:pPr>
      <w:r>
        <w:rPr>
          <w:b/>
          <w:color w:val="B87333"/>
          <w:sz w:val="30"/>
        </w:rPr>
        <w:t>3.4 Competitor Discovery &amp; Management Module</w:t>
      </w:r>
    </w:p>
    <w:p>
      <w:pPr>
        <w:spacing w:after="120" w:line="276" w:lineRule="auto"/>
      </w:pPr>
      <w:r>
        <w:rPr>
          <w:rFonts w:ascii="Calibri" w:hAnsi="Calibri"/>
          <w:b w:val="0"/>
          <w:i w:val="0"/>
          <w:color w:val="334155"/>
          <w:sz w:val="21"/>
        </w:rPr>
        <w:t>Automatically identifies the top 5 direct market competitors that buyers cross-shop. Includes an interactive chip bar allowing users to add custom competitor domains (e.g. `adidas.com`, `jasper.ai`), delete competitors, and trigger live re-benchmarks.</w:t>
      </w:r>
    </w:p>
    <w:p>
      <w:pPr>
        <w:pStyle w:val="Heading2"/>
        <w:keepNext/>
        <w:spacing w:before="280" w:after="120"/>
      </w:pPr>
      <w:r>
        <w:rPr>
          <w:b/>
          <w:color w:val="B87333"/>
          <w:sz w:val="30"/>
        </w:rPr>
        <w:t>3.5 GEO Gap Detector &amp; Content Brief Generator (`GapAnalysisTable`)</w:t>
      </w:r>
    </w:p>
    <w:p>
      <w:pPr>
        <w:spacing w:after="120" w:line="276" w:lineRule="auto"/>
      </w:pPr>
      <w:r>
        <w:rPr>
          <w:rFonts w:ascii="Calibri" w:hAnsi="Calibri"/>
          <w:b w:val="0"/>
          <w:i w:val="0"/>
          <w:color w:val="334155"/>
          <w:sz w:val="21"/>
        </w:rPr>
        <w:t>Detects high-intent queries where competitors are actively cited while the user's domain is omitted. For each gap, the engine generates a comprehensive content brief including:</w:t>
      </w:r>
    </w:p>
    <w:p>
      <w:pPr>
        <w:pStyle w:val="ListBullet"/>
        <w:spacing w:after="80" w:line="276" w:lineRule="auto"/>
      </w:pPr>
      <w:r>
        <w:rPr>
          <w:rFonts w:ascii="Calibri" w:hAnsi="Calibri"/>
          <w:b/>
          <w:color w:val="1E293B"/>
          <w:sz w:val="21"/>
        </w:rPr>
        <w:t xml:space="preserve">Optimized Brief Title: </w:t>
      </w:r>
      <w:r>
        <w:rPr>
          <w:rFonts w:ascii="Calibri" w:hAnsi="Calibri"/>
          <w:color w:val="334155"/>
          <w:sz w:val="21"/>
        </w:rPr>
        <w:t>High-CTR generative search target title.</w:t>
      </w:r>
    </w:p>
    <w:p>
      <w:pPr>
        <w:pStyle w:val="ListBullet"/>
        <w:spacing w:after="80" w:line="276" w:lineRule="auto"/>
      </w:pPr>
      <w:r>
        <w:rPr>
          <w:rFonts w:ascii="Calibri" w:hAnsi="Calibri"/>
          <w:b/>
          <w:color w:val="1E293B"/>
          <w:sz w:val="21"/>
        </w:rPr>
        <w:t xml:space="preserve">Primary &amp; Secondary Keywords: </w:t>
      </w:r>
      <w:r>
        <w:rPr>
          <w:rFonts w:ascii="Calibri" w:hAnsi="Calibri"/>
          <w:color w:val="334155"/>
          <w:sz w:val="21"/>
        </w:rPr>
        <w:t>Target entity keywords required for LLM semantic alignment.</w:t>
      </w:r>
    </w:p>
    <w:p>
      <w:pPr>
        <w:pStyle w:val="ListBullet"/>
        <w:spacing w:after="80" w:line="276" w:lineRule="auto"/>
      </w:pPr>
      <w:r>
        <w:rPr>
          <w:rFonts w:ascii="Calibri" w:hAnsi="Calibri"/>
          <w:b/>
          <w:color w:val="1E293B"/>
          <w:sz w:val="21"/>
        </w:rPr>
        <w:t xml:space="preserve">Suggested Headings: </w:t>
      </w:r>
      <w:r>
        <w:rPr>
          <w:rFonts w:ascii="Calibri" w:hAnsi="Calibri"/>
          <w:color w:val="334155"/>
          <w:sz w:val="21"/>
        </w:rPr>
        <w:t>5-part H2 structure designed to capture AI direct answer snippets.</w:t>
      </w:r>
    </w:p>
    <w:p>
      <w:pPr>
        <w:pStyle w:val="ListBullet"/>
        <w:spacing w:after="80" w:line="276" w:lineRule="auto"/>
      </w:pPr>
      <w:r>
        <w:rPr>
          <w:rFonts w:ascii="Calibri" w:hAnsi="Calibri"/>
          <w:b/>
          <w:color w:val="1E293B"/>
          <w:sz w:val="21"/>
        </w:rPr>
        <w:t xml:space="preserve">Direct Answer Summary: </w:t>
      </w:r>
      <w:r>
        <w:rPr>
          <w:rFonts w:ascii="Calibri" w:hAnsi="Calibri"/>
          <w:color w:val="334155"/>
          <w:sz w:val="21"/>
        </w:rPr>
        <w:t>40-60 word concise summary box engineered for citation by ChatGPT and Perplexity.</w:t>
      </w:r>
    </w:p>
    <w:p>
      <w:pPr>
        <w:pStyle w:val="ListBullet"/>
        <w:spacing w:after="80" w:line="276" w:lineRule="auto"/>
      </w:pPr>
      <w:r>
        <w:rPr>
          <w:rFonts w:ascii="Calibri" w:hAnsi="Calibri"/>
          <w:b/>
          <w:color w:val="1E293B"/>
          <w:sz w:val="21"/>
        </w:rPr>
        <w:t xml:space="preserve">Pre-Formulated FAQ Schema: </w:t>
      </w:r>
      <w:r>
        <w:rPr>
          <w:rFonts w:ascii="Calibri" w:hAnsi="Calibri"/>
          <w:color w:val="334155"/>
          <w:sz w:val="21"/>
        </w:rPr>
        <w:t>Question &amp; answer pairs ready for JSON-LD script deployment.</w:t>
      </w:r>
    </w:p>
    <w:p>
      <w:pPr>
        <w:pStyle w:val="Heading2"/>
        <w:keepNext/>
        <w:spacing w:before="280" w:after="120"/>
      </w:pPr>
      <w:r>
        <w:rPr>
          <w:b/>
          <w:color w:val="B87333"/>
          <w:sz w:val="30"/>
        </w:rPr>
        <w:t>3.6 Multi-Model Citation Map (`CitationList`)</w:t>
      </w:r>
    </w:p>
    <w:p>
      <w:pPr>
        <w:spacing w:after="120" w:line="276" w:lineRule="auto"/>
      </w:pPr>
      <w:r>
        <w:rPr>
          <w:rFonts w:ascii="Calibri" w:hAnsi="Calibri"/>
          <w:b w:val="0"/>
          <w:i w:val="0"/>
          <w:color w:val="334155"/>
          <w:sz w:val="21"/>
        </w:rPr>
        <w:t>Tracks all external domain authorities referenced by AI search engines during query execution. Identifies high-leverage digital PR and co-citation opportunities (e.g. G2, Capterra, Reddit, TechCrunch, Wikipedia).</w:t>
      </w:r>
    </w:p>
    <w:p>
      <w:pPr>
        <w:pStyle w:val="Heading2"/>
        <w:keepNext/>
        <w:spacing w:before="280" w:after="120"/>
      </w:pPr>
      <w:r>
        <w:rPr>
          <w:b/>
          <w:color w:val="B87333"/>
          <w:sz w:val="30"/>
        </w:rPr>
        <w:t>3.7 Executive PDF &amp; Print Export Engine (`ReportDownloadButton`)</w:t>
      </w:r>
    </w:p>
    <w:p>
      <w:pPr>
        <w:spacing w:after="120" w:line="276" w:lineRule="auto"/>
      </w:pPr>
      <w:r>
        <w:rPr>
          <w:rFonts w:ascii="Calibri" w:hAnsi="Calibri"/>
          <w:b w:val="0"/>
          <w:i w:val="0"/>
          <w:color w:val="334155"/>
          <w:sz w:val="21"/>
        </w:rPr>
        <w:t>Provides a 1-click executive reporting suite. It formats all scores, recommendations, heatmaps, crawler outputs, and gap briefs into a professional white-labeled print layout ready for C-suite presentations and client deliverables.</w:t>
      </w:r>
    </w:p>
    <w:p>
      <w:pPr>
        <w:pStyle w:val="Heading1"/>
        <w:keepNext/>
        <w:spacing w:before="280" w:after="120"/>
      </w:pPr>
      <w:r>
        <w:rPr>
          <w:b/>
          <w:color w:val="0F172A"/>
          <w:sz w:val="40"/>
        </w:rPr>
        <w:t>4. The 12 Micro-Tools: In-Depth Blueprints</w:t>
      </w:r>
    </w:p>
    <w:p>
      <w:pPr>
        <w:spacing w:after="120" w:line="276" w:lineRule="auto"/>
      </w:pPr>
      <w:r>
        <w:rPr>
          <w:rFonts w:ascii="Calibri" w:hAnsi="Calibri"/>
          <w:b w:val="0"/>
          <w:i w:val="0"/>
          <w:color w:val="334155"/>
          <w:sz w:val="21"/>
        </w:rPr>
        <w:t>In addition to the central dashboard, the platform provides 12 specialized, standalone micro-tools (`/tools/*`) targeting specific aspects of technical AEO, brand intelligence, and generative search optimization.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0F172A"/>
            <w:tcMar>
              <w:top w:w="120" w:type="dxa"/>
              <w:bottom w:w="120" w:type="dxa"/>
              <w:left w:w="140" w:type="dxa"/>
              <w:right w:w="140" w:type="dxa"/>
            </w:tcMar>
          </w:tcPr>
          <w:p>
            <w:pPr>
              <w:spacing w:after="0"/>
              <w:jc w:val="left"/>
            </w:pPr>
            <w:r>
              <w:rPr>
                <w:rFonts w:ascii="Calibri" w:hAnsi="Calibri"/>
                <w:b/>
                <w:color w:val="FFFFFF"/>
                <w:sz w:val="20"/>
              </w:rPr>
              <w:t>#</w:t>
            </w:r>
          </w:p>
        </w:tc>
        <w:tc>
          <w:tcPr>
            <w:tcW w:type="dxa" w:w="3168"/>
            <w:shd w:fill="0F172A"/>
            <w:tcMar>
              <w:top w:w="120" w:type="dxa"/>
              <w:bottom w:w="120" w:type="dxa"/>
              <w:left w:w="140" w:type="dxa"/>
              <w:right w:w="140" w:type="dxa"/>
            </w:tcMar>
          </w:tcPr>
          <w:p>
            <w:pPr>
              <w:spacing w:after="0"/>
              <w:jc w:val="left"/>
            </w:pPr>
            <w:r>
              <w:rPr>
                <w:rFonts w:ascii="Calibri" w:hAnsi="Calibri"/>
                <w:b/>
                <w:color w:val="FFFFFF"/>
                <w:sz w:val="20"/>
              </w:rPr>
              <w:t>Tool Name</w:t>
            </w:r>
          </w:p>
        </w:tc>
        <w:tc>
          <w:tcPr>
            <w:tcW w:type="dxa" w:w="2592"/>
            <w:shd w:fill="0F172A"/>
            <w:tcMar>
              <w:top w:w="120" w:type="dxa"/>
              <w:bottom w:w="120" w:type="dxa"/>
              <w:left w:w="140" w:type="dxa"/>
              <w:right w:w="140" w:type="dxa"/>
            </w:tcMar>
          </w:tcPr>
          <w:p>
            <w:pPr>
              <w:spacing w:after="0"/>
              <w:jc w:val="left"/>
            </w:pPr>
            <w:r>
              <w:rPr>
                <w:rFonts w:ascii="Calibri" w:hAnsi="Calibri"/>
                <w:b/>
                <w:color w:val="FFFFFF"/>
                <w:sz w:val="20"/>
              </w:rPr>
              <w:t>Category</w:t>
            </w:r>
          </w:p>
        </w:tc>
        <w:tc>
          <w:tcPr>
            <w:tcW w:type="dxa" w:w="2736"/>
            <w:shd w:fill="0F172A"/>
            <w:tcMar>
              <w:top w:w="120" w:type="dxa"/>
              <w:bottom w:w="120" w:type="dxa"/>
              <w:left w:w="140" w:type="dxa"/>
              <w:right w:w="140" w:type="dxa"/>
            </w:tcMar>
          </w:tcPr>
          <w:p>
            <w:pPr>
              <w:spacing w:after="0"/>
              <w:jc w:val="left"/>
            </w:pPr>
            <w:r>
              <w:rPr>
                <w:rFonts w:ascii="Calibri" w:hAnsi="Calibri"/>
                <w:b/>
                <w:color w:val="FFFFFF"/>
                <w:sz w:val="20"/>
              </w:rPr>
              <w:t>Route / Endpoint</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01</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Brand &amp; Competitor Matrix</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Brand Intelligence</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/tools/brand-auditor (/api/tools/brand-audit)</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02</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AI Revenue ROI Estimator</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Revenue Estimation</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/tools/roi-calculator (Client Engine)</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03</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llms.txt Precision Architect</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LLM Standards</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/tools/llms-generator (/api/tools/llms-txt)</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04</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AI Bot Access Guardian</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Crawler Compliance</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/tools/robots-inspector (/api/tools/robots-txt)</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05</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Conversational Meta Synthesizer</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Snippet Optimization</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/tools/meta-optimizer (/api/tools/meta-opt)</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06</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Clean Markdown Extractor</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Context Window Opt</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/tools/markdown-converter (Client Engine)</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07</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Citation FAQ &amp; Schema Studio</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Structured Data</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/tools/faq-generator (/api/tools/faq-schema)</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08</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Prompt Fan-Out Simulator</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Intent Decomposition</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/tools/query-fanout (/api/tools/query-fanout)</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09</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E-E-A-T &amp; Trust Index</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Authority Auditing</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/tools/eeat-analyzer (/api/tools/eeat-analyze)</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10</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Buyer Intent Prompt Discovery</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Prompt Intelligence</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/tools/prompt-research (/api/tools/prompt-research)</w:t>
            </w:r>
          </w:p>
        </w:tc>
      </w:tr>
      <w:tr>
        <w:tc>
          <w:tcPr>
            <w:tcW w:type="dxa" w:w="864"/>
            <w:shd w:fill="FFFFFF"/>
            <w:tcMar>
              <w:top w:w="100" w:type="dxa"/>
              <w:bottom w:w="100" w:type="dxa"/>
              <w:left w:w="140" w:type="dxa"/>
              <w:right w:w="140" w:type="dxa"/>
            </w:tcMar>
          </w:tcPr>
          <w:p>
            <w:pPr>
              <w:spacing w:after="0" w:line="276" w:lineRule="auto"/>
            </w:pPr>
            <w:r>
              <w:rPr>
                <w:rFonts w:ascii="Calibri" w:hAnsi="Calibri"/>
                <w:b/>
                <w:color w:val="1E293B"/>
                <w:sz w:val="19"/>
              </w:rPr>
              <w:t>11</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Citation Share-of-Voice Radar</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Competitive Radar</w:t>
            </w:r>
          </w:p>
        </w:tc>
        <w:tc>
          <w:tcPr>
            <w:tcW w:type="dxa" w:w="2736"/>
            <w:shd w:fill="FFFFFF"/>
            <w:tcMar>
              <w:top w:w="100" w:type="dxa"/>
              <w:bottom w:w="100" w:type="dxa"/>
              <w:left w:w="140" w:type="dxa"/>
              <w:right w:w="140" w:type="dxa"/>
            </w:tcMar>
          </w:tcPr>
          <w:p>
            <w:pPr>
              <w:spacing w:after="0" w:line="276" w:lineRule="auto"/>
            </w:pPr>
            <w:r>
              <w:rPr>
                <w:rFonts w:ascii="Calibri" w:hAnsi="Calibri"/>
                <w:color w:val="334155"/>
                <w:sz w:val="19"/>
              </w:rPr>
              <w:t>/tools/citation-sov (/api/tools/citation-sov)</w:t>
            </w:r>
          </w:p>
        </w:tc>
      </w:tr>
      <w:tr>
        <w:tc>
          <w:tcPr>
            <w:tcW w:type="dxa" w:w="864"/>
            <w:shd w:fill="F8FAFC"/>
            <w:tcMar>
              <w:top w:w="100" w:type="dxa"/>
              <w:bottom w:w="100" w:type="dxa"/>
              <w:left w:w="140" w:type="dxa"/>
              <w:right w:w="140" w:type="dxa"/>
            </w:tcMar>
          </w:tcPr>
          <w:p>
            <w:pPr>
              <w:spacing w:after="0" w:line="276" w:lineRule="auto"/>
            </w:pPr>
            <w:r>
              <w:rPr>
                <w:rFonts w:ascii="Calibri" w:hAnsi="Calibri"/>
                <w:b/>
                <w:color w:val="1E293B"/>
                <w:sz w:val="19"/>
              </w:rPr>
              <w:t>12</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Commerce Protocol Inspector</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Agentic Checkout</w:t>
            </w:r>
          </w:p>
        </w:tc>
        <w:tc>
          <w:tcPr>
            <w:tcW w:type="dxa" w:w="2736"/>
            <w:shd w:fill="F8FAFC"/>
            <w:tcMar>
              <w:top w:w="100" w:type="dxa"/>
              <w:bottom w:w="100" w:type="dxa"/>
              <w:left w:w="140" w:type="dxa"/>
              <w:right w:w="140" w:type="dxa"/>
            </w:tcMar>
          </w:tcPr>
          <w:p>
            <w:pPr>
              <w:spacing w:after="0" w:line="276" w:lineRule="auto"/>
            </w:pPr>
            <w:r>
              <w:rPr>
                <w:rFonts w:ascii="Calibri" w:hAnsi="Calibri"/>
                <w:color w:val="334155"/>
                <w:sz w:val="19"/>
              </w:rPr>
              <w:t>/tools/commerce-checker (/api/tools/commerce-checker)</w:t>
            </w:r>
          </w:p>
        </w:tc>
      </w:tr>
    </w:tbl>
    <w:p>
      <w:pPr>
        <w:spacing w:after="120"/>
      </w:pPr>
    </w:p>
    <w:p>
      <w:pPr>
        <w:pStyle w:val="Heading2"/>
        <w:keepNext/>
        <w:spacing w:before="280" w:after="120"/>
      </w:pPr>
      <w:r>
        <w:rPr>
          <w:b/>
          <w:color w:val="B87333"/>
          <w:sz w:val="30"/>
        </w:rPr>
        <w:t>Tool 01: Brand &amp; Competitor Audit Matrix</w:t>
      </w:r>
    </w:p>
    <w:p>
      <w:pPr>
        <w:spacing w:after="120" w:line="276" w:lineRule="auto"/>
      </w:pPr>
      <w:r>
        <w:rPr>
          <w:rFonts w:ascii="Calibri" w:hAnsi="Calibri"/>
          <w:b/>
          <w:i w:val="0"/>
          <w:color w:val="B87333"/>
          <w:sz w:val="21"/>
        </w:rPr>
        <w:t>Route: /tools/brand-auditor | /api/tools/brand-audit</w:t>
      </w:r>
    </w:p>
    <w:p>
      <w:pPr>
        <w:spacing w:after="120" w:line="276" w:lineRule="auto"/>
      </w:pPr>
      <w:r>
        <w:rPr>
          <w:rFonts w:ascii="Calibri" w:hAnsi="Calibri"/>
          <w:b w:val="0"/>
          <w:i w:val="0"/>
          <w:color w:val="334155"/>
          <w:sz w:val="21"/>
        </w:rPr>
        <w:t>Real-time domain profiling engine that extracts high-resolution logos, favicons, executive summaries, target audience profiles, key features, and identifies top 4 competitors with threat levels.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Target domain name (e.g. stripe.com, swiggy.com, rajaranicoaching.com).</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1. Deep HTML scraping via User-Agent to extract &lt;img&gt; tags containing 'logo', OpenGraph images, and Apple touch icons.</w:t>
        <w:br/>
        <w:t>2. Google S2 Favicon API fallback.</w:t>
        <w:br/>
        <w:t>3. OpenRouter AI (Gemini 2.5 Flash) business audit prompt returning structured executive summary, audience, features, and 4 competitors.</w:t>
        <w:br/>
        <w:t>4. Domain knowledge fallback layer for zero-API failure resistance.</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Clean brand logo candidate array, executive business overview, target audience summary, 4 competitor cards with positioning and threat badges (High/Medium/Low), and AEO citation readiness score.</w:t>
      </w:r>
    </w:p>
    <w:p>
      <w:pPr>
        <w:pStyle w:val="Heading2"/>
        <w:keepNext/>
        <w:spacing w:before="280" w:after="120"/>
      </w:pPr>
      <w:r>
        <w:rPr>
          <w:b/>
          <w:color w:val="B87333"/>
          <w:sz w:val="30"/>
        </w:rPr>
        <w:t>Tool 02: AI Search Revenue ROI Estimator</w:t>
      </w:r>
    </w:p>
    <w:p>
      <w:pPr>
        <w:spacing w:after="120" w:line="276" w:lineRule="auto"/>
      </w:pPr>
      <w:r>
        <w:rPr>
          <w:rFonts w:ascii="Calibri" w:hAnsi="Calibri"/>
          <w:b/>
          <w:i w:val="0"/>
          <w:color w:val="B87333"/>
          <w:sz w:val="21"/>
        </w:rPr>
        <w:t>Route: /tools/roi-calculator</w:t>
      </w:r>
    </w:p>
    <w:p>
      <w:pPr>
        <w:spacing w:after="120" w:line="276" w:lineRule="auto"/>
      </w:pPr>
      <w:r>
        <w:rPr>
          <w:rFonts w:ascii="Calibri" w:hAnsi="Calibri"/>
          <w:b w:val="0"/>
          <w:i w:val="0"/>
          <w:color w:val="334155"/>
          <w:sz w:val="21"/>
        </w:rPr>
        <w:t>Interactive financial modeling calculator demonstrating the revenue lift and ROI multiplier resulting from dominating AI search citations across ChatGPT, Perplexity, and Gemini.</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Monthly Organic Traffic slider (1,000 - 500,000+), Average Customer LTV / Order Value ($10 - $5,000), Conversion Rate (0.2% - 10.0%), Expected AI Traffic Lift (+5% - +100%), and Subscription Tier selection.</w:t>
      </w:r>
    </w:p>
    <w:p>
      <w:pPr>
        <w:pStyle w:val="ListBullet"/>
        <w:spacing w:after="80" w:line="276" w:lineRule="auto"/>
      </w:pPr>
      <w:r>
        <w:rPr>
          <w:rFonts w:ascii="Calibri" w:hAnsi="Calibri"/>
          <w:b/>
          <w:color w:val="1E293B"/>
          <w:sz w:val="21"/>
        </w:rPr>
        <w:t xml:space="preserve">Formulas &amp; Calculation: </w:t>
      </w:r>
      <w:r>
        <w:rPr>
          <w:rFonts w:ascii="Calibri" w:hAnsi="Calibri"/>
          <w:color w:val="334155"/>
          <w:sz w:val="21"/>
        </w:rPr>
        <w:t>• Current Monthly Revenue = Monthly Traffic × (Conversion Rate / 100) × Customer LTV</w:t>
        <w:br/>
        <w:t>• Additional AI Monthly Revenue = (Monthly Traffic × AI Lift %) × (Conversion Rate / 100) × Customer LTV</w:t>
        <w:br/>
        <w:t>• Net Annual Profit = (Additional Monthly Revenue × 12) - Annual Subscription Cost</w:t>
        <w:br/>
        <w:t>• ROI Multiplier = (Additional Annual Revenue / Annual Subscription Cost)</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Real-time updated annual revenue increase card, net profit metric, ROI multiplier badge, and strategic conversion rationale breakdown.</w:t>
      </w:r>
    </w:p>
    <w:p>
      <w:pPr>
        <w:pStyle w:val="Heading2"/>
        <w:keepNext/>
        <w:spacing w:before="280" w:after="120"/>
      </w:pPr>
      <w:r>
        <w:rPr>
          <w:b/>
          <w:color w:val="B87333"/>
          <w:sz w:val="30"/>
        </w:rPr>
        <w:t>Tool 03: `llms.txt` Precision Architect</w:t>
      </w:r>
    </w:p>
    <w:p>
      <w:pPr>
        <w:spacing w:after="120" w:line="276" w:lineRule="auto"/>
      </w:pPr>
      <w:r>
        <w:rPr>
          <w:rFonts w:ascii="Calibri" w:hAnsi="Calibri"/>
          <w:b/>
          <w:i w:val="0"/>
          <w:color w:val="B87333"/>
          <w:sz w:val="21"/>
        </w:rPr>
        <w:t>Route: /tools/llms-generator | /api/tools/llms-txt</w:t>
      </w:r>
    </w:p>
    <w:p>
      <w:pPr>
        <w:spacing w:after="120" w:line="276" w:lineRule="auto"/>
      </w:pPr>
      <w:r>
        <w:rPr>
          <w:rFonts w:ascii="Calibri" w:hAnsi="Calibri"/>
          <w:b w:val="0"/>
          <w:i w:val="0"/>
          <w:color w:val="334155"/>
          <w:sz w:val="21"/>
        </w:rPr>
        <w:t>Generates official `/llms.txt` and `/llms-full.txt` standard files that guide LLM crawler bots (GPTBot, ClaudeBot, PerplexityBot) to index core documentation, product hierarchies, and brand facts.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Domain input, optional Site Title, optional Company Summary.</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Scrapes site title and meta description, then sends prompt to Gemini 2.5 Flash instructing synthesis of official markdown standard conforming to the /llms.txt specification (Title H1, blockquote summary, core page navigation links with descriptions, and technical specifications fact sheet).</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Formatted markdown file ready for 1-click clipboard copy or direct `.txt` file download to be placed at the website root directory.</w:t>
      </w:r>
    </w:p>
    <w:p>
      <w:pPr>
        <w:pStyle w:val="Heading2"/>
        <w:keepNext/>
        <w:spacing w:before="280" w:after="120"/>
      </w:pPr>
      <w:r>
        <w:rPr>
          <w:b/>
          <w:color w:val="B87333"/>
          <w:sz w:val="30"/>
        </w:rPr>
        <w:t>Tool 04: AI Crawler &amp; Bot Access Guardian</w:t>
      </w:r>
    </w:p>
    <w:p>
      <w:pPr>
        <w:spacing w:after="120" w:line="276" w:lineRule="auto"/>
      </w:pPr>
      <w:r>
        <w:rPr>
          <w:rFonts w:ascii="Calibri" w:hAnsi="Calibri"/>
          <w:b/>
          <w:i w:val="0"/>
          <w:color w:val="B87333"/>
          <w:sz w:val="21"/>
        </w:rPr>
        <w:t>Route: /tools/robots-inspector | /api/tools/robots-txt</w:t>
      </w:r>
    </w:p>
    <w:p>
      <w:pPr>
        <w:spacing w:after="120" w:line="276" w:lineRule="auto"/>
      </w:pPr>
      <w:r>
        <w:rPr>
          <w:rFonts w:ascii="Calibri" w:hAnsi="Calibri"/>
          <w:b w:val="0"/>
          <w:i w:val="0"/>
          <w:color w:val="334155"/>
          <w:sz w:val="21"/>
        </w:rPr>
        <w:t>Inspects any domain's live `robots.txt` file to verify whether major AI crawler bots are allowed or disallowed, and generates optimized robots.txt configurations.</w:t>
      </w:r>
    </w:p>
    <w:p>
      <w:pPr>
        <w:pStyle w:val="ListBullet"/>
        <w:spacing w:after="80" w:line="276" w:lineRule="auto"/>
      </w:pPr>
      <w:r>
        <w:rPr>
          <w:rFonts w:ascii="Calibri" w:hAnsi="Calibri"/>
          <w:b/>
          <w:color w:val="1E293B"/>
          <w:sz w:val="21"/>
        </w:rPr>
        <w:t xml:space="preserve">Bots Audited: </w:t>
      </w:r>
      <w:r>
        <w:rPr>
          <w:rFonts w:ascii="Calibri" w:hAnsi="Calibri"/>
          <w:color w:val="334155"/>
          <w:sz w:val="21"/>
        </w:rPr>
        <w:t>GPTBot (OpenAI), ChatGPT-User (Browsing), ClaudeBot (Anthropic), PerplexityBot (Perplexity Search), Bytespider (ByteDance/DeepSeek), Google-Extended (Gemini Training).</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Fetches `https://domain/robots.txt`, parses User-agent blocks for `Disallow: /`, returns boolean status per bot, and provides interactive toggle switches to re-generate clean compliance rules.</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Bot status indicator table and an optimized, copyable `robots.txt` configuration block.</w:t>
      </w:r>
    </w:p>
    <w:p>
      <w:pPr>
        <w:pStyle w:val="Heading2"/>
        <w:keepNext/>
        <w:spacing w:before="280" w:after="120"/>
      </w:pPr>
      <w:r>
        <w:rPr>
          <w:b/>
          <w:color w:val="B87333"/>
          <w:sz w:val="30"/>
        </w:rPr>
        <w:t>Tool 05: Conversational Meta &amp; OpenGraph Synthesizer</w:t>
      </w:r>
    </w:p>
    <w:p>
      <w:pPr>
        <w:spacing w:after="120" w:line="276" w:lineRule="auto"/>
      </w:pPr>
      <w:r>
        <w:rPr>
          <w:rFonts w:ascii="Calibri" w:hAnsi="Calibri"/>
          <w:b/>
          <w:i w:val="0"/>
          <w:color w:val="B87333"/>
          <w:sz w:val="21"/>
        </w:rPr>
        <w:t>Route: /tools/meta-optimizer | /api/tools/meta-opt</w:t>
      </w:r>
    </w:p>
    <w:p>
      <w:pPr>
        <w:spacing w:after="120" w:line="276" w:lineRule="auto"/>
      </w:pPr>
      <w:r>
        <w:rPr>
          <w:rFonts w:ascii="Calibri" w:hAnsi="Calibri"/>
          <w:b w:val="0"/>
          <w:i w:val="0"/>
          <w:color w:val="334155"/>
          <w:sz w:val="21"/>
        </w:rPr>
        <w:t>Synthesizes AI-optimized Title Tags (55-60 chars), Meta Descriptions (150-160 chars), and OpenGraph metadata structured for LLM information extraction engines.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Domain / Topic and Primary Target Keyword.</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Issues structured prompt to LLM to formulate factual, claim-substantiated metadata that avoids clickbait and maximizes entity relevance in vector search embeddings.</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Optimized Title Tag, Conversational Meta Description, full OpenGraph `&lt;meta&gt;` HTML snippet block, and live character count gauges.</w:t>
      </w:r>
    </w:p>
    <w:p>
      <w:pPr>
        <w:pStyle w:val="Heading2"/>
        <w:keepNext/>
        <w:spacing w:before="280" w:after="120"/>
      </w:pPr>
      <w:r>
        <w:rPr>
          <w:b/>
          <w:color w:val="B87333"/>
          <w:sz w:val="30"/>
        </w:rPr>
        <w:t>Tool 06: Clean AI Context Markdown Extractor</w:t>
      </w:r>
    </w:p>
    <w:p>
      <w:pPr>
        <w:spacing w:after="120" w:line="276" w:lineRule="auto"/>
      </w:pPr>
      <w:r>
        <w:rPr>
          <w:rFonts w:ascii="Calibri" w:hAnsi="Calibri"/>
          <w:b/>
          <w:i w:val="0"/>
          <w:color w:val="B87333"/>
          <w:sz w:val="21"/>
        </w:rPr>
        <w:t>Route: /tools/markdown-converter</w:t>
      </w:r>
    </w:p>
    <w:p>
      <w:pPr>
        <w:spacing w:after="120" w:line="276" w:lineRule="auto"/>
      </w:pPr>
      <w:r>
        <w:rPr>
          <w:rFonts w:ascii="Calibri" w:hAnsi="Calibri"/>
          <w:b w:val="0"/>
          <w:i w:val="0"/>
          <w:color w:val="334155"/>
          <w:sz w:val="21"/>
        </w:rPr>
        <w:t>Client-side HTML-to-Markdown stripping engine that removes scripts, stylesheets, tracking pixels, and DOM noise to produce clean markdown formatted for ChatGPT and Perplexity context windows.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Raw HTML string pasted by user.</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Regex and DOM node parsing stripping `&lt;script&gt;`, `&lt;style&gt;`, `&lt;iframe&gt;`, navigation bars, footers, and converting headings, paragraphs, and lists into structured Markdown.</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Clean plain text markdown, character reduction metrics (percentage noise removed), and 1-click clipboard copy.</w:t>
      </w:r>
    </w:p>
    <w:p>
      <w:pPr>
        <w:pStyle w:val="Heading2"/>
        <w:keepNext/>
        <w:spacing w:before="280" w:after="120"/>
      </w:pPr>
      <w:r>
        <w:rPr>
          <w:b/>
          <w:color w:val="B87333"/>
          <w:sz w:val="30"/>
        </w:rPr>
        <w:t>Tool 07: Citation-Ready FAQ &amp; Schema Studio</w:t>
      </w:r>
    </w:p>
    <w:p>
      <w:pPr>
        <w:spacing w:after="120" w:line="276" w:lineRule="auto"/>
      </w:pPr>
      <w:r>
        <w:rPr>
          <w:rFonts w:ascii="Calibri" w:hAnsi="Calibri"/>
          <w:b/>
          <w:i w:val="0"/>
          <w:color w:val="B87333"/>
          <w:sz w:val="21"/>
        </w:rPr>
        <w:t>Route: /tools/faq-generator | /api/tools/faq-schema</w:t>
      </w:r>
    </w:p>
    <w:p>
      <w:pPr>
        <w:spacing w:after="120" w:line="276" w:lineRule="auto"/>
      </w:pPr>
      <w:r>
        <w:rPr>
          <w:rFonts w:ascii="Calibri" w:hAnsi="Calibri"/>
          <w:b w:val="0"/>
          <w:i w:val="0"/>
          <w:color w:val="334155"/>
          <w:sz w:val="21"/>
        </w:rPr>
        <w:t>Generates 5 realistic, conversational FAQs matching prospective buyer queries and automatically constructs valid `schema.org/FAQPage` JSON-LD structured data scripts.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Brand name, domain, or product topic.</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Queries LLM for top 5 commercial buyer questions (pricing, offerings, alternatives, support, locations) and serializes them into valid JSON-LD format.</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Accordion preview of 5 FAQs and copyable `&lt;script type="application/ld+json"&gt;` block ready for insertion into `&lt;head&gt;`.</w:t>
      </w:r>
    </w:p>
    <w:p>
      <w:pPr>
        <w:pStyle w:val="Heading2"/>
        <w:keepNext/>
        <w:spacing w:before="280" w:after="120"/>
      </w:pPr>
      <w:r>
        <w:rPr>
          <w:b/>
          <w:color w:val="B87333"/>
          <w:sz w:val="30"/>
        </w:rPr>
        <w:t>Tool 08: Prompt Fan-Out &amp; Sub-Query Simulator</w:t>
      </w:r>
    </w:p>
    <w:p>
      <w:pPr>
        <w:spacing w:after="120" w:line="276" w:lineRule="auto"/>
      </w:pPr>
      <w:r>
        <w:rPr>
          <w:rFonts w:ascii="Calibri" w:hAnsi="Calibri"/>
          <w:b/>
          <w:i w:val="0"/>
          <w:color w:val="B87333"/>
          <w:sz w:val="21"/>
        </w:rPr>
        <w:t>Route: /tools/query-fanout | /api/tools/query-fanout</w:t>
      </w:r>
    </w:p>
    <w:p>
      <w:pPr>
        <w:spacing w:after="120" w:line="276" w:lineRule="auto"/>
      </w:pPr>
      <w:r>
        <w:rPr>
          <w:rFonts w:ascii="Calibri" w:hAnsi="Calibri"/>
          <w:b w:val="0"/>
          <w:i w:val="0"/>
          <w:color w:val="334155"/>
          <w:sz w:val="21"/>
        </w:rPr>
        <w:t>Simulates how search-oriented LLMs (ChatGPT Search and Perplexity) decompose broad buyer queries into 4 targeted sub-queries to retrieve diverse source documents.</w:t>
      </w:r>
    </w:p>
    <w:p>
      <w:pPr>
        <w:pStyle w:val="ListBullet"/>
        <w:spacing w:after="80" w:line="276" w:lineRule="auto"/>
      </w:pPr>
      <w:r>
        <w:rPr>
          <w:rFonts w:ascii="Calibri" w:hAnsi="Calibri"/>
          <w:b/>
          <w:color w:val="1E293B"/>
          <w:sz w:val="21"/>
        </w:rPr>
        <w:t xml:space="preserve">Decomposition Angles: </w:t>
      </w:r>
      <w:r>
        <w:rPr>
          <w:rFonts w:ascii="Calibri" w:hAnsi="Calibri"/>
          <w:color w:val="334155"/>
          <w:sz w:val="21"/>
        </w:rPr>
        <w:t>1. Commercial Comparison, 2. Social Proof &amp; Reviews, 3. Navigational &amp; Store Info, 4. Transactional Offers &amp; Discounts.</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LLM reasoning simulation breaking down domain context into sub-queries along with required content topics for landing page coverage.</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4 sub-query cards with intent classification and actionable list of required on-page content topics to satisfy multi-hop retrieval.</w:t>
      </w:r>
    </w:p>
    <w:p>
      <w:pPr>
        <w:pStyle w:val="Heading2"/>
        <w:keepNext/>
        <w:spacing w:before="280" w:after="120"/>
      </w:pPr>
      <w:r>
        <w:rPr>
          <w:b/>
          <w:color w:val="B87333"/>
          <w:sz w:val="30"/>
        </w:rPr>
        <w:t>Tool 09: E-E-A-T &amp; Entity Trust Index</w:t>
      </w:r>
    </w:p>
    <w:p>
      <w:pPr>
        <w:spacing w:after="120" w:line="276" w:lineRule="auto"/>
      </w:pPr>
      <w:r>
        <w:rPr>
          <w:rFonts w:ascii="Calibri" w:hAnsi="Calibri"/>
          <w:b/>
          <w:i w:val="0"/>
          <w:color w:val="B87333"/>
          <w:sz w:val="21"/>
        </w:rPr>
        <w:t>Route: /tools/eeat-analyzer | /api/tools/eeat-analyze</w:t>
      </w:r>
    </w:p>
    <w:p>
      <w:pPr>
        <w:spacing w:after="120" w:line="276" w:lineRule="auto"/>
      </w:pPr>
      <w:r>
        <w:rPr>
          <w:rFonts w:ascii="Calibri" w:hAnsi="Calibri"/>
          <w:b w:val="0"/>
          <w:i w:val="0"/>
          <w:color w:val="334155"/>
          <w:sz w:val="21"/>
        </w:rPr>
        <w:t>Evaluates domain signals across Google's Experience, Expertise, Authoritativeness, and Trustworthiness (E-E-A-T) pillars required for AI recommendation.</w:t>
      </w:r>
    </w:p>
    <w:p>
      <w:pPr>
        <w:pStyle w:val="ListBullet"/>
        <w:spacing w:after="80" w:line="276" w:lineRule="auto"/>
      </w:pPr>
      <w:r>
        <w:rPr>
          <w:rFonts w:ascii="Calibri" w:hAnsi="Calibri"/>
          <w:b/>
          <w:color w:val="1E293B"/>
          <w:sz w:val="21"/>
        </w:rPr>
        <w:t xml:space="preserve">Audited Trust Signals: </w:t>
      </w:r>
      <w:r>
        <w:rPr>
          <w:rFonts w:ascii="Calibri" w:hAnsi="Calibri"/>
          <w:color w:val="334155"/>
          <w:sz w:val="21"/>
        </w:rPr>
        <w:t>SSL Certificate (HTTPS), Organization Schema, Author/Person Schema, Wikidata sameAs links, and Privacy/Terms pages.</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Live HTTP scraping checking for trust pages and JSON-LD entity links, followed by LLM qualitative scoring across all 4 pillars.</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Overall E-E-A-T score (0-100), 4 pillar breakdown gauges (High/Moderate/Low), audit verification checklist, and high-impact recommendation.</w:t>
      </w:r>
    </w:p>
    <w:p>
      <w:pPr>
        <w:pStyle w:val="Heading2"/>
        <w:keepNext/>
        <w:spacing w:before="280" w:after="120"/>
      </w:pPr>
      <w:r>
        <w:rPr>
          <w:b/>
          <w:color w:val="B87333"/>
          <w:sz w:val="30"/>
        </w:rPr>
        <w:t>Tool 10: Buyer Intent Prompt Discovery Engine</w:t>
      </w:r>
    </w:p>
    <w:p>
      <w:pPr>
        <w:spacing w:after="120" w:line="276" w:lineRule="auto"/>
      </w:pPr>
      <w:r>
        <w:rPr>
          <w:rFonts w:ascii="Calibri" w:hAnsi="Calibri"/>
          <w:b/>
          <w:i w:val="0"/>
          <w:color w:val="B87333"/>
          <w:sz w:val="21"/>
        </w:rPr>
        <w:t>Route: /tools/prompt-research | /api/tools/prompt-research</w:t>
      </w:r>
    </w:p>
    <w:p>
      <w:pPr>
        <w:spacing w:after="120" w:line="276" w:lineRule="auto"/>
      </w:pPr>
      <w:r>
        <w:rPr>
          <w:rFonts w:ascii="Calibri" w:hAnsi="Calibri"/>
          <w:b w:val="0"/>
          <w:i w:val="0"/>
          <w:color w:val="334155"/>
          <w:sz w:val="21"/>
        </w:rPr>
        <w:t>Uncovers the exact conversational prompts that real buyers ask AI search assistants when cross-shopping and evaluating products in a given niche.</w:t>
      </w:r>
    </w:p>
    <w:p>
      <w:pPr>
        <w:pStyle w:val="ListBullet"/>
        <w:spacing w:after="80" w:line="276" w:lineRule="auto"/>
      </w:pPr>
      <w:r>
        <w:rPr>
          <w:rFonts w:ascii="Calibri" w:hAnsi="Calibri"/>
          <w:b/>
          <w:color w:val="1E293B"/>
          <w:sz w:val="21"/>
        </w:rPr>
        <w:t xml:space="preserve">Funnel Categorization: </w:t>
      </w:r>
      <w:r>
        <w:rPr>
          <w:rFonts w:ascii="Calibri" w:hAnsi="Calibri"/>
          <w:color w:val="334155"/>
          <w:sz w:val="21"/>
        </w:rPr>
        <w:t>Categorizes queries into Decision (Transactional/Offer), Evaluation (Comparison Research, Proof &amp; Trust), and Consideration (Navigational).</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5 prompt cards with intent tags, funnel stage badges, and 1-click copy functionality.</w:t>
      </w:r>
    </w:p>
    <w:p>
      <w:pPr>
        <w:pStyle w:val="Heading2"/>
        <w:keepNext/>
        <w:spacing w:before="280" w:after="120"/>
      </w:pPr>
      <w:r>
        <w:rPr>
          <w:b/>
          <w:color w:val="B87333"/>
          <w:sz w:val="30"/>
        </w:rPr>
        <w:t>Tool 11: Multi-Model Citation Share-of-Voice Radar</w:t>
      </w:r>
    </w:p>
    <w:p>
      <w:pPr>
        <w:spacing w:after="120" w:line="276" w:lineRule="auto"/>
      </w:pPr>
      <w:r>
        <w:rPr>
          <w:rFonts w:ascii="Calibri" w:hAnsi="Calibri"/>
          <w:b/>
          <w:i w:val="0"/>
          <w:color w:val="B87333"/>
          <w:sz w:val="21"/>
        </w:rPr>
        <w:t>Route: /tools/citation-sov | /api/tools/citation-sov</w:t>
      </w:r>
    </w:p>
    <w:p>
      <w:pPr>
        <w:spacing w:after="120" w:line="276" w:lineRule="auto"/>
      </w:pPr>
      <w:r>
        <w:rPr>
          <w:rFonts w:ascii="Calibri" w:hAnsi="Calibri"/>
          <w:b w:val="0"/>
          <w:i w:val="0"/>
          <w:color w:val="334155"/>
          <w:sz w:val="21"/>
        </w:rPr>
        <w:t>Benchmarks a brand's estimated citation frequency against up to 3 primary competitors across generative search engines.</w:t>
      </w:r>
    </w:p>
    <w:p>
      <w:pPr>
        <w:pStyle w:val="ListBullet"/>
        <w:spacing w:after="80" w:line="276" w:lineRule="auto"/>
      </w:pPr>
      <w:r>
        <w:rPr>
          <w:rFonts w:ascii="Calibri" w:hAnsi="Calibri"/>
          <w:b/>
          <w:color w:val="1E293B"/>
          <w:sz w:val="21"/>
        </w:rPr>
        <w:t xml:space="preserve">Input Parameters: </w:t>
      </w:r>
      <w:r>
        <w:rPr>
          <w:rFonts w:ascii="Calibri" w:hAnsi="Calibri"/>
          <w:color w:val="334155"/>
          <w:sz w:val="21"/>
        </w:rPr>
        <w:t>User brand domain + Competitor 1, Competitor 2, and Competitor 3 domains.</w:t>
      </w:r>
    </w:p>
    <w:p>
      <w:pPr>
        <w:pStyle w:val="ListBullet"/>
        <w:spacing w:after="80" w:line="276" w:lineRule="auto"/>
      </w:pPr>
      <w:r>
        <w:rPr>
          <w:rFonts w:ascii="Calibri" w:hAnsi="Calibri"/>
          <w:b/>
          <w:color w:val="1E293B"/>
          <w:sz w:val="21"/>
        </w:rPr>
        <w:t xml:space="preserve">Processing Pipeline: </w:t>
      </w:r>
      <w:r>
        <w:rPr>
          <w:rFonts w:ascii="Calibri" w:hAnsi="Calibri"/>
          <w:color w:val="334155"/>
          <w:sz w:val="21"/>
        </w:rPr>
        <w:t>Live LLM evaluation analyzing brand authority, search indexation, and citation probability, returning estimated percentage share of voice.</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Radar chart visualization, competitive comparison table with strengths and citation gaps, and strategic growth recommendation.</w:t>
      </w:r>
    </w:p>
    <w:p>
      <w:pPr>
        <w:pStyle w:val="Heading2"/>
        <w:keepNext/>
        <w:spacing w:before="280" w:after="120"/>
      </w:pPr>
      <w:r>
        <w:rPr>
          <w:b/>
          <w:color w:val="B87333"/>
          <w:sz w:val="30"/>
        </w:rPr>
        <w:t>Tool 12: Agentic Commerce Protocol Inspector</w:t>
      </w:r>
    </w:p>
    <w:p>
      <w:pPr>
        <w:spacing w:after="120" w:line="276" w:lineRule="auto"/>
      </w:pPr>
      <w:r>
        <w:rPr>
          <w:rFonts w:ascii="Calibri" w:hAnsi="Calibri"/>
          <w:b/>
          <w:i w:val="0"/>
          <w:color w:val="B87333"/>
          <w:sz w:val="21"/>
        </w:rPr>
        <w:t>Route: /tools/commerce-checker | /api/tools/commerce-checker</w:t>
      </w:r>
    </w:p>
    <w:p>
      <w:pPr>
        <w:spacing w:after="120" w:line="276" w:lineRule="auto"/>
      </w:pPr>
      <w:r>
        <w:rPr>
          <w:rFonts w:ascii="Calibri" w:hAnsi="Calibri"/>
          <w:b w:val="0"/>
          <w:i w:val="0"/>
          <w:color w:val="334155"/>
          <w:sz w:val="21"/>
        </w:rPr>
        <w:t>Audits online stores for ChatGPT Shopping and Google AI Agent checkout readiness.</w:t>
      </w:r>
    </w:p>
    <w:p>
      <w:pPr>
        <w:pStyle w:val="ListBullet"/>
        <w:spacing w:after="80" w:line="276" w:lineRule="auto"/>
      </w:pPr>
      <w:r>
        <w:rPr>
          <w:rFonts w:ascii="Calibri" w:hAnsi="Calibri"/>
          <w:b/>
          <w:color w:val="1E293B"/>
          <w:sz w:val="21"/>
        </w:rPr>
        <w:t xml:space="preserve">Checks Executed: </w:t>
      </w:r>
      <w:r>
        <w:rPr>
          <w:rFonts w:ascii="Calibri" w:hAnsi="Calibri"/>
          <w:color w:val="334155"/>
          <w:sz w:val="21"/>
        </w:rPr>
        <w:t>1. Product JSON-LD Schema (`schema.org/Product`), 2. OpenGraph Price Metadata (`og:price:amount`), 3. GPTBot Shopping Indexing Access, 4. Universal Commerce Protocol (UCP) Structured Feed Compliance.</w:t>
      </w:r>
    </w:p>
    <w:p>
      <w:pPr>
        <w:pStyle w:val="ListBullet"/>
        <w:spacing w:after="80" w:line="276" w:lineRule="auto"/>
      </w:pPr>
      <w:r>
        <w:rPr>
          <w:rFonts w:ascii="Calibri" w:hAnsi="Calibri"/>
          <w:b/>
          <w:color w:val="1E293B"/>
          <w:sz w:val="21"/>
        </w:rPr>
        <w:t xml:space="preserve">Output Artifacts: </w:t>
      </w:r>
      <w:r>
        <w:rPr>
          <w:rFonts w:ascii="Calibri" w:hAnsi="Calibri"/>
          <w:color w:val="334155"/>
          <w:sz w:val="21"/>
        </w:rPr>
        <w:t>ACP Readiness Score (0-100), detailed check status list with pass/fail indicators, and optimization recommendations.</w:t>
      </w:r>
    </w:p>
    <w:p>
      <w:pPr>
        <w:pStyle w:val="Heading1"/>
        <w:keepNext/>
        <w:spacing w:before="280" w:after="120"/>
      </w:pPr>
      <w:r>
        <w:rPr>
          <w:b/>
          <w:color w:val="0F172A"/>
          <w:sz w:val="40"/>
        </w:rPr>
        <w:t>5. Database Architecture &amp; Supabase Schema</w:t>
      </w:r>
    </w:p>
    <w:p>
      <w:pPr>
        <w:spacing w:after="120" w:line="276" w:lineRule="auto"/>
      </w:pPr>
      <w:r>
        <w:rPr>
          <w:rFonts w:ascii="Calibri" w:hAnsi="Calibri"/>
          <w:b w:val="0"/>
          <w:i w:val="0"/>
          <w:color w:val="334155"/>
          <w:sz w:val="21"/>
        </w:rPr>
        <w:t>The application utilizes Supabase (PostgreSQL) as its primary relational data persistence layer. The database is structured to support multi-tenant user projects, complete audit histories, individual prompt scans, extracted citation links, and detected competitive gap briefs.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spacing w:after="0"/>
              <w:jc w:val="left"/>
            </w:pPr>
            <w:r>
              <w:rPr>
                <w:rFonts w:ascii="Calibri" w:hAnsi="Calibri"/>
                <w:b/>
                <w:color w:val="FFFFFF"/>
                <w:sz w:val="20"/>
              </w:rPr>
              <w:t>Table Name</w:t>
            </w:r>
          </w:p>
        </w:tc>
        <w:tc>
          <w:tcPr>
            <w:tcW w:type="dxa" w:w="2160"/>
            <w:shd w:fill="0F172A"/>
            <w:tcMar>
              <w:top w:w="120" w:type="dxa"/>
              <w:bottom w:w="120" w:type="dxa"/>
              <w:left w:w="140" w:type="dxa"/>
              <w:right w:w="140" w:type="dxa"/>
            </w:tcMar>
          </w:tcPr>
          <w:p>
            <w:pPr>
              <w:spacing w:after="0"/>
              <w:jc w:val="left"/>
            </w:pPr>
            <w:r>
              <w:rPr>
                <w:rFonts w:ascii="Calibri" w:hAnsi="Calibri"/>
                <w:b/>
                <w:color w:val="FFFFFF"/>
                <w:sz w:val="20"/>
              </w:rPr>
              <w:t>Primary / Foreign Keys</w:t>
            </w:r>
          </w:p>
        </w:tc>
        <w:tc>
          <w:tcPr>
            <w:tcW w:type="dxa" w:w="5040"/>
            <w:shd w:fill="0F172A"/>
            <w:tcMar>
              <w:top w:w="120" w:type="dxa"/>
              <w:bottom w:w="120" w:type="dxa"/>
              <w:left w:w="140" w:type="dxa"/>
              <w:right w:w="140" w:type="dxa"/>
            </w:tcMar>
          </w:tcPr>
          <w:p>
            <w:pPr>
              <w:spacing w:after="0"/>
              <w:jc w:val="left"/>
            </w:pPr>
            <w:r>
              <w:rPr>
                <w:rFonts w:ascii="Calibri" w:hAnsi="Calibri"/>
                <w:b/>
                <w:color w:val="FFFFFF"/>
                <w:sz w:val="20"/>
              </w:rPr>
              <w:t>Description &amp; Stored Data Attributes</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public.projects</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id (UUID PK)</w:t>
              <w:br/>
              <w:t>user_id (FK auth.users)</w:t>
            </w:r>
          </w:p>
        </w:tc>
        <w:tc>
          <w:tcPr>
            <w:tcW w:type="dxa" w:w="5040"/>
            <w:shd w:fill="FFFFFF"/>
            <w:tcMar>
              <w:top w:w="100" w:type="dxa"/>
              <w:bottom w:w="100" w:type="dxa"/>
              <w:left w:w="140" w:type="dxa"/>
              <w:right w:w="140" w:type="dxa"/>
            </w:tcMar>
          </w:tcPr>
          <w:p>
            <w:pPr>
              <w:spacing w:after="0" w:line="276" w:lineRule="auto"/>
            </w:pPr>
            <w:r>
              <w:rPr>
                <w:rFonts w:ascii="Calibri" w:hAnsi="Calibri"/>
                <w:color w:val="334155"/>
                <w:sz w:val="19"/>
              </w:rPr>
              <w:t>Stores user-monitored web domains, brand names, target keywords arrays, and tracked competitors.</w:t>
            </w:r>
          </w:p>
        </w:tc>
      </w:tr>
      <w:tr>
        <w:tc>
          <w:tcPr>
            <w:tcW w:type="dxa" w:w="2160"/>
            <w:shd w:fill="F8FAFC"/>
            <w:tcMar>
              <w:top w:w="100" w:type="dxa"/>
              <w:bottom w:w="100" w:type="dxa"/>
              <w:left w:w="140" w:type="dxa"/>
              <w:right w:w="140" w:type="dxa"/>
            </w:tcMar>
          </w:tcPr>
          <w:p>
            <w:pPr>
              <w:spacing w:after="0" w:line="276" w:lineRule="auto"/>
            </w:pPr>
            <w:r>
              <w:rPr>
                <w:rFonts w:ascii="Calibri" w:hAnsi="Calibri"/>
                <w:b/>
                <w:color w:val="1E293B"/>
                <w:sz w:val="19"/>
              </w:rPr>
              <w:t>public.aeo_audits</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id (UUID PK)</w:t>
              <w:br/>
              <w:t>project_id (FK projects)</w:t>
            </w:r>
          </w:p>
        </w:tc>
        <w:tc>
          <w:tcPr>
            <w:tcW w:type="dxa" w:w="5040"/>
            <w:shd w:fill="F8FAFC"/>
            <w:tcMar>
              <w:top w:w="100" w:type="dxa"/>
              <w:bottom w:w="100" w:type="dxa"/>
              <w:left w:w="140" w:type="dxa"/>
              <w:right w:w="140" w:type="dxa"/>
            </w:tcMar>
          </w:tcPr>
          <w:p>
            <w:pPr>
              <w:spacing w:after="0" w:line="276" w:lineRule="auto"/>
            </w:pPr>
            <w:r>
              <w:rPr>
                <w:rFonts w:ascii="Calibri" w:hAnsi="Calibri"/>
                <w:color w:val="334155"/>
                <w:sz w:val="19"/>
              </w:rPr>
              <w:t>Historical record of overall GEO score, schema score, citation score, entity score, readability score, and full JSONB audit payload.</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public.prompt_scans</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id (UUID PK)</w:t>
              <w:br/>
              <w:t>project_id (FK projects)</w:t>
            </w:r>
          </w:p>
        </w:tc>
        <w:tc>
          <w:tcPr>
            <w:tcW w:type="dxa" w:w="5040"/>
            <w:shd w:fill="FFFFFF"/>
            <w:tcMar>
              <w:top w:w="100" w:type="dxa"/>
              <w:bottom w:w="100" w:type="dxa"/>
              <w:left w:w="140" w:type="dxa"/>
              <w:right w:w="140" w:type="dxa"/>
            </w:tcMar>
          </w:tcPr>
          <w:p>
            <w:pPr>
              <w:spacing w:after="0" w:line="276" w:lineRule="auto"/>
            </w:pPr>
            <w:r>
              <w:rPr>
                <w:rFonts w:ascii="Calibri" w:hAnsi="Calibri"/>
                <w:color w:val="334155"/>
                <w:sz w:val="19"/>
              </w:rPr>
              <w:t>Individual prompt scan entries: prompt text, category, model name (chatgpt, gemini, claude, deepseek), brand_mentioned boolean, sentiment, rank position, verbatim AI response text, and citation URLs.</w:t>
            </w:r>
          </w:p>
        </w:tc>
      </w:tr>
      <w:tr>
        <w:tc>
          <w:tcPr>
            <w:tcW w:type="dxa" w:w="2160"/>
            <w:shd w:fill="F8FAFC"/>
            <w:tcMar>
              <w:top w:w="100" w:type="dxa"/>
              <w:bottom w:w="100" w:type="dxa"/>
              <w:left w:w="140" w:type="dxa"/>
              <w:right w:w="140" w:type="dxa"/>
            </w:tcMar>
          </w:tcPr>
          <w:p>
            <w:pPr>
              <w:spacing w:after="0" w:line="276" w:lineRule="auto"/>
            </w:pPr>
            <w:r>
              <w:rPr>
                <w:rFonts w:ascii="Calibri" w:hAnsi="Calibri"/>
                <w:b/>
                <w:color w:val="1E293B"/>
                <w:sz w:val="19"/>
              </w:rPr>
              <w:t>public.citations</w:t>
            </w:r>
          </w:p>
        </w:tc>
        <w:tc>
          <w:tcPr>
            <w:tcW w:type="dxa" w:w="2160"/>
            <w:shd w:fill="F8FAFC"/>
            <w:tcMar>
              <w:top w:w="100" w:type="dxa"/>
              <w:bottom w:w="100" w:type="dxa"/>
              <w:left w:w="140" w:type="dxa"/>
              <w:right w:w="140" w:type="dxa"/>
            </w:tcMar>
          </w:tcPr>
          <w:p>
            <w:pPr>
              <w:spacing w:after="0" w:line="276" w:lineRule="auto"/>
            </w:pPr>
            <w:r>
              <w:rPr>
                <w:rFonts w:ascii="Calibri" w:hAnsi="Calibri"/>
                <w:color w:val="334155"/>
                <w:sz w:val="19"/>
              </w:rPr>
              <w:t>id (UUID PK)</w:t>
              <w:br/>
              <w:t>project_id (FK projects)</w:t>
            </w:r>
          </w:p>
        </w:tc>
        <w:tc>
          <w:tcPr>
            <w:tcW w:type="dxa" w:w="5040"/>
            <w:shd w:fill="F8FAFC"/>
            <w:tcMar>
              <w:top w:w="100" w:type="dxa"/>
              <w:bottom w:w="100" w:type="dxa"/>
              <w:left w:w="140" w:type="dxa"/>
              <w:right w:w="140" w:type="dxa"/>
            </w:tcMar>
          </w:tcPr>
          <w:p>
            <w:pPr>
              <w:spacing w:after="0" w:line="276" w:lineRule="auto"/>
            </w:pPr>
            <w:r>
              <w:rPr>
                <w:rFonts w:ascii="Calibri" w:hAnsi="Calibri"/>
                <w:color w:val="334155"/>
                <w:sz w:val="19"/>
              </w:rPr>
              <w:t>Granular citation records: source URL, target URL, model name, citation context snippet, and is_own_domain boolean flag.</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public.gap_analysis</w:t>
            </w:r>
          </w:p>
        </w:tc>
        <w:tc>
          <w:tcPr>
            <w:tcW w:type="dxa" w:w="2160"/>
            <w:shd w:fill="FFFFFF"/>
            <w:tcMar>
              <w:top w:w="100" w:type="dxa"/>
              <w:bottom w:w="100" w:type="dxa"/>
              <w:left w:w="140" w:type="dxa"/>
              <w:right w:w="140" w:type="dxa"/>
            </w:tcMar>
          </w:tcPr>
          <w:p>
            <w:pPr>
              <w:spacing w:after="0" w:line="276" w:lineRule="auto"/>
            </w:pPr>
            <w:r>
              <w:rPr>
                <w:rFonts w:ascii="Calibri" w:hAnsi="Calibri"/>
                <w:color w:val="334155"/>
                <w:sz w:val="19"/>
              </w:rPr>
              <w:t>id (UUID PK)</w:t>
              <w:br/>
              <w:t>project_id (FK projects)</w:t>
            </w:r>
          </w:p>
        </w:tc>
        <w:tc>
          <w:tcPr>
            <w:tcW w:type="dxa" w:w="5040"/>
            <w:shd w:fill="FFFFFF"/>
            <w:tcMar>
              <w:top w:w="100" w:type="dxa"/>
              <w:bottom w:w="100" w:type="dxa"/>
              <w:left w:w="140" w:type="dxa"/>
              <w:right w:w="140" w:type="dxa"/>
            </w:tcMar>
          </w:tcPr>
          <w:p>
            <w:pPr>
              <w:spacing w:after="0" w:line="276" w:lineRule="auto"/>
            </w:pPr>
            <w:r>
              <w:rPr>
                <w:rFonts w:ascii="Calibri" w:hAnsi="Calibri"/>
                <w:color w:val="334155"/>
                <w:sz w:val="19"/>
              </w:rPr>
              <w:t>Identified query gaps: missing prompt, competitor domain, opportunity score, suggested content brief JSON, and status (open, in_progress, resolved).</w:t>
            </w:r>
          </w:p>
        </w:tc>
      </w:tr>
    </w:tbl>
    <w:p>
      <w:pPr>
        <w:spacing w:after="120"/>
      </w:pPr>
    </w:p>
    <w:p>
      <w:pPr>
        <w:pStyle w:val="Heading2"/>
        <w:keepNext/>
        <w:spacing w:before="280" w:after="120"/>
      </w:pPr>
      <w:r>
        <w:rPr>
          <w:b/>
          <w:color w:val="B87333"/>
          <w:sz w:val="30"/>
        </w:rPr>
        <w:t>Row-Level Security (RLS) Policy Architecture</w:t>
      </w:r>
    </w:p>
    <w:p>
      <w:pPr>
        <w:spacing w:after="120" w:line="276" w:lineRule="auto"/>
      </w:pPr>
      <w:r>
        <w:rPr>
          <w:rFonts w:ascii="Calibri" w:hAnsi="Calibri"/>
          <w:b w:val="0"/>
          <w:i w:val="0"/>
          <w:color w:val="334155"/>
          <w:sz w:val="21"/>
        </w:rPr>
        <w:t>All 5 tables have Row-Level Security (RLS) enabled. Multi-tenant data privacy is enforced strictly at the database engine level. Users can only SELECT, INSERT, UPDATE, or DELETE records where `auth.uid() = projects.user_id`, preventing any unauthorized data leakage.</w:t>
      </w:r>
    </w:p>
    <w:p>
      <w:pPr>
        <w:pStyle w:val="Heading1"/>
        <w:keepNext/>
        <w:spacing w:before="280" w:after="120"/>
      </w:pPr>
      <w:r>
        <w:rPr>
          <w:b/>
          <w:color w:val="0F172A"/>
          <w:sz w:val="40"/>
        </w:rPr>
        <w:t>6. REST API Reference &amp; Backend Endpoint Specifications</w:t>
      </w:r>
    </w:p>
    <w:p>
      <w:pPr>
        <w:spacing w:after="120" w:line="276" w:lineRule="auto"/>
      </w:pPr>
      <w:r>
        <w:rPr>
          <w:rFonts w:ascii="Calibri" w:hAnsi="Calibri"/>
          <w:b w:val="0"/>
          <w:i w:val="0"/>
          <w:color w:val="334155"/>
          <w:sz w:val="21"/>
        </w:rPr>
        <w:t>All backend operations are exposed via Next.js Route Handlers (`src/app/api/*`). The endpoints accept JSON payloads and return structured JSON responses with standard HTTP status codes.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spacing w:after="0"/>
              <w:jc w:val="left"/>
            </w:pPr>
            <w:r>
              <w:rPr>
                <w:rFonts w:ascii="Calibri" w:hAnsi="Calibri"/>
                <w:b/>
                <w:color w:val="FFFFFF"/>
                <w:sz w:val="20"/>
              </w:rPr>
              <w:t>Endpoint Route</w:t>
            </w:r>
          </w:p>
        </w:tc>
        <w:tc>
          <w:tcPr>
            <w:tcW w:type="dxa" w:w="1440"/>
            <w:shd w:fill="0F172A"/>
            <w:tcMar>
              <w:top w:w="120" w:type="dxa"/>
              <w:bottom w:w="120" w:type="dxa"/>
              <w:left w:w="140" w:type="dxa"/>
              <w:right w:w="140" w:type="dxa"/>
            </w:tcMar>
          </w:tcPr>
          <w:p>
            <w:pPr>
              <w:spacing w:after="0"/>
              <w:jc w:val="left"/>
            </w:pPr>
            <w:r>
              <w:rPr>
                <w:rFonts w:ascii="Calibri" w:hAnsi="Calibri"/>
                <w:b/>
                <w:color w:val="FFFFFF"/>
                <w:sz w:val="20"/>
              </w:rPr>
              <w:t>Method</w:t>
            </w:r>
          </w:p>
        </w:tc>
        <w:tc>
          <w:tcPr>
            <w:tcW w:type="dxa" w:w="5328"/>
            <w:shd w:fill="0F172A"/>
            <w:tcMar>
              <w:top w:w="120" w:type="dxa"/>
              <w:bottom w:w="120" w:type="dxa"/>
              <w:left w:w="140" w:type="dxa"/>
              <w:right w:w="140" w:type="dxa"/>
            </w:tcMar>
          </w:tcPr>
          <w:p>
            <w:pPr>
              <w:spacing w:after="0"/>
              <w:jc w:val="left"/>
            </w:pPr>
            <w:r>
              <w:rPr>
                <w:rFonts w:ascii="Calibri" w:hAnsi="Calibri"/>
                <w:b/>
                <w:color w:val="FFFFFF"/>
                <w:sz w:val="20"/>
              </w:rPr>
              <w:t>Request Body &amp; Response Shape Summary</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/api/analyze</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domain, brandName?, promptCount?, isQuickScan? }</w:t>
              <w:br/>
              <w:t>Returns: Full audit object with pageAudit, promptScans (4 models), gaps, and metrics.</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/api/tools/brand-audit</w:t>
            </w:r>
          </w:p>
        </w:tc>
        <w:tc>
          <w:tcPr>
            <w:tcW w:type="dxa" w:w="1440"/>
            <w:shd w:fill="F8FAFC"/>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8FAFC"/>
            <w:tcMar>
              <w:top w:w="100" w:type="dxa"/>
              <w:bottom w:w="100" w:type="dxa"/>
              <w:left w:w="140" w:type="dxa"/>
              <w:right w:w="140" w:type="dxa"/>
            </w:tcMar>
          </w:tcPr>
          <w:p>
            <w:pPr>
              <w:spacing w:after="0" w:line="276" w:lineRule="auto"/>
            </w:pPr>
            <w:r>
              <w:rPr>
                <w:rFonts w:ascii="Calibri" w:hAnsi="Calibri"/>
                <w:color w:val="334155"/>
                <w:sz w:val="19"/>
              </w:rPr>
              <w:t>Body: { domainInput }</w:t>
              <w:br/>
              <w:t>Returns: Brand logos, executive summary, audience, 4 competitors, and AEO score.</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/api/tools/citation-sov</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userBrand, comp1?, comp2?, comp3? }</w:t>
              <w:br/>
              <w:t>Returns: Radar distribution array, competitive details, and recommendation.</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/api/tools/commerce-checker</w:t>
            </w:r>
          </w:p>
        </w:tc>
        <w:tc>
          <w:tcPr>
            <w:tcW w:type="dxa" w:w="1440"/>
            <w:shd w:fill="F8FAFC"/>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8FAFC"/>
            <w:tcMar>
              <w:top w:w="100" w:type="dxa"/>
              <w:bottom w:w="100" w:type="dxa"/>
              <w:left w:w="140" w:type="dxa"/>
              <w:right w:w="140" w:type="dxa"/>
            </w:tcMar>
          </w:tcPr>
          <w:p>
            <w:pPr>
              <w:spacing w:after="0" w:line="276" w:lineRule="auto"/>
            </w:pPr>
            <w:r>
              <w:rPr>
                <w:rFonts w:ascii="Calibri" w:hAnsi="Calibri"/>
                <w:color w:val="334155"/>
                <w:sz w:val="19"/>
              </w:rPr>
              <w:t>Body: { storeUrl }</w:t>
              <w:br/>
              <w:t>Returns: ACP score, 4 protocol checks, and readiness recommendations.</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/api/tools/eeat-analyze</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domainInput }</w:t>
              <w:br/>
              <w:t>Returns: E-E-A-T score, 4 pillar breakdown, trust checks array, and action advice.</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/api/tools/faq-schema</w:t>
            </w:r>
          </w:p>
        </w:tc>
        <w:tc>
          <w:tcPr>
            <w:tcW w:type="dxa" w:w="1440"/>
            <w:shd w:fill="F8FAFC"/>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8FAFC"/>
            <w:tcMar>
              <w:top w:w="100" w:type="dxa"/>
              <w:bottom w:w="100" w:type="dxa"/>
              <w:left w:w="140" w:type="dxa"/>
              <w:right w:w="140" w:type="dxa"/>
            </w:tcMar>
          </w:tcPr>
          <w:p>
            <w:pPr>
              <w:spacing w:after="0" w:line="276" w:lineRule="auto"/>
            </w:pPr>
            <w:r>
              <w:rPr>
                <w:rFonts w:ascii="Calibri" w:hAnsi="Calibri"/>
                <w:color w:val="334155"/>
                <w:sz w:val="19"/>
              </w:rPr>
              <w:t>Body: { brandOrTopic }</w:t>
              <w:br/>
              <w:t>Returns: 5 conversational FAQs array and valid JSON-LD &lt;script&gt; block.</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/api/tools/llms-txt</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domainInput, siteTitleInput?, summaryInput? }</w:t>
              <w:br/>
              <w:t>Returns: Formatted /llms.txt standard markdown string.</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/api/tools/meta-opt</w:t>
            </w:r>
          </w:p>
        </w:tc>
        <w:tc>
          <w:tcPr>
            <w:tcW w:type="dxa" w:w="1440"/>
            <w:shd w:fill="F8FAFC"/>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8FAFC"/>
            <w:tcMar>
              <w:top w:w="100" w:type="dxa"/>
              <w:bottom w:w="100" w:type="dxa"/>
              <w:left w:w="140" w:type="dxa"/>
              <w:right w:w="140" w:type="dxa"/>
            </w:tcMar>
          </w:tcPr>
          <w:p>
            <w:pPr>
              <w:spacing w:after="0" w:line="276" w:lineRule="auto"/>
            </w:pPr>
            <w:r>
              <w:rPr>
                <w:rFonts w:ascii="Calibri" w:hAnsi="Calibri"/>
                <w:color w:val="334155"/>
                <w:sz w:val="19"/>
              </w:rPr>
              <w:t>Body: { domainOrTopic, targetKeyword }</w:t>
              <w:br/>
              <w:t>Returns: Title tag, meta description, OpenGraph tags, and character counts.</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/api/tools/prompt-research</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nicheInput }</w:t>
              <w:br/>
              <w:t>Returns: 5 buyer intent prompt cards with intent classification and funnel stage.</w:t>
            </w:r>
          </w:p>
        </w:tc>
      </w:tr>
      <w:tr>
        <w:tc>
          <w:tcPr>
            <w:tcW w:type="dxa" w:w="2592"/>
            <w:shd w:fill="F8FAFC"/>
            <w:tcMar>
              <w:top w:w="100" w:type="dxa"/>
              <w:bottom w:w="100" w:type="dxa"/>
              <w:left w:w="140" w:type="dxa"/>
              <w:right w:w="140" w:type="dxa"/>
            </w:tcMar>
          </w:tcPr>
          <w:p>
            <w:pPr>
              <w:spacing w:after="0" w:line="276" w:lineRule="auto"/>
            </w:pPr>
            <w:r>
              <w:rPr>
                <w:rFonts w:ascii="Calibri" w:hAnsi="Calibri"/>
                <w:b/>
                <w:color w:val="1E293B"/>
                <w:sz w:val="19"/>
              </w:rPr>
              <w:t>/api/tools/query-fanout</w:t>
            </w:r>
          </w:p>
        </w:tc>
        <w:tc>
          <w:tcPr>
            <w:tcW w:type="dxa" w:w="1440"/>
            <w:shd w:fill="F8FAFC"/>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8FAFC"/>
            <w:tcMar>
              <w:top w:w="100" w:type="dxa"/>
              <w:bottom w:w="100" w:type="dxa"/>
              <w:left w:w="140" w:type="dxa"/>
              <w:right w:w="140" w:type="dxa"/>
            </w:tcMar>
          </w:tcPr>
          <w:p>
            <w:pPr>
              <w:spacing w:after="0" w:line="276" w:lineRule="auto"/>
            </w:pPr>
            <w:r>
              <w:rPr>
                <w:rFonts w:ascii="Calibri" w:hAnsi="Calibri"/>
                <w:color w:val="334155"/>
                <w:sz w:val="19"/>
              </w:rPr>
              <w:t>Body: { keywordInput }</w:t>
              <w:br/>
              <w:t>Returns: 4 sub-queries with intent classification and required landing page topics.</w:t>
            </w:r>
          </w:p>
        </w:tc>
      </w:tr>
      <w:tr>
        <w:tc>
          <w:tcPr>
            <w:tcW w:type="dxa" w:w="2592"/>
            <w:shd w:fill="FFFFFF"/>
            <w:tcMar>
              <w:top w:w="100" w:type="dxa"/>
              <w:bottom w:w="100" w:type="dxa"/>
              <w:left w:w="140" w:type="dxa"/>
              <w:right w:w="140" w:type="dxa"/>
            </w:tcMar>
          </w:tcPr>
          <w:p>
            <w:pPr>
              <w:spacing w:after="0" w:line="276" w:lineRule="auto"/>
            </w:pPr>
            <w:r>
              <w:rPr>
                <w:rFonts w:ascii="Calibri" w:hAnsi="Calibri"/>
                <w:b/>
                <w:color w:val="1E293B"/>
                <w:sz w:val="19"/>
              </w:rPr>
              <w:t>/api/tools/robots-txt</w:t>
            </w:r>
          </w:p>
        </w:tc>
        <w:tc>
          <w:tcPr>
            <w:tcW w:type="dxa" w:w="1440"/>
            <w:shd w:fill="FFFFFF"/>
            <w:tcMar>
              <w:top w:w="100" w:type="dxa"/>
              <w:bottom w:w="100" w:type="dxa"/>
              <w:left w:w="140" w:type="dxa"/>
              <w:right w:w="140" w:type="dxa"/>
            </w:tcMar>
          </w:tcPr>
          <w:p>
            <w:pPr>
              <w:spacing w:after="0" w:line="276" w:lineRule="auto"/>
            </w:pPr>
            <w:r>
              <w:rPr>
                <w:rFonts w:ascii="Calibri" w:hAnsi="Calibri"/>
                <w:color w:val="334155"/>
                <w:sz w:val="19"/>
              </w:rPr>
              <w:t>POST</w:t>
            </w:r>
          </w:p>
        </w:tc>
        <w:tc>
          <w:tcPr>
            <w:tcW w:type="dxa" w:w="5328"/>
            <w:shd w:fill="FFFFFF"/>
            <w:tcMar>
              <w:top w:w="100" w:type="dxa"/>
              <w:bottom w:w="100" w:type="dxa"/>
              <w:left w:w="140" w:type="dxa"/>
              <w:right w:w="140" w:type="dxa"/>
            </w:tcMar>
          </w:tcPr>
          <w:p>
            <w:pPr>
              <w:spacing w:after="0" w:line="276" w:lineRule="auto"/>
            </w:pPr>
            <w:r>
              <w:rPr>
                <w:rFonts w:ascii="Calibri" w:hAnsi="Calibri"/>
                <w:color w:val="334155"/>
                <w:sz w:val="19"/>
              </w:rPr>
              <w:t>Body: { domainInput, botPermissions? }</w:t>
              <w:br/>
              <w:t>Returns: Bot status map for 6 crawlers and generated robots.txt configuration.</w:t>
            </w:r>
          </w:p>
        </w:tc>
      </w:tr>
    </w:tbl>
    <w:p>
      <w:pPr>
        <w:spacing w:after="120"/>
      </w:pPr>
    </w:p>
    <w:p>
      <w:pPr>
        <w:pStyle w:val="Heading1"/>
        <w:keepNext/>
        <w:spacing w:before="280" w:after="120"/>
      </w:pPr>
      <w:r>
        <w:rPr>
          <w:b/>
          <w:color w:val="0F172A"/>
          <w:sz w:val="40"/>
        </w:rPr>
        <w:t>7. Public Experience &amp; Informational Architecture</w:t>
      </w:r>
    </w:p>
    <w:p>
      <w:pPr>
        <w:spacing w:after="120" w:line="276" w:lineRule="auto"/>
      </w:pPr>
      <w:r>
        <w:rPr>
          <w:rFonts w:ascii="Calibri" w:hAnsi="Calibri"/>
          <w:b w:val="0"/>
          <w:i w:val="0"/>
          <w:color w:val="334155"/>
          <w:sz w:val="21"/>
        </w:rPr>
        <w:t>The application includes a comprehensive, luxury marketing and informational experience designed to convert prospective visitors, provide legal compliance, and showcase domain expertise.</w:t>
      </w:r>
    </w:p>
    <w:p>
      <w:pPr>
        <w:pStyle w:val="ListBullet"/>
        <w:spacing w:after="80" w:line="276" w:lineRule="auto"/>
      </w:pPr>
      <w:r>
        <w:rPr>
          <w:rFonts w:ascii="Calibri" w:hAnsi="Calibri"/>
          <w:b/>
          <w:color w:val="1E293B"/>
          <w:sz w:val="21"/>
        </w:rPr>
        <w:t xml:space="preserve">Homepage (`/`): </w:t>
      </w:r>
      <w:r>
        <w:rPr>
          <w:rFonts w:ascii="Calibri" w:hAnsi="Calibri"/>
          <w:color w:val="334155"/>
          <w:sz w:val="21"/>
        </w:rPr>
        <w:t>Features dynamic hero scanner with interactive URL input, live preview audit demo, multi-model heatmaps, ROI calculator preview, client testimonials, and FAQ accordions.</w:t>
      </w:r>
    </w:p>
    <w:p>
      <w:pPr>
        <w:pStyle w:val="ListBullet"/>
        <w:spacing w:after="80" w:line="276" w:lineRule="auto"/>
      </w:pPr>
      <w:r>
        <w:rPr>
          <w:rFonts w:ascii="Calibri" w:hAnsi="Calibri"/>
          <w:b/>
          <w:color w:val="1E293B"/>
          <w:sz w:val="21"/>
        </w:rPr>
        <w:t xml:space="preserve">Tools Hub (`/tools`): </w:t>
      </w:r>
      <w:r>
        <w:rPr>
          <w:rFonts w:ascii="Calibri" w:hAnsi="Calibri"/>
          <w:color w:val="334155"/>
          <w:sz w:val="21"/>
        </w:rPr>
        <w:t>Directory showcasing all 12 active micro-tools with category badges, feature highlights, and direct launch buttons.</w:t>
      </w:r>
    </w:p>
    <w:p>
      <w:pPr>
        <w:pStyle w:val="ListBullet"/>
        <w:spacing w:after="80" w:line="276" w:lineRule="auto"/>
      </w:pPr>
      <w:r>
        <w:rPr>
          <w:rFonts w:ascii="Calibri" w:hAnsi="Calibri"/>
          <w:b/>
          <w:color w:val="1E293B"/>
          <w:sz w:val="21"/>
        </w:rPr>
        <w:t xml:space="preserve">Features (`/features`): </w:t>
      </w:r>
      <w:r>
        <w:rPr>
          <w:rFonts w:ascii="Calibri" w:hAnsi="Calibri"/>
          <w:color w:val="334155"/>
          <w:sz w:val="21"/>
        </w:rPr>
        <w:t>In-depth breakdown of the Multi-LLM simulation engine, Schema Studio, Gap Detector, and Competitor Radar.</w:t>
      </w:r>
    </w:p>
    <w:p>
      <w:pPr>
        <w:pStyle w:val="ListBullet"/>
        <w:spacing w:after="80" w:line="276" w:lineRule="auto"/>
      </w:pPr>
      <w:r>
        <w:rPr>
          <w:rFonts w:ascii="Calibri" w:hAnsi="Calibri"/>
          <w:b/>
          <w:color w:val="1E293B"/>
          <w:sz w:val="21"/>
        </w:rPr>
        <w:t xml:space="preserve">Pricing (`/pricing`): </w:t>
      </w:r>
      <w:r>
        <w:rPr>
          <w:rFonts w:ascii="Calibri" w:hAnsi="Calibri"/>
          <w:color w:val="334155"/>
          <w:sz w:val="21"/>
        </w:rPr>
        <w:t>Interactive monthly/annual billing switcher, 3 tier cards, feature comparison checklist, and FAQ section.</w:t>
      </w:r>
    </w:p>
    <w:p>
      <w:pPr>
        <w:pStyle w:val="ListBullet"/>
        <w:spacing w:after="80" w:line="276" w:lineRule="auto"/>
      </w:pPr>
      <w:r>
        <w:rPr>
          <w:rFonts w:ascii="Calibri" w:hAnsi="Calibri"/>
          <w:b/>
          <w:color w:val="1E293B"/>
          <w:sz w:val="21"/>
        </w:rPr>
        <w:t xml:space="preserve">Case Studies (`/case-studies`): </w:t>
      </w:r>
      <w:r>
        <w:rPr>
          <w:rFonts w:ascii="Calibri" w:hAnsi="Calibri"/>
          <w:color w:val="334155"/>
          <w:sz w:val="21"/>
        </w:rPr>
        <w:t>Real-world customer success studies across SaaS, E-Commerce, and Agency verticals demonstrating +340% citation growth.</w:t>
      </w:r>
    </w:p>
    <w:p>
      <w:pPr>
        <w:pStyle w:val="ListBullet"/>
        <w:spacing w:after="80" w:line="276" w:lineRule="auto"/>
      </w:pPr>
      <w:r>
        <w:rPr>
          <w:rFonts w:ascii="Calibri" w:hAnsi="Calibri"/>
          <w:b/>
          <w:color w:val="1E293B"/>
          <w:sz w:val="21"/>
        </w:rPr>
        <w:t xml:space="preserve">Blog &amp; Knowledge Base (`/blog`): </w:t>
      </w:r>
      <w:r>
        <w:rPr>
          <w:rFonts w:ascii="Calibri" w:hAnsi="Calibri"/>
          <w:color w:val="334155"/>
          <w:sz w:val="21"/>
        </w:rPr>
        <w:t>Articles covering AEO best practices, llms.txt implementation guides, and GEO strategies.</w:t>
      </w:r>
    </w:p>
    <w:p>
      <w:pPr>
        <w:pStyle w:val="ListBullet"/>
        <w:spacing w:after="80" w:line="276" w:lineRule="auto"/>
      </w:pPr>
      <w:r>
        <w:rPr>
          <w:rFonts w:ascii="Calibri" w:hAnsi="Calibri"/>
          <w:b/>
          <w:color w:val="1E293B"/>
          <w:sz w:val="21"/>
        </w:rPr>
        <w:t xml:space="preserve">Responsible AI (`/responsible-ai`): </w:t>
      </w:r>
      <w:r>
        <w:rPr>
          <w:rFonts w:ascii="Calibri" w:hAnsi="Calibri"/>
          <w:color w:val="334155"/>
          <w:sz w:val="21"/>
        </w:rPr>
        <w:t>Policy document detailing ethical AI auditing, zero fabricated data commitments, and crawler respect.</w:t>
      </w:r>
    </w:p>
    <w:p>
      <w:pPr>
        <w:pStyle w:val="ListBullet"/>
        <w:spacing w:after="80" w:line="276" w:lineRule="auto"/>
      </w:pPr>
      <w:r>
        <w:rPr>
          <w:rFonts w:ascii="Calibri" w:hAnsi="Calibri"/>
          <w:b/>
          <w:color w:val="1E293B"/>
          <w:sz w:val="21"/>
        </w:rPr>
        <w:t xml:space="preserve">Security &amp; Privacy (`/security`, `/privacy`, `/terms`): </w:t>
      </w:r>
      <w:r>
        <w:rPr>
          <w:rFonts w:ascii="Calibri" w:hAnsi="Calibri"/>
          <w:color w:val="334155"/>
          <w:sz w:val="21"/>
        </w:rPr>
        <w:t>Enterprise security posture, GDPR/CCPA compliance, encryption at rest, and Terms of Service.</w:t>
      </w:r>
    </w:p>
    <w:p>
      <w:pPr>
        <w:pStyle w:val="ListBullet"/>
        <w:spacing w:after="80" w:line="276" w:lineRule="auto"/>
      </w:pPr>
      <w:r>
        <w:rPr>
          <w:rFonts w:ascii="Calibri" w:hAnsi="Calibri"/>
          <w:b/>
          <w:color w:val="1E293B"/>
          <w:sz w:val="21"/>
        </w:rPr>
        <w:t xml:space="preserve">Docs &amp; API Reference (`/docs`, `/api-reference`): </w:t>
      </w:r>
      <w:r>
        <w:rPr>
          <w:rFonts w:ascii="Calibri" w:hAnsi="Calibri"/>
          <w:color w:val="334155"/>
          <w:sz w:val="21"/>
        </w:rPr>
        <w:t>Developer documentation for integrating AEO-GEO analytics into enterprise CI/CD pipelines.</w:t>
      </w:r>
    </w:p>
    <w:p>
      <w:pPr>
        <w:pStyle w:val="ListBullet"/>
        <w:spacing w:after="80" w:line="276" w:lineRule="auto"/>
      </w:pPr>
      <w:r>
        <w:rPr>
          <w:rFonts w:ascii="Calibri" w:hAnsi="Calibri"/>
          <w:b/>
          <w:color w:val="1E293B"/>
          <w:sz w:val="21"/>
        </w:rPr>
        <w:t xml:space="preserve">Support &amp; Contact (`/help`, `/contact`): </w:t>
      </w:r>
      <w:r>
        <w:rPr>
          <w:rFonts w:ascii="Calibri" w:hAnsi="Calibri"/>
          <w:color w:val="334155"/>
          <w:sz w:val="21"/>
        </w:rPr>
        <w:t>Customer support portal, ticket submission, and live status dashboard (`/status`).</w:t>
      </w:r>
    </w:p>
    <w:p>
      <w:pPr>
        <w:pStyle w:val="Heading1"/>
        <w:keepNext/>
        <w:spacing w:before="280" w:after="120"/>
      </w:pPr>
      <w:r>
        <w:rPr>
          <w:b/>
          <w:color w:val="0F172A"/>
          <w:sz w:val="40"/>
        </w:rPr>
        <w:t>8. Commercial Tiering &amp; Pricing Structure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tcPr>
          <w:p>
            <w:pPr>
              <w:spacing w:after="0"/>
              <w:jc w:val="left"/>
            </w:pPr>
            <w:r>
              <w:rPr>
                <w:rFonts w:ascii="Calibri" w:hAnsi="Calibri"/>
                <w:b/>
                <w:color w:val="FFFFFF"/>
                <w:sz w:val="20"/>
              </w:rPr>
              <w:t>Plan Tier</w:t>
            </w:r>
          </w:p>
        </w:tc>
        <w:tc>
          <w:tcPr>
            <w:tcW w:type="dxa" w:w="1728"/>
            <w:shd w:fill="0F172A"/>
            <w:tcMar>
              <w:top w:w="120" w:type="dxa"/>
              <w:bottom w:w="120" w:type="dxa"/>
              <w:left w:w="140" w:type="dxa"/>
              <w:right w:w="140" w:type="dxa"/>
            </w:tcMar>
          </w:tcPr>
          <w:p>
            <w:pPr>
              <w:spacing w:after="0"/>
              <w:jc w:val="left"/>
            </w:pPr>
            <w:r>
              <w:rPr>
                <w:rFonts w:ascii="Calibri" w:hAnsi="Calibri"/>
                <w:b/>
                <w:color w:val="FFFFFF"/>
                <w:sz w:val="20"/>
              </w:rPr>
              <w:t>Monthly Price</w:t>
            </w:r>
          </w:p>
        </w:tc>
        <w:tc>
          <w:tcPr>
            <w:tcW w:type="dxa" w:w="1872"/>
            <w:shd w:fill="0F172A"/>
            <w:tcMar>
              <w:top w:w="120" w:type="dxa"/>
              <w:bottom w:w="120" w:type="dxa"/>
              <w:left w:w="140" w:type="dxa"/>
              <w:right w:w="140" w:type="dxa"/>
            </w:tcMar>
          </w:tcPr>
          <w:p>
            <w:pPr>
              <w:spacing w:after="0"/>
              <w:jc w:val="left"/>
            </w:pPr>
            <w:r>
              <w:rPr>
                <w:rFonts w:ascii="Calibri" w:hAnsi="Calibri"/>
                <w:b/>
                <w:color w:val="FFFFFF"/>
                <w:sz w:val="20"/>
              </w:rPr>
              <w:t>Annual (20% Off)</w:t>
            </w:r>
          </w:p>
        </w:tc>
        <w:tc>
          <w:tcPr>
            <w:tcW w:type="dxa" w:w="3600"/>
            <w:shd w:fill="0F172A"/>
            <w:tcMar>
              <w:top w:w="120" w:type="dxa"/>
              <w:bottom w:w="120" w:type="dxa"/>
              <w:left w:w="140" w:type="dxa"/>
              <w:right w:w="140" w:type="dxa"/>
            </w:tcMar>
          </w:tcPr>
          <w:p>
            <w:pPr>
              <w:spacing w:after="0"/>
              <w:jc w:val="left"/>
            </w:pPr>
            <w:r>
              <w:rPr>
                <w:rFonts w:ascii="Calibri" w:hAnsi="Calibri"/>
                <w:b/>
                <w:color w:val="FFFFFF"/>
                <w:sz w:val="20"/>
              </w:rPr>
              <w:t>Included Limits &amp; Capabilities</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Starter Plan</w:t>
            </w:r>
          </w:p>
        </w:tc>
        <w:tc>
          <w:tcPr>
            <w:tcW w:type="dxa" w:w="1728"/>
            <w:shd w:fill="FFFFFF"/>
            <w:tcMar>
              <w:top w:w="100" w:type="dxa"/>
              <w:bottom w:w="100" w:type="dxa"/>
              <w:left w:w="140" w:type="dxa"/>
              <w:right w:w="140" w:type="dxa"/>
            </w:tcMar>
          </w:tcPr>
          <w:p>
            <w:pPr>
              <w:spacing w:after="0" w:line="276" w:lineRule="auto"/>
            </w:pPr>
            <w:r>
              <w:rPr>
                <w:rFonts w:ascii="Calibri" w:hAnsi="Calibri"/>
                <w:color w:val="334155"/>
                <w:sz w:val="19"/>
              </w:rPr>
              <w:t>$39 / mo</w:t>
            </w:r>
          </w:p>
        </w:tc>
        <w:tc>
          <w:tcPr>
            <w:tcW w:type="dxa" w:w="1872"/>
            <w:shd w:fill="FFFFFF"/>
            <w:tcMar>
              <w:top w:w="100" w:type="dxa"/>
              <w:bottom w:w="100" w:type="dxa"/>
              <w:left w:w="140" w:type="dxa"/>
              <w:right w:w="140" w:type="dxa"/>
            </w:tcMar>
          </w:tcPr>
          <w:p>
            <w:pPr>
              <w:spacing w:after="0" w:line="276" w:lineRule="auto"/>
            </w:pPr>
            <w:r>
              <w:rPr>
                <w:rFonts w:ascii="Calibri" w:hAnsi="Calibri"/>
                <w:color w:val="334155"/>
                <w:sz w:val="19"/>
              </w:rPr>
              <w:t>$31 / mo ($374/yr)</w:t>
            </w:r>
          </w:p>
        </w:tc>
        <w:tc>
          <w:tcPr>
            <w:tcW w:type="dxa" w:w="3600"/>
            <w:shd w:fill="FFFFFF"/>
            <w:tcMar>
              <w:top w:w="100" w:type="dxa"/>
              <w:bottom w:w="100" w:type="dxa"/>
              <w:left w:w="140" w:type="dxa"/>
              <w:right w:w="140" w:type="dxa"/>
            </w:tcMar>
          </w:tcPr>
          <w:p>
            <w:pPr>
              <w:spacing w:after="0" w:line="276" w:lineRule="auto"/>
            </w:pPr>
            <w:r>
              <w:rPr>
                <w:rFonts w:ascii="Calibri" w:hAnsi="Calibri"/>
                <w:color w:val="334155"/>
                <w:sz w:val="19"/>
              </w:rPr>
              <w:t>• 1 Tracked Project Domain</w:t>
              <w:br/>
              <w:t>• 25 Prompt Scans / month</w:t>
              <w:br/>
              <w:t>• 4 AI Models (GPT-4o, Gemini, Claude, DeepSeek)</w:t>
              <w:br/>
              <w:t>• Weekly Automated Scans</w:t>
              <w:br/>
              <w:t>• Standard Email Support</w:t>
            </w:r>
          </w:p>
        </w:tc>
      </w:tr>
      <w:tr>
        <w:tc>
          <w:tcPr>
            <w:tcW w:type="dxa" w:w="2160"/>
            <w:shd w:fill="F8FAFC"/>
            <w:tcMar>
              <w:top w:w="100" w:type="dxa"/>
              <w:bottom w:w="100" w:type="dxa"/>
              <w:left w:w="140" w:type="dxa"/>
              <w:right w:w="140" w:type="dxa"/>
            </w:tcMar>
          </w:tcPr>
          <w:p>
            <w:pPr>
              <w:spacing w:after="0" w:line="276" w:lineRule="auto"/>
            </w:pPr>
            <w:r>
              <w:rPr>
                <w:rFonts w:ascii="Calibri" w:hAnsi="Calibri"/>
                <w:b/>
                <w:color w:val="1E293B"/>
                <w:sz w:val="19"/>
              </w:rPr>
              <w:t>Growth Plan (Popular)</w:t>
            </w:r>
          </w:p>
        </w:tc>
        <w:tc>
          <w:tcPr>
            <w:tcW w:type="dxa" w:w="1728"/>
            <w:shd w:fill="F8FAFC"/>
            <w:tcMar>
              <w:top w:w="100" w:type="dxa"/>
              <w:bottom w:w="100" w:type="dxa"/>
              <w:left w:w="140" w:type="dxa"/>
              <w:right w:w="140" w:type="dxa"/>
            </w:tcMar>
          </w:tcPr>
          <w:p>
            <w:pPr>
              <w:spacing w:after="0" w:line="276" w:lineRule="auto"/>
            </w:pPr>
            <w:r>
              <w:rPr>
                <w:rFonts w:ascii="Calibri" w:hAnsi="Calibri"/>
                <w:color w:val="334155"/>
                <w:sz w:val="19"/>
              </w:rPr>
              <w:t>$149 / mo</w:t>
            </w:r>
          </w:p>
        </w:tc>
        <w:tc>
          <w:tcPr>
            <w:tcW w:type="dxa" w:w="1872"/>
            <w:shd w:fill="F8FAFC"/>
            <w:tcMar>
              <w:top w:w="100" w:type="dxa"/>
              <w:bottom w:w="100" w:type="dxa"/>
              <w:left w:w="140" w:type="dxa"/>
              <w:right w:w="140" w:type="dxa"/>
            </w:tcMar>
          </w:tcPr>
          <w:p>
            <w:pPr>
              <w:spacing w:after="0" w:line="276" w:lineRule="auto"/>
            </w:pPr>
            <w:r>
              <w:rPr>
                <w:rFonts w:ascii="Calibri" w:hAnsi="Calibri"/>
                <w:color w:val="334155"/>
                <w:sz w:val="19"/>
              </w:rPr>
              <w:t>$119 / mo ($1,430/yr)</w:t>
            </w:r>
          </w:p>
        </w:tc>
        <w:tc>
          <w:tcPr>
            <w:tcW w:type="dxa" w:w="3600"/>
            <w:shd w:fill="F8FAFC"/>
            <w:tcMar>
              <w:top w:w="100" w:type="dxa"/>
              <w:bottom w:w="100" w:type="dxa"/>
              <w:left w:w="140" w:type="dxa"/>
              <w:right w:w="140" w:type="dxa"/>
            </w:tcMar>
          </w:tcPr>
          <w:p>
            <w:pPr>
              <w:spacing w:after="0" w:line="276" w:lineRule="auto"/>
            </w:pPr>
            <w:r>
              <w:rPr>
                <w:rFonts w:ascii="Calibri" w:hAnsi="Calibri"/>
                <w:color w:val="334155"/>
                <w:sz w:val="19"/>
              </w:rPr>
              <w:t>• 5 Tracked Project Domains</w:t>
              <w:br/>
              <w:t>• 150 Prompt Scans / month</w:t>
              <w:br/>
              <w:t>• All 12 Micro-Tools Unlimited</w:t>
              <w:br/>
              <w:t>• Daily Automated Scans &amp; Alerts</w:t>
              <w:br/>
              <w:t>• Competitor Gap Detector &amp; Content Briefs</w:t>
              <w:br/>
              <w:t>• PDF White-Label Export Engine</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Scale Enterprise</w:t>
            </w:r>
          </w:p>
        </w:tc>
        <w:tc>
          <w:tcPr>
            <w:tcW w:type="dxa" w:w="1728"/>
            <w:shd w:fill="FFFFFF"/>
            <w:tcMar>
              <w:top w:w="100" w:type="dxa"/>
              <w:bottom w:w="100" w:type="dxa"/>
              <w:left w:w="140" w:type="dxa"/>
              <w:right w:w="140" w:type="dxa"/>
            </w:tcMar>
          </w:tcPr>
          <w:p>
            <w:pPr>
              <w:spacing w:after="0" w:line="276" w:lineRule="auto"/>
            </w:pPr>
            <w:r>
              <w:rPr>
                <w:rFonts w:ascii="Calibri" w:hAnsi="Calibri"/>
                <w:color w:val="334155"/>
                <w:sz w:val="19"/>
              </w:rPr>
              <w:t>$399 / mo</w:t>
            </w:r>
          </w:p>
        </w:tc>
        <w:tc>
          <w:tcPr>
            <w:tcW w:type="dxa" w:w="1872"/>
            <w:shd w:fill="FFFFFF"/>
            <w:tcMar>
              <w:top w:w="100" w:type="dxa"/>
              <w:bottom w:w="100" w:type="dxa"/>
              <w:left w:w="140" w:type="dxa"/>
              <w:right w:w="140" w:type="dxa"/>
            </w:tcMar>
          </w:tcPr>
          <w:p>
            <w:pPr>
              <w:spacing w:after="0" w:line="276" w:lineRule="auto"/>
            </w:pPr>
            <w:r>
              <w:rPr>
                <w:rFonts w:ascii="Calibri" w:hAnsi="Calibri"/>
                <w:color w:val="334155"/>
                <w:sz w:val="19"/>
              </w:rPr>
              <w:t>$319 / mo ($3,830/yr)</w:t>
            </w:r>
          </w:p>
        </w:tc>
        <w:tc>
          <w:tcPr>
            <w:tcW w:type="dxa" w:w="3600"/>
            <w:shd w:fill="FFFFFF"/>
            <w:tcMar>
              <w:top w:w="100" w:type="dxa"/>
              <w:bottom w:w="100" w:type="dxa"/>
              <w:left w:w="140" w:type="dxa"/>
              <w:right w:w="140" w:type="dxa"/>
            </w:tcMar>
          </w:tcPr>
          <w:p>
            <w:pPr>
              <w:spacing w:after="0" w:line="276" w:lineRule="auto"/>
            </w:pPr>
            <w:r>
              <w:rPr>
                <w:rFonts w:ascii="Calibri" w:hAnsi="Calibri"/>
                <w:color w:val="334155"/>
                <w:sz w:val="19"/>
              </w:rPr>
              <w:t>• Unlimited Tracked Domains</w:t>
              <w:br/>
              <w:t>• 1,000+ Prompt Scans / month</w:t>
              <w:br/>
              <w:t>• Real-Time Hourly Webhook Alerts</w:t>
              <w:br/>
              <w:t>• Dedicated AEO Account Strategist</w:t>
              <w:br/>
              <w:t>• Custom API &amp; Webhook Access</w:t>
              <w:br/>
              <w:t>• 99.9% SLA &amp; Enterprise Security</w:t>
            </w:r>
          </w:p>
        </w:tc>
      </w:tr>
    </w:tbl>
    <w:p>
      <w:pPr>
        <w:spacing w:after="120"/>
      </w:pPr>
    </w:p>
    <w:p>
      <w:pPr>
        <w:pStyle w:val="Heading1"/>
        <w:keepNext/>
        <w:spacing w:before="280" w:after="120"/>
      </w:pPr>
      <w:r>
        <w:rPr>
          <w:b/>
          <w:color w:val="0F172A"/>
          <w:sz w:val="40"/>
        </w:rPr>
        <w:t>9. Deployment, Environment Configuration &amp; Operational Manual</w:t>
      </w:r>
    </w:p>
    <w:p>
      <w:pPr>
        <w:spacing w:after="120" w:line="276" w:lineRule="auto"/>
      </w:pPr>
      <w:r>
        <w:rPr>
          <w:rFonts w:ascii="Calibri" w:hAnsi="Calibri"/>
          <w:b w:val="0"/>
          <w:i w:val="0"/>
          <w:color w:val="334155"/>
          <w:sz w:val="21"/>
        </w:rPr>
        <w:t>This section outlines the setup, deployment, and configuration requirements for running the TangentCore / Scalezix AEO-GEO platform in production.</w:t>
      </w:r>
    </w:p>
    <w:p>
      <w:pPr>
        <w:pStyle w:val="Heading2"/>
        <w:keepNext/>
        <w:spacing w:before="280" w:after="120"/>
      </w:pPr>
      <w:r>
        <w:rPr>
          <w:b/>
          <w:color w:val="B87333"/>
          <w:sz w:val="30"/>
        </w:rPr>
        <w:t>Environment Variables Configuration (`.env.local`)</w:t>
      </w:r>
    </w:p>
    <w:p>
      <w:pPr>
        <w:pStyle w:val="ListBullet"/>
        <w:spacing w:after="80" w:line="276" w:lineRule="auto"/>
      </w:pPr>
      <w:r>
        <w:rPr>
          <w:rFonts w:ascii="Calibri" w:hAnsi="Calibri"/>
          <w:b/>
          <w:color w:val="1E293B"/>
          <w:sz w:val="21"/>
        </w:rPr>
        <w:t xml:space="preserve">`NEXT_PUBLIC_SUPABASE_URL`: </w:t>
      </w:r>
      <w:r>
        <w:rPr>
          <w:rFonts w:ascii="Calibri" w:hAnsi="Calibri"/>
          <w:color w:val="334155"/>
          <w:sz w:val="21"/>
        </w:rPr>
        <w:t>The REST endpoint URL of the Supabase PostgreSQL project instance.</w:t>
      </w:r>
    </w:p>
    <w:p>
      <w:pPr>
        <w:pStyle w:val="ListBullet"/>
        <w:spacing w:after="80" w:line="276" w:lineRule="auto"/>
      </w:pPr>
      <w:r>
        <w:rPr>
          <w:rFonts w:ascii="Calibri" w:hAnsi="Calibri"/>
          <w:b/>
          <w:color w:val="1E293B"/>
          <w:sz w:val="21"/>
        </w:rPr>
        <w:t xml:space="preserve">`NEXT_PUBLIC_SUPABASE_ANON_KEY`: </w:t>
      </w:r>
      <w:r>
        <w:rPr>
          <w:rFonts w:ascii="Calibri" w:hAnsi="Calibri"/>
          <w:color w:val="334155"/>
          <w:sz w:val="21"/>
        </w:rPr>
        <w:t>The public anonymous client key used for client-side authentication and RLS queries.</w:t>
      </w:r>
    </w:p>
    <w:p>
      <w:pPr>
        <w:pStyle w:val="ListBullet"/>
        <w:spacing w:after="80" w:line="276" w:lineRule="auto"/>
      </w:pPr>
      <w:r>
        <w:rPr>
          <w:rFonts w:ascii="Calibri" w:hAnsi="Calibri"/>
          <w:b/>
          <w:color w:val="1E293B"/>
          <w:sz w:val="21"/>
        </w:rPr>
        <w:t xml:space="preserve">`SUPABASE_SERVICE_ROLE_KEY`: </w:t>
      </w:r>
      <w:r>
        <w:rPr>
          <w:rFonts w:ascii="Calibri" w:hAnsi="Calibri"/>
          <w:color w:val="334155"/>
          <w:sz w:val="21"/>
        </w:rPr>
        <w:t>The administrative secret key used in server-side background routines to bypass RLS when necessary.</w:t>
      </w:r>
    </w:p>
    <w:p>
      <w:pPr>
        <w:pStyle w:val="ListBullet"/>
        <w:spacing w:after="80" w:line="276" w:lineRule="auto"/>
      </w:pPr>
      <w:r>
        <w:rPr>
          <w:rFonts w:ascii="Calibri" w:hAnsi="Calibri"/>
          <w:b/>
          <w:color w:val="1E293B"/>
          <w:sz w:val="21"/>
        </w:rPr>
        <w:t xml:space="preserve">`OPENROUTER_API_KEY`: </w:t>
      </w:r>
      <w:r>
        <w:rPr>
          <w:rFonts w:ascii="Calibri" w:hAnsi="Calibri"/>
          <w:color w:val="334155"/>
          <w:sz w:val="21"/>
        </w:rPr>
        <w:t>The primary multi-model gateway API key used to query GPT-4o, Gemini 2.5 Flash, Claude Sonnet 4, Sonar Pro, and DeepSeek.</w:t>
      </w:r>
    </w:p>
    <w:p>
      <w:pPr>
        <w:pStyle w:val="ListBullet"/>
        <w:spacing w:after="80" w:line="276" w:lineRule="auto"/>
      </w:pPr>
      <w:r>
        <w:rPr>
          <w:rFonts w:ascii="Calibri" w:hAnsi="Calibri"/>
          <w:b/>
          <w:color w:val="1E293B"/>
          <w:sz w:val="21"/>
        </w:rPr>
        <w:t xml:space="preserve">`NEXT_PUBLIC_APP_URL`: </w:t>
      </w:r>
      <w:r>
        <w:rPr>
          <w:rFonts w:ascii="Calibri" w:hAnsi="Calibri"/>
          <w:color w:val="334155"/>
          <w:sz w:val="21"/>
        </w:rPr>
        <w:t>The public domain URL (e.g. `https://tangentcore.in` or `https://aeogeo.expert`) for OpenRouter HTTP-Referer headers.</w:t>
      </w:r>
    </w:p>
    <w:p>
      <w:pPr>
        <w:pStyle w:val="Heading2"/>
        <w:keepNext/>
        <w:spacing w:before="280" w:after="120"/>
      </w:pPr>
      <w:r>
        <w:rPr>
          <w:b/>
          <w:color w:val="B87333"/>
          <w:sz w:val="30"/>
        </w:rPr>
        <w:t>Database Migration Procedure</w:t>
      </w:r>
    </w:p>
    <w:p>
      <w:pPr>
        <w:spacing w:after="120" w:line="276" w:lineRule="auto"/>
      </w:pPr>
      <w:r>
        <w:rPr>
          <w:rFonts w:ascii="Calibri" w:hAnsi="Calibri"/>
          <w:b w:val="0"/>
          <w:i w:val="0"/>
          <w:color w:val="334155"/>
          <w:sz w:val="21"/>
        </w:rPr>
        <w:t>To initialize the Supabase schema in a new environment, execute `schema.sql` via the Supabase SQL Editor, or run the Node migration helper script:</w:t>
      </w:r>
    </w:p>
    <w:p>
      <w:pPr>
        <w:pStyle w:val="ListBullet"/>
        <w:spacing w:after="80" w:line="276" w:lineRule="auto"/>
      </w:pPr>
      <w:r>
        <w:rPr>
          <w:rFonts w:ascii="Calibri" w:hAnsi="Calibri"/>
          <w:b/>
          <w:color w:val="1E293B"/>
          <w:sz w:val="21"/>
        </w:rPr>
        <w:t xml:space="preserve">Command: </w:t>
      </w:r>
      <w:r>
        <w:rPr>
          <w:rFonts w:ascii="Calibri" w:hAnsi="Calibri"/>
          <w:color w:val="334155"/>
          <w:sz w:val="21"/>
        </w:rPr>
        <w:t>`node apply-schema.js` (Executes PostgreSQL DDL statements using the pg driver).</w:t>
      </w:r>
    </w:p>
    <w:p>
      <w:pPr>
        <w:pStyle w:val="Heading2"/>
        <w:keepNext/>
        <w:spacing w:before="280" w:after="120"/>
      </w:pPr>
      <w:r>
        <w:rPr>
          <w:b/>
          <w:color w:val="B87333"/>
          <w:sz w:val="30"/>
        </w:rPr>
        <w:t>Serverless Execution Timeout Handling</w:t>
      </w:r>
    </w:p>
    <w:p>
      <w:pPr>
        <w:spacing w:after="120" w:line="276" w:lineRule="auto"/>
      </w:pPr>
      <w:r>
        <w:rPr>
          <w:rFonts w:ascii="Calibri" w:hAnsi="Calibri"/>
          <w:b w:val="0"/>
          <w:i w:val="0"/>
          <w:color w:val="334155"/>
          <w:sz w:val="21"/>
        </w:rPr>
        <w:t>Because live multi-model querying involves parallel network dispatches to 4 different AI providers, the main analysis route handler explicitly sets `export const maxDuration = 120;` to leverage Vercel's extended serverless timeout limits and avoid execution aborts.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