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A97E4D">
      <w:pPr>
        <w:rPr>
          <w:rFonts w:ascii="Times New Roman" w:hAnsi="Times New Roman"/>
        </w:rPr>
      </w:pPr>
      <w:bookmarkStart w:id="4" w:name="_GoBack"/>
      <w:bookmarkEnd w:id="4"/>
      <w:bookmarkStart w:id="0" w:name="_Hlk228386892"/>
    </w:p>
    <w:tbl>
      <w:tblPr>
        <w:tblStyle w:val="18"/>
        <w:tblW w:w="0" w:type="auto"/>
        <w:jc w:val="center"/>
        <w:tblCellSpacing w:w="11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0661"/>
      </w:tblGrid>
      <w:tr w14:paraId="0EB3234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56" w:hRule="atLeast"/>
          <w:tblCellSpacing w:w="11" w:type="dxa"/>
          <w:jc w:val="center"/>
        </w:trPr>
        <w:tc>
          <w:tcPr>
            <w:tcW w:w="0" w:type="auto"/>
            <w:tcBorders>
              <w:top w:val="single" w:color="auto" w:sz="2" w:space="0"/>
              <w:bottom w:val="single" w:color="auto" w:sz="8" w:space="0"/>
            </w:tcBorders>
            <w:vAlign w:val="center"/>
          </w:tcPr>
          <w:p w14:paraId="010644E7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创</w:t>
            </w:r>
          </w:p>
          <w:p w14:paraId="688E0E02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 w14:paraId="2CBC567E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意</w:t>
            </w:r>
          </w:p>
          <w:p w14:paraId="504EF710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 w14:paraId="0069121C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策</w:t>
            </w:r>
          </w:p>
          <w:p w14:paraId="59E861DC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 w14:paraId="42FF1CC6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划</w:t>
            </w:r>
          </w:p>
          <w:p w14:paraId="4FFFB6B7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 w14:paraId="20115BB4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方</w:t>
            </w:r>
          </w:p>
          <w:p w14:paraId="54F7DE55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</w:p>
          <w:p w14:paraId="441949D5">
            <w:pPr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53BB59F8">
            <w:pPr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bookmarkStart w:id="1" w:name="OLE_LINK4"/>
            <w:bookmarkStart w:id="2" w:name="OLE_LINK2"/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一、摘要</w:t>
            </w:r>
          </w:p>
          <w:p w14:paraId="4AC4F340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针对东北黑土地保护的国家战略需求，以及传统黑土地监测存在的人工巡查效率低、光学遥感解译精度不足、数据与治理脱节等核心痛点，本项目设计了一套基于人工智能的卫星遥感动态变化监测系统，构建“天空地一体化光学遥感采集+AI智能解译+可视化决策支撑”的完整技术闭环。系统以国产GF-2亚米级光学遥感卫星与无人机航拍影像为核心数据源，以改进BIT双时相Transformer模型为算法核心，搭配ResNet骨干网络实现高分辨率影像的多尺度特征提取，同时开发了前后端分离的轻量化可视化系统，支持批量影像处理、变化检测、结果可视化与一键生成分析报告。经试点验证，系统对黑土地变化识别精确率达70%，算力成本降低69%，监测周期缩短33%，已在黑龙江松嫩平原完成落地应用，可为黑土地常态化保护与精细化治理提供高效、自主可控的光电监测技术支撑，助力保障国家粮食安全。</w:t>
            </w:r>
          </w:p>
          <w:p w14:paraId="2C7EC569">
            <w:pPr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二、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项目概况与核心组成</w:t>
            </w:r>
          </w:p>
          <w:p w14:paraId="16681275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黑体"/>
                <w:sz w:val="28"/>
                <w:szCs w:val="28"/>
              </w:rPr>
              <w:t>.项目总体目标</w:t>
            </w:r>
          </w:p>
          <w:p w14:paraId="3198C6A8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本项目面向黑土地保护“精准治理”的现实需求，以“天空地一体化监测+AI智能解译”为核心，开发一套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土地光学遥感变化检测智能系统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，实现黑土地退化的自动化识别、可视化分析与辅助决策，构建“数据采集—智能检测—分析决策”的完整技术闭环，为黑土地保护提供高效、精准的科技支撑。</w:t>
            </w:r>
          </w:p>
          <w:p w14:paraId="4D09DEB1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2.项目核心组成部分</w:t>
            </w:r>
          </w:p>
          <w:p w14:paraId="38650354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（1）AI算法核心：基于Transformer的深度学习模型</w:t>
            </w:r>
          </w:p>
          <w:p w14:paraId="163D7FF1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以BIT（BipartiteTransformer）深度学习模型为算法核心，针对黑土地遥感影像的特征进行优化训练，实现对侵蚀沟、植被覆盖变化、土地利用变化等关键退化信息的高精度、自动化检测，解决传统人工解译效率低、主观性强的问题。</w:t>
            </w:r>
          </w:p>
          <w:p w14:paraId="5061EC88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（2）多源数据支撑：“天空地”一体化光学遥感采集</w:t>
            </w:r>
          </w:p>
          <w:p w14:paraId="57BC0F25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以高分辨率光学遥感影像为核心数据源，构建多平台协同采集体系：</w:t>
            </w:r>
          </w:p>
          <w:p w14:paraId="649DF44D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卫星端：支持GF-2等国产高分辨率卫星的批量数据处理，实现大范围周期性的黑土区动态监测；</w:t>
            </w:r>
          </w:p>
          <w:p w14:paraId="1AB22376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无人机端：完成算法的机载适配，支持野外现场快速检测，弥补卫星数据重访周期长、受天气影响大的短板，实现重点区域的精细化核查。</w:t>
            </w:r>
          </w:p>
          <w:p w14:paraId="3F073883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（3）可视化智能系统：全流程闭环应用开发</w:t>
            </w:r>
          </w:p>
          <w:tbl>
            <w:tblPr>
              <w:tblStyle w:val="18"/>
              <w:tblW w:w="0" w:type="auto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00"/>
            </w:tblGrid>
            <w:tr w14:paraId="7CA7CEA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500" w:type="dxa"/>
                </w:tcPr>
                <w:p w14:paraId="130FE0D8">
                  <w:pPr>
                    <w:keepNext/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4303395" cy="1828165"/>
                        <wp:effectExtent l="0" t="0" r="1905" b="635"/>
                        <wp:docPr id="1986416363" name="图片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6416363" name="图片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6420" cy="18678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3317D7B">
                  <w:pPr>
                    <w:pStyle w:val="6"/>
                    <w:spacing w:line="360" w:lineRule="auto"/>
                    <w:ind w:firstLine="2400" w:firstLineChars="1000"/>
                    <w:rPr>
                      <w:rFonts w:ascii="Times New Roman" w:hAnsi="Times New Roman" w:eastAsia="宋体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图</w: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instrText xml:space="preserve"> SEQ 图表 \* ARABIC </w:instrTex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黑土地智能监测系统核心功能界面展示</w:t>
                  </w:r>
                </w:p>
              </w:tc>
            </w:tr>
          </w:tbl>
          <w:p w14:paraId="2587C4A1">
            <w:pPr>
              <w:pStyle w:val="37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开发并测试了一套可视化智能系统，集成了从数据处理到结果输出的全流程功能：</w:t>
            </w:r>
          </w:p>
          <w:p w14:paraId="648F21F6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支持单张/批量遥感影像变化检测；</w:t>
            </w:r>
          </w:p>
          <w:p w14:paraId="6216D386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提供结果可视化展示、AI智能解译与一键生成分析报告的功能；</w:t>
            </w:r>
          </w:p>
          <w:p w14:paraId="20BDB0DF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实现从数据输入到决策支撑的自动化流程，降低用户使用门槛，提升监测效率。</w:t>
            </w:r>
          </w:p>
          <w:p w14:paraId="283711C9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项</w:t>
            </w:r>
          </w:p>
          <w:p w14:paraId="63B21D64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1.现状数据调研：黑土地退化问题的量化验证</w:t>
            </w:r>
          </w:p>
          <w:p w14:paraId="431E6935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为精准把握黑土地保护的现实痛点，项目针对黑龙江黑土区开展了专项调研，数据结果如下图所示：</w:t>
            </w:r>
          </w:p>
          <w:tbl>
            <w:tblPr>
              <w:tblStyle w:val="18"/>
              <w:tblW w:w="0" w:type="auto"/>
              <w:tblCellSpacing w:w="11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465"/>
            </w:tblGrid>
            <w:tr w14:paraId="05E071F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9421" w:type="dxa"/>
                </w:tcPr>
                <w:p w14:paraId="00B6F4F8">
                  <w:pPr>
                    <w:spacing w:line="360" w:lineRule="auto"/>
                    <w:jc w:val="center"/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2524125" cy="1154430"/>
                        <wp:effectExtent l="0" t="0" r="0" b="7620"/>
                        <wp:docPr id="746125636" name="图片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6125636" name="图片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64073" cy="11728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F7B14BF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调研结果显示，黑龙江黑土区退化形势严峻：</w:t>
            </w:r>
          </w:p>
          <w:p w14:paraId="4FD7B770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黑土层平均减薄厚度达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6.83cm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，远超自然侵蚀速度；</w:t>
            </w:r>
          </w:p>
          <w:p w14:paraId="21A51DC1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土壤有机质含量下降占比达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52.5%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，近半数耕地出现明显肥力衰退；</w:t>
            </w:r>
          </w:p>
          <w:p w14:paraId="56733553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水土流失问题突出，占比达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24.4%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，侵蚀沟扩张对耕地造成直接破坏。</w:t>
            </w:r>
          </w:p>
          <w:p w14:paraId="1CD1A48B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这些量化数据，直观印证了黑土地“变薄、变瘦、变硬”的严峻趋势，也凸显了传统监测手段滞后、无法支撑精细化治理的短板，为本项目的研发提供了明确的现实依据。</w:t>
            </w:r>
          </w:p>
          <w:p w14:paraId="31A237D9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2.多方需求调研：明确项目落地的实际场景</w:t>
            </w:r>
          </w:p>
          <w:p w14:paraId="37454105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为确保项目成果可落地、可推广，项目同步开展了多渠道需求调研：</w:t>
            </w:r>
          </w:p>
          <w:p w14:paraId="76DC37B4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000000"/>
                <w:kern w:val="0"/>
                <w:sz w:val="24"/>
                <w:szCs w:val="24"/>
              </w:rPr>
              <w:t>①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问卷调查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：面向农户、基层农技人员、土地管理部门发放问卷，了解一线监测的痛点：人工巡查效率低、数据更新慢、分析成本高，亟需一套自动化、可视化的智能监测工具。</w:t>
            </w:r>
          </w:p>
          <w:p w14:paraId="7951DAE4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000000"/>
                <w:kern w:val="0"/>
                <w:sz w:val="24"/>
                <w:szCs w:val="24"/>
              </w:rPr>
              <w:t>②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企业走访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：走访农业科技企业与土地治理相关单位，了解现有监测技术的应用现状，明确了系统需支持“卫星+无人机”多源数据处理、批量检测、一键生成报告等核心需求。</w:t>
            </w:r>
          </w:p>
          <w:p w14:paraId="54474940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通过现状数据与多方需求的双重调研，项目明确了“以AI遥感监测为核心，打造全流程可视化智能系统”的技术路线，确保项目成果真正贴合一线应用场景，解决实际问题。</w:t>
            </w:r>
          </w:p>
          <w:p w14:paraId="605BE14A">
            <w:pPr>
              <w:pStyle w:val="2"/>
              <w:jc w:val="center"/>
              <w:rPr>
                <w:rFonts w:ascii="Times New Roman" w:hAnsi="Times New Roman" w:eastAsia="黑体"/>
                <w:sz w:val="32"/>
                <w:szCs w:val="32"/>
              </w:rPr>
            </w:pPr>
            <w:r>
              <w:rPr>
                <w:rFonts w:ascii="Times New Roman" w:hAnsi="Times New Roman" w:eastAsia="黑体"/>
                <w:sz w:val="32"/>
                <w:szCs w:val="32"/>
              </w:rPr>
              <w:t>三、项目背景与政策</w:t>
            </w:r>
          </w:p>
          <w:p w14:paraId="36E37436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1.现实背景：黑土地退化危机与传统监测短板</w:t>
            </w:r>
          </w:p>
          <w:p w14:paraId="1B50227E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东北黑土地是我国重要的商品粮基地，承担着保障国家粮食安全的核心使命。然而，长期高强度利用与不合理耕作，叠加自然侵蚀，导致黑土地出现严重退化问题：黑土层年均流失0.5-1厘米，部分区域耕作层不足20厘米；土壤有机质含量较开垦初期下降30%-50%；长期翻耕与机械碾压造成土壤板结，保水保肥能力大幅下降，呈现“变薄、变瘦、变硬”的趋势。与此同时，传统黑土地监测手段存在明显短板：人工巡查成本高、周期长、覆盖范围有限；常规遥感监测精度低、伪变化多、误判率高；多源数据存在“孤岛”现象，难以形成“监测—预警—治理”的完整闭环，无法满足黑土地保护“早发现、早预警、早治理”的现实需求，亟需构建一套天空地一体化、智能化、低成本的精准监测体系。</w:t>
            </w:r>
          </w:p>
          <w:p w14:paraId="6C4807F9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2.政策背景：国家顶层设计提供刚性支撑</w:t>
            </w:r>
          </w:p>
          <w:p w14:paraId="2266D13F">
            <w:pPr>
              <w:pStyle w:val="49"/>
              <w:ind w:firstLine="482" w:firstLineChars="200"/>
              <w:rPr>
                <w:rFonts w:ascii="Times New Roman" w:hAnsi="Times New Roman" w:eastAsia="宋体"/>
              </w:rPr>
            </w:pPr>
            <w:r>
              <w:rPr>
                <w:rFonts w:ascii="Times New Roman" w:hAnsi="Times New Roman" w:eastAsia="宋体"/>
              </w:rPr>
              <w:t>为应对黑土地退化危机，国家出台了一系列法律法规与重大政策，为本项目提供了明确的导向与坚实的依据：</w:t>
            </w:r>
          </w:p>
          <w:p w14:paraId="5D76260B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28"/>
                <w:szCs w:val="28"/>
              </w:rPr>
              <w:t>（</w:t>
            </w: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1）核心法律保障：</w:t>
            </w:r>
          </w:p>
          <w:p w14:paraId="189E4AC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2022年正式施行的《中华人民共和国黑土地保护法》，首次为特定土地类型制定专门法律，明确将黑龙江、吉林、辽宁、内蒙古四省区黑土耕地纳入法定保护对象，确立“因地制宜、用养结合、近期与远期目标结合”的基本原则，要求黑土地优先用于粮食、作物、蔬菜等农产品生产，除确无法修复的区域外，原则上全部纳入保护修复范围，为黑土地的系统性治理划定了法治红线。</w:t>
            </w:r>
          </w:p>
          <w:p w14:paraId="0BA701B8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（2）重大工程支撑：</w:t>
            </w:r>
          </w:p>
          <w:p w14:paraId="20F9B262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《国家黑土地保护工程实施方案（2021—2025年）》明确提出，到“十四五”末实现土壤有机质平均提高10%以上，有效遏制黑土地退化趋势，重点支持天空地立体监测、精准监管、数字化治理技术研发与应用，与本项目的技术路线高度契合。</w:t>
            </w:r>
          </w:p>
          <w:p w14:paraId="263D1878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（3）配套政策推动：</w:t>
            </w:r>
          </w:p>
          <w:p w14:paraId="0E2674F6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《东北黑土地保护性耕作行动计划（2020—2025年）》大力推广免耕少耕、秸秆还田等保护性耕作技术，国家重点研发计划也持续支持黑土地立体监测、智能诊断、精准管控技术的研发与落地，为项目实施提供了政策与资金层面的双重保障。</w:t>
            </w:r>
          </w:p>
          <w:tbl>
            <w:tblPr>
              <w:tblStyle w:val="18"/>
              <w:tblW w:w="0" w:type="auto"/>
              <w:tblCellSpacing w:w="11" w:type="dxa"/>
              <w:tblInd w:w="72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783"/>
              <w:gridCol w:w="4783"/>
            </w:tblGrid>
            <w:tr w14:paraId="3DAFD7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4750" w:type="dxa"/>
                </w:tcPr>
                <w:p w14:paraId="7461BBCF">
                  <w:pPr>
                    <w:keepNext/>
                    <w:spacing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drawing>
                      <wp:inline distT="0" distB="0" distL="0" distR="0">
                        <wp:extent cx="2333625" cy="966470"/>
                        <wp:effectExtent l="0" t="0" r="9525" b="5080"/>
                        <wp:docPr id="513331809" name="图片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13331809" name="图片 1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duotone>
                                    <a:prstClr val="black"/>
                                    <a:srgbClr val="D9C3A5">
                                      <a:tint val="50000"/>
                                      <a:satMod val="180000"/>
                                    </a:srgbClr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23196" cy="10034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6EE81D">
                  <w:pPr>
                    <w:pStyle w:val="6"/>
                    <w:spacing w:line="360" w:lineRule="auto"/>
                    <w:rPr>
                      <w:rFonts w:ascii="Times New Roman" w:hAnsi="Times New Roman" w:eastAsia="宋体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图</w: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instrText xml:space="preserve"> SEQ 图表 \* ARABIC </w:instrTex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东北黑土区保护性耕作面积变化</w:t>
                  </w:r>
                </w:p>
                <w:p w14:paraId="0DCB7A61">
                  <w:pPr>
                    <w:pStyle w:val="6"/>
                    <w:spacing w:line="360" w:lineRule="auto"/>
                    <w:ind w:firstLine="720" w:firstLineChars="300"/>
                    <w:rPr>
                      <w:rFonts w:ascii="Times New Roman" w:hAnsi="Times New Roman" w:eastAsia="宋体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（2020-2025年）</w:t>
                  </w:r>
                </w:p>
              </w:tc>
              <w:tc>
                <w:tcPr>
                  <w:tcW w:w="4750" w:type="dxa"/>
                </w:tcPr>
                <w:p w14:paraId="5222868C">
                  <w:pPr>
                    <w:keepNext/>
                    <w:spacing w:line="36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drawing>
                      <wp:inline distT="0" distB="0" distL="0" distR="0">
                        <wp:extent cx="2202815" cy="956945"/>
                        <wp:effectExtent l="0" t="0" r="6985" b="0"/>
                        <wp:docPr id="1200473898" name="图片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0473898" name="图片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20055" cy="964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E19F79">
                  <w:pPr>
                    <w:pStyle w:val="6"/>
                    <w:spacing w:line="360" w:lineRule="auto"/>
                    <w:rPr>
                      <w:rFonts w:ascii="Times New Roman" w:hAnsi="Times New Roman" w:eastAsia="宋体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图</w: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begin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instrText xml:space="preserve"> SEQ 图表 \* ARABIC </w:instrTex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separate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fldChar w:fldCharType="end"/>
                  </w:r>
                  <w:r>
                    <w:rPr>
                      <w:rFonts w:ascii="Times New Roman" w:hAnsi="Times New Roman" w:eastAsia="宋体"/>
                      <w:sz w:val="24"/>
                      <w:szCs w:val="24"/>
                    </w:rPr>
                    <w:t>东北主要粮食作物调出价值变化（2002-2022年）</w:t>
                  </w:r>
                </w:p>
              </w:tc>
            </w:tr>
          </w:tbl>
          <w:p w14:paraId="1DDABFF5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3.成效与需求：保护成效凸显，精准监测需求升级</w:t>
            </w:r>
          </w:p>
          <w:p w14:paraId="6C02DB7D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在一系列政策推动下，东北黑土地保护工作已取得阶段性成效：一方面，黑土区保护性耕作面积持续扩大，从2023年到2025年呈现稳步增长态势，免耕少耕等模式得到广泛推广；另一方面，2002年至2022年间，东北主要粮食作物调出价值从不足500亿元增长至近3000亿元，印证了黑土地保护与粮食产能提升的协同效应，体现了黑土地作为国家粮食安全“压舱石”的关键作用。</w:t>
            </w:r>
          </w:p>
          <w:p w14:paraId="44AB412C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当前，黑土地保护已进入“依法治土、精准治理”的新阶段，对监测技术的精准性、实时性、低成本性提出了更高要求。本项目聚焦黑土地保护的精准监测需求，正是为了进一步落实《黑土地保护法》及相关政策要求，通过智能化技术破解传统监测短板，助力实现黑土地“总量不减少、功能不退化、质量有提升、产能可持续”的保护目标，为国家粮食安全提供坚实的科技支撑。</w:t>
            </w:r>
          </w:p>
          <w:p w14:paraId="648C364D">
            <w:pPr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四、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项目痛点</w:t>
            </w: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——传统监测体系的四大核心短板</w:t>
            </w:r>
          </w:p>
          <w:p w14:paraId="720C152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结合黑土地保护的一线调研与行业现状分析，当前黑土地监测治理工作仍面临四大核心痛点，直接制约了保护工作的精准性与高效性：</w:t>
            </w:r>
          </w:p>
          <w:p w14:paraId="5493F8DE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1、传统人工监管效率低下</w:t>
            </w:r>
          </w:p>
          <w:p w14:paraId="4BBF40FA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传统黑土地监管多依赖人工实地巡查方式，整体作业效率低下。人工巡查不仅人力、时间成本高昂，巡查周期偏长、巡查范围有限，存在监管覆盖不全面、巡查盲区多等问题，难以实现黑土区大范围、全天候、常态化的动态监测与全域巡查。同时人工排查响应速度慢，数据记录与反馈存在滞后性，无法及时捕捉黑土地侵蚀、地力下降、违规侵占等退化问题，难以满足黑土地保护治理工作中“早发现、早预警、早治理”的核心管控需求，严重制约黑土地长效保护工作推进。</w:t>
            </w:r>
          </w:p>
          <w:p w14:paraId="032C98FB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2、传统遥感监测精度不足、成本高昂</w:t>
            </w:r>
          </w:p>
          <w:p w14:paraId="60F586B6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现阶段常规遥感监测技术手段存在明显短板，普遍存在空间分辨率有限、监测精度不足的问题，易受云层、植被物候、光照环境等外界因素干扰，产生大量伪变化、误判及漏判现象，监测数据可靠性不足。同时，高精度、高分辨率遥感影像数据采购与获取费用昂贵，整体监测投入成本居高不下，难以长期大面积普及应用。该模式无法适配黑土地保护的精细化管理要求，难以开展地块尺度的常态化精准监测，不能快速、精准识别区域内侵蚀沟发育、水土流失、土壤有机质流失、耕地违规破坏等黑土地关键退化问题，严重制约黑土地精细化监管与科学防护工作落地实施。</w:t>
            </w:r>
          </w:p>
          <w:p w14:paraId="463DD06E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3、深度学习模型泛化能力弱</w:t>
            </w:r>
          </w:p>
          <w:p w14:paraId="4C71F469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现有模型对复杂场景的变化误判率高，难以有效区分真实土地退化与季节性植被变化、光照变化等干扰因素，检测结果可靠性不足，无法直接用于指导治理决策。</w:t>
            </w:r>
          </w:p>
          <w:tbl>
            <w:tblPr>
              <w:tblStyle w:val="18"/>
              <w:tblW w:w="0" w:type="auto"/>
              <w:tblCellSpacing w:w="11" w:type="dxa"/>
              <w:tblInd w:w="72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465"/>
            </w:tblGrid>
            <w:tr w14:paraId="667FFC8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9421" w:type="dxa"/>
                </w:tcPr>
                <w:p w14:paraId="4ABA41ED">
                  <w:pPr>
                    <w:spacing w:line="360" w:lineRule="auto"/>
                    <w:jc w:val="center"/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3500755" cy="1618615"/>
                        <wp:effectExtent l="0" t="0" r="4445" b="635"/>
                        <wp:docPr id="110172318" name="图片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172318" name="图片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07004" cy="16213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16A7304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4、数据应用脱节，难以形成治理闭环</w:t>
            </w:r>
          </w:p>
          <w:p w14:paraId="2BCB368C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当前黑土地保护各类多源监测数据分散存储、独立管理，部门之间数据共享不畅，普遍存在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信息孤岛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现象。各类监测数据缺乏标准化整合、统一管理与深度融合，缺少一体化、智能化的综合决策支撑平台。海量监测成果得不到有效挖掘与高效利用，监测数据无法快速转化为科学、可落地的治理决策依据，数据价值难以充分释放。整体业务链条割裂断层，无法打通“实时监测—智能预警—精准施策—长效治理”的全流程衔接，难以形成完整、高效的管控治理闭环，大幅降低黑土地保护与修复各项工作的推进效率，不利于区域黑土地系统化、常态化保护管理。</w:t>
            </w:r>
          </w:p>
          <w:p w14:paraId="395365EC">
            <w:pPr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五、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项目设计思路</w:t>
            </w:r>
          </w:p>
          <w:p w14:paraId="4F79D517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针对传统黑土地监测方案的四大痛点，本项目从模型、数据、系统架构三个维度出发，构建了一套高效、精准、可落地的技术方案，核心设计思路如下：</w:t>
            </w:r>
          </w:p>
          <w:p w14:paraId="0FF0C2B4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1、模型优化：轻量化、高精度的变化检测算法</w:t>
            </w:r>
          </w:p>
          <w:p w14:paraId="226A23B9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本项目以改进的ResNet18作为backbone提取高分辨率影像特征，结合轻量化语义分词器与BIT双时相Transformer模型，捕捉全局时空语义信息；同时支持与传统模型灵活切换，构建了一套高效、精准的黑土地变化检测系统，有效解决了现有模型误判率高、泛化能力弱的问题。</w:t>
            </w:r>
          </w:p>
          <w:p w14:paraId="5CE929C0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2、数据支撑：构建黑土地专用遥感数据集</w:t>
            </w:r>
          </w:p>
          <w:p w14:paraId="77F397C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项目构建了覆盖多种退化类型的黑土地专用遥感数据集，采用ArcGIS专业标注保证真值可靠；数据集兼容卫星（如GF-2）与无人机等多源光学影像，贴合实际监测场景的数据源特性，为模型训练与系统运行提供了高质量的数据支撑。</w:t>
            </w:r>
          </w:p>
          <w:p w14:paraId="5712456B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3、系统架构：前后端分离的轻量化部署方案</w:t>
            </w:r>
          </w:p>
          <w:p w14:paraId="5136664C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系统采用前后端分离的轻量化架构：后端以FastAPI支撑高性能批量处理，前端提供简洁易用的可视化界面，普通电脑即可本地化部署运行，有效降低了一线用户的使用门槛，解决了传统方案“数据应用脱节、难以形成闭环治理”的痛点。</w:t>
            </w:r>
          </w:p>
          <w:bookmarkEnd w:id="1"/>
          <w:p w14:paraId="2BE5CCCB">
            <w:pPr>
              <w:jc w:val="center"/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六、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项目技术的支撑</w:t>
            </w:r>
          </w:p>
          <w:p w14:paraId="29EE4903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1.监测技术升级的现实需求</w:t>
            </w:r>
          </w:p>
          <w:bookmarkEnd w:id="2"/>
          <w:p w14:paraId="027F95EA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传统黑土地监测手段存在明显短板：人工巡查效率低、覆盖范围有限；常规卫星遥感分辨率不足，难以识别地块尺度的退化细节；国外高分辨率数据获取成本高、周期长，无法满足常态化监测需求。因此，亟需一套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国产化、高精度、大范围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的遥感监测方案，为黑土地保护提供稳定、可靠的数据支撑。</w:t>
            </w:r>
          </w:p>
          <w:p w14:paraId="32BD3D83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2.GF-2卫星的核心技术优势</w:t>
            </w:r>
          </w:p>
          <w:p w14:paraId="20ED9106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高分二号（GF-2）卫星是我国自主研发的首颗亚米级民用光学遥感卫星，专为高分辨率对地观测设计，其技术参数与本项目的监测需求高度契合：</w:t>
            </w:r>
          </w:p>
          <w:tbl>
            <w:tblPr>
              <w:tblStyle w:val="18"/>
              <w:tblW w:w="14349" w:type="dxa"/>
              <w:tblCellSpacing w:w="11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913"/>
              <w:gridCol w:w="4780"/>
              <w:gridCol w:w="4656"/>
            </w:tblGrid>
            <w:tr w14:paraId="4F6C461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074" w:hRule="atLeast"/>
                <w:tblCellSpacing w:w="11" w:type="dxa"/>
              </w:trPr>
              <w:tc>
                <w:tcPr>
                  <w:tcW w:w="4750" w:type="dxa"/>
                </w:tcPr>
                <w:p w14:paraId="65A4BB8F">
                  <w:pPr>
                    <w:keepNext/>
                    <w:spacing w:line="360" w:lineRule="auto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2961640" cy="1825625"/>
                        <wp:effectExtent l="0" t="0" r="0" b="3175"/>
                        <wp:docPr id="3" name="图片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62261" cy="18257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61" w:type="dxa"/>
                </w:tcPr>
                <w:p w14:paraId="7BBC3D3B">
                  <w:pPr>
                    <w:spacing w:line="360" w:lineRule="auto"/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2816860" cy="1863090"/>
                        <wp:effectExtent l="0" t="0" r="0" b="0"/>
                        <wp:docPr id="4" name="图片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图片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16860" cy="18630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50" w:type="dxa"/>
                </w:tcPr>
                <w:p w14:paraId="7F85E9EE">
                  <w:pPr>
                    <w:spacing w:line="360" w:lineRule="auto"/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07C90F10">
            <w:pPr>
              <w:spacing w:line="360" w:lineRule="auto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图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instrText xml:space="preserve"> SEQ 图表 \* ARABIC </w:instrTex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高分二号（GF-2）卫星技术参数说明</w:t>
            </w:r>
          </w:p>
          <w:p w14:paraId="47538937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（1）空间分辨率：</w:t>
            </w:r>
          </w:p>
          <w:p w14:paraId="6AC3E9DB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全色波段分辨率达0.8米，多光谱波段分辨率为3.2米，属于亚米级高清成像水平，可清晰识别黑土区地块边界、植被覆盖度、侵蚀沟等细微地物特征，满足黑土地精细化监测的精度要求。</w:t>
            </w:r>
          </w:p>
          <w:p w14:paraId="78EF5F74">
            <w:pPr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成像幅宽：</w:t>
            </w:r>
          </w:p>
          <w:p w14:paraId="122DF0BC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单次成像幅宽达45公里，可实现大面积区域的同步覆盖，成像效率远超国外同类卫星，能够高效完成东北黑土区大范围、周期性的动态监测任务。</w:t>
            </w:r>
          </w:p>
          <w:p w14:paraId="07791F10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（3）轨道与成像能力：</w:t>
            </w:r>
          </w:p>
          <w:p w14:paraId="4CA95638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采用太阳同步轨道，轨道高度约631公里，可稳定获取高重访率的观测数据；搭载蓝、绿、红、近红外四波段多光谱传感器，可通过光谱特征反演土壤有机质含量、作物长势、土壤湿度等关键指标，为黑土地质量评估提供多维度数据。</w:t>
            </w:r>
          </w:p>
          <w:p w14:paraId="175D7F08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（4）成熟度与可靠性：</w:t>
            </w:r>
          </w:p>
          <w:p w14:paraId="06E84C88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该卫星技术路线获国家重点研发计划支持，已在国土资源调查、农业遥感、生态监测等领域得到广泛应用与官方认可，数据产品成熟度高、稳定性强，为项目实施提供了可靠的技术保障。</w:t>
            </w:r>
          </w:p>
          <w:p w14:paraId="38471CB3">
            <w:pPr>
              <w:ind w:firstLine="320" w:firstLineChars="100"/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七、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产品设计</w:t>
            </w: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——模型、数据与系统三位一体</w:t>
            </w:r>
          </w:p>
          <w:p w14:paraId="3623E0AB">
            <w:pPr>
              <w:spacing w:line="360" w:lineRule="auto"/>
              <w:ind w:firstLine="420" w:firstLineChars="20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bookmarkStart w:id="3" w:name="OLE_LINK3"/>
            <w:r>
              <w:rPr>
                <w:rFonts w:ascii="Times New Roman" w:hAnsi="Times New Roman"/>
              </w:rPr>
              <w:object>
                <v:shape id="_x0000_i1025" o:spt="75" type="#_x0000_t75" style="height:264.85pt;width:400.8pt;" o:ole="t" filled="f" o:preferrelative="t" stroked="f" coordsize="21600,21600">
                  <v:path/>
                  <v:fill on="f" focussize="0,0"/>
                  <v:stroke on="f" joinstyle="miter"/>
                  <v:imagedata r:id="rId12" o:title=""/>
                  <o:lock v:ext="edit" aspectratio="t"/>
                  <w10:wrap type="none"/>
                  <w10:anchorlock/>
                </v:shape>
                <o:OLEObject Type="Embed" ProgID="Visio.Drawing.15" ShapeID="_x0000_i1025" DrawAspect="Content" ObjectID="_1468075725" r:id="rId11">
                  <o:LockedField>false</o:LockedField>
                </o:OLEObject>
              </w:object>
            </w:r>
            <w:bookmarkEnd w:id="3"/>
          </w:p>
          <w:p w14:paraId="1B24C3BD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本项目以BIT检测模型与专用遥感数据集为核心基础，结合轻量化Web前端系统，构建了一套完整的耕地变化监测产品，具体设计如下：</w:t>
            </w:r>
          </w:p>
          <w:p w14:paraId="6C75F2CA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1.核心算法：BIT模型框架</w:t>
            </w:r>
          </w:p>
          <w:p w14:paraId="620031DE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模型以改进的ResNet18为CNN骨干网络，对双时相输入影像进行特征提取，再通过语义分词器与双时序图像转换器，利用Transformer编码器捕捉全局时空上下文信息；最后通过解码器输出精细特征，经预测头生成最终的变化检测结果图，实现了高精度、低误判的黑土地变化检测。</w:t>
            </w:r>
          </w:p>
          <w:p w14:paraId="2C3C8ED5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项目采用BIT（BipartiteTransformer）模型作为核心算法，整体框架如下图所示：</w:t>
            </w:r>
          </w:p>
          <w:p w14:paraId="58ABCEF0">
            <w:pPr>
              <w:keepNext/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drawing>
                <wp:inline distT="0" distB="0" distL="0" distR="0">
                  <wp:extent cx="5187315" cy="2917190"/>
                  <wp:effectExtent l="0" t="0" r="0" b="0"/>
                  <wp:docPr id="16610251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0251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0878" cy="302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D1B7D">
            <w:pPr>
              <w:spacing w:line="360" w:lineRule="auto"/>
              <w:ind w:firstLine="420" w:firstLineChars="20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图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 xml:space="preserve"> SEQ 图表 \* ARABIC 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hint="eastAsia"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ResNet-50骨干网络结构拓扑图</w:t>
            </w:r>
          </w:p>
          <w:tbl>
            <w:tblPr>
              <w:tblStyle w:val="18"/>
              <w:tblW w:w="9304" w:type="dxa"/>
              <w:tblCellSpacing w:w="11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04"/>
            </w:tblGrid>
            <w:tr w14:paraId="44673A9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3" w:hRule="atLeast"/>
                <w:tblCellSpacing w:w="11" w:type="dxa"/>
              </w:trPr>
              <w:tc>
                <w:tcPr>
                  <w:tcW w:w="9260" w:type="dxa"/>
                </w:tcPr>
                <w:p w14:paraId="2A404FC1">
                  <w:pPr>
                    <w:keepNext/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3992245" cy="1925955"/>
                        <wp:effectExtent l="0" t="0" r="8255" b="0"/>
                        <wp:docPr id="11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图片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92400" cy="1926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4078CF">
                  <w:pPr>
                    <w:pStyle w:val="6"/>
                    <w:spacing w:line="360" w:lineRule="auto"/>
                    <w:ind w:firstLine="3570" w:firstLineChars="1700"/>
                    <w:rPr>
                      <w:rFonts w:ascii="Times New Roman" w:hAnsi="Times New Roman" w:eastAsia="宋体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t>图</w: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instrText xml:space="preserve"> SEQ 图表 \* ARABIC </w:instrTex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fldChar w:fldCharType="separate"/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t>6</w: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hint="eastAsia" w:ascii="Times New Roman" w:hAnsi="Times New Roman" w:eastAsia="宋体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t>BIT模型框架</w:t>
                  </w:r>
                </w:p>
              </w:tc>
            </w:tr>
          </w:tbl>
          <w:p w14:paraId="473ED4AC">
            <w:pPr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语义分词器语义分词器用于从图像特征中提取语义tokens，配合Transformer做图像任务，</w:t>
            </w:r>
          </w:p>
          <w:tbl>
            <w:tblPr>
              <w:tblStyle w:val="18"/>
              <w:tblW w:w="0" w:type="auto"/>
              <w:tblCellSpacing w:w="11" w:type="dxa"/>
              <w:tblInd w:w="78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632"/>
            </w:tblGrid>
            <w:tr w14:paraId="3307725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9679" w:type="dxa"/>
                </w:tcPr>
                <w:p w14:paraId="5071A659">
                  <w:pPr>
                    <w:keepNext/>
                    <w:spacing w:line="360" w:lineRule="auto"/>
                    <w:ind w:firstLine="960" w:firstLineChars="400"/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4036060" cy="1547495"/>
                        <wp:effectExtent l="0" t="0" r="2540" b="0"/>
                        <wp:docPr id="12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7748" cy="155619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FBA0417">
            <w:pPr>
              <w:pStyle w:val="6"/>
              <w:spacing w:line="360" w:lineRule="auto"/>
              <w:ind w:firstLine="3990" w:firstLineChars="190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</w:t>
            </w:r>
            <w:r>
              <w:rPr>
                <w:rFonts w:ascii="Times New Roman" w:hAnsi="Times New Roman" w:eastAsia="宋体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 w:eastAsia="宋体"/>
                <w:sz w:val="21"/>
                <w:szCs w:val="21"/>
              </w:rPr>
              <w:instrText xml:space="preserve"> SEQ 图表 \* ARABIC </w:instrText>
            </w:r>
            <w:r>
              <w:rPr>
                <w:rFonts w:ascii="Times New Roman" w:hAnsi="Times New Roman" w:eastAsia="宋体"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 w:eastAsia="宋体"/>
                <w:sz w:val="21"/>
                <w:szCs w:val="21"/>
              </w:rPr>
              <w:t>7</w:t>
            </w:r>
            <w:r>
              <w:rPr>
                <w:rFonts w:ascii="Times New Roman" w:hAnsi="Times New Roman" w:eastAsia="宋体"/>
                <w:sz w:val="21"/>
                <w:szCs w:val="21"/>
              </w:rPr>
              <w:fldChar w:fldCharType="end"/>
            </w:r>
            <w:r>
              <w:rPr>
                <w:rFonts w:ascii="Times New Roman" w:hAnsi="Times New Roman" w:eastAsia="宋体"/>
                <w:sz w:val="21"/>
                <w:szCs w:val="21"/>
              </w:rPr>
              <w:t>语义分词器子模块流程图</w:t>
            </w:r>
          </w:p>
          <w:p w14:paraId="5E3BBEB2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其中，语义分词器的核心流程如下：</w:t>
            </w:r>
          </w:p>
          <w:p w14:paraId="350F926C">
            <w:pPr>
              <w:spacing w:line="360" w:lineRule="auto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（1）图像特征：输入是维度为的特征图(H高度、W宽度、C通道数),来自CNN骨干网络提取的中间特征。</w:t>
            </w:r>
          </w:p>
          <w:p w14:paraId="31711852">
            <w:pPr>
              <w:spacing w:line="360" w:lineRule="auto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（2）用卷积层对处理,目的是降维/特征变换,为生成注意力图做准备。</w:t>
            </w:r>
          </w:p>
          <w:p w14:paraId="5ABEC885">
            <w:pPr>
              <w:spacing w:line="360" w:lineRule="auto"/>
              <w:ind w:firstLine="480" w:firstLineChars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（3）卷积输出经处理得到L张注意力图，每张关注特征图不同语义区域，用于捕捉关键语义信息，卷积计算如图所示</w:t>
            </w:r>
          </w:p>
          <w:tbl>
            <w:tblPr>
              <w:tblStyle w:val="18"/>
              <w:tblW w:w="0" w:type="auto"/>
              <w:tblCellSpacing w:w="11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23"/>
            </w:tblGrid>
            <w:tr w14:paraId="27D0612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9679" w:type="dxa"/>
                </w:tcPr>
                <w:p w14:paraId="641F8223">
                  <w:pPr>
                    <w:keepNext/>
                    <w:spacing w:line="360" w:lineRule="auto"/>
                    <w:jc w:val="right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drawing>
                      <wp:inline distT="0" distB="0" distL="0" distR="0">
                        <wp:extent cx="5681980" cy="1593850"/>
                        <wp:effectExtent l="0" t="0" r="0" b="0"/>
                        <wp:docPr id="13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81980" cy="1593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42ECDD0C">
            <w:pPr>
              <w:pStyle w:val="6"/>
              <w:spacing w:line="360" w:lineRule="auto"/>
              <w:ind w:firstLine="4200" w:firstLineChars="200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图</w:t>
            </w:r>
            <w:r>
              <w:rPr>
                <w:rFonts w:ascii="Times New Roman" w:hAnsi="Times New Roman" w:eastAsia="宋体"/>
                <w:sz w:val="21"/>
                <w:szCs w:val="21"/>
              </w:rPr>
              <w:fldChar w:fldCharType="begin"/>
            </w:r>
            <w:r>
              <w:rPr>
                <w:rFonts w:ascii="Times New Roman" w:hAnsi="Times New Roman" w:eastAsia="宋体"/>
                <w:sz w:val="21"/>
                <w:szCs w:val="21"/>
              </w:rPr>
              <w:instrText xml:space="preserve"> SEQ 图表 \* ARABIC </w:instrText>
            </w:r>
            <w:r>
              <w:rPr>
                <w:rFonts w:ascii="Times New Roman" w:hAnsi="Times New Roman" w:eastAsia="宋体"/>
                <w:sz w:val="21"/>
                <w:szCs w:val="21"/>
              </w:rPr>
              <w:fldChar w:fldCharType="separate"/>
            </w:r>
            <w:r>
              <w:rPr>
                <w:rFonts w:ascii="Times New Roman" w:hAnsi="Times New Roman" w:eastAsia="宋体"/>
                <w:sz w:val="21"/>
                <w:szCs w:val="21"/>
              </w:rPr>
              <w:t>8</w:t>
            </w:r>
            <w:r>
              <w:rPr>
                <w:rFonts w:ascii="Times New Roman" w:hAnsi="Times New Roman" w:eastAsia="宋体"/>
                <w:sz w:val="21"/>
                <w:szCs w:val="21"/>
              </w:rPr>
              <w:fldChar w:fldCharType="end"/>
            </w:r>
            <w:r>
              <w:rPr>
                <w:rFonts w:ascii="Times New Roman" w:hAnsi="Times New Roman" w:eastAsia="宋体"/>
                <w:sz w:val="21"/>
                <w:szCs w:val="21"/>
              </w:rPr>
              <w:t>卷积计算</w:t>
            </w:r>
          </w:p>
          <w:p w14:paraId="6151628D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2.数据支撑</w:t>
            </w:r>
          </w:p>
          <w:p w14:paraId="031C78ED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黑土地耕地变化检测双时相遥感数据集样本</w:t>
            </w:r>
          </w:p>
          <w:p w14:paraId="67E2F1F7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黑土地专用遥感数据集</w:t>
            </w:r>
          </w:p>
          <w:tbl>
            <w:tblPr>
              <w:tblStyle w:val="18"/>
              <w:tblW w:w="0" w:type="auto"/>
              <w:tblCellSpacing w:w="11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549"/>
            </w:tblGrid>
            <w:tr w14:paraId="12ADA3F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9499" w:type="dxa"/>
                </w:tcPr>
                <w:p w14:paraId="08698865">
                  <w:pPr>
                    <w:pStyle w:val="6"/>
                    <w:keepNext/>
                    <w:spacing w:line="360" w:lineRule="auto"/>
                    <w:rPr>
                      <w:rFonts w:ascii="Times New Roman" w:hAnsi="Times New Roman" w:eastAsia="宋体"/>
                      <w:sz w:val="24"/>
                      <w:szCs w:val="24"/>
                    </w:rPr>
                  </w:pPr>
                </w:p>
                <w:tbl>
                  <w:tblPr>
                    <w:tblStyle w:val="19"/>
                    <w:tblW w:w="9279" w:type="dxa"/>
                    <w:tblCellSpacing w:w="11" w:type="dxa"/>
                    <w:tblInd w:w="0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331"/>
                    <w:gridCol w:w="2321"/>
                    <w:gridCol w:w="2321"/>
                    <w:gridCol w:w="2306"/>
                  </w:tblGrid>
                  <w:tr w14:paraId="7DE65593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blCellSpacing w:w="11" w:type="dxa"/>
                    </w:trPr>
                    <w:tc>
                      <w:tcPr>
                        <w:tcW w:w="2298" w:type="dxa"/>
                        <w:tcBorders>
                          <w:top w:val="nil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29B249AD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类型</w:t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37C139C8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时间为T1</w:t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AD26F86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时间为T2</w:t>
                        </w:r>
                      </w:p>
                    </w:tc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60D0E31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标签</w:t>
                        </w:r>
                      </w:p>
                    </w:tc>
                  </w:tr>
                  <w:tr w14:paraId="77F3142B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blCellSpacing w:w="11" w:type="dxa"/>
                    </w:trPr>
                    <w:tc>
                      <w:tcPr>
                        <w:tcW w:w="2298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086DD833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土地变化</w:t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790BD04D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93470" cy="1027430"/>
                              <wp:effectExtent l="0" t="0" r="0" b="1270"/>
                              <wp:docPr id="1" name="图片 1" descr="地上的草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图片 1" descr="地上的草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00749" cy="10340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5430784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39495" cy="985520"/>
                              <wp:effectExtent l="0" t="0" r="8255" b="5080"/>
                              <wp:docPr id="1953754588" name="图片 6" descr="草地上的风景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53754588" name="图片 6" descr="草地上的风景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0087" cy="99516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7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7844260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23620" cy="1021080"/>
                              <wp:effectExtent l="0" t="0" r="5080" b="7620"/>
                              <wp:docPr id="946246197" name="图片 11" descr="形状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6246197" name="图片 11" descr="形状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8937" cy="102616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14:paraId="503BD4D5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404" w:hRule="atLeast"/>
                      <w:tblCellSpacing w:w="11" w:type="dxa"/>
                    </w:trPr>
                    <w:tc>
                      <w:tcPr>
                        <w:tcW w:w="2298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4359B7C6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海上建设</w:t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63EBEE09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135380" cy="1033780"/>
                              <wp:effectExtent l="0" t="0" r="7620" b="0"/>
                              <wp:docPr id="240934368" name="图片 2" descr="海上的风景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0934368" name="图片 2" descr="海上的风景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39650" cy="10375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6D17B791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147445" cy="1081405"/>
                              <wp:effectExtent l="0" t="0" r="0" b="4445"/>
                              <wp:docPr id="38139345" name="图片 7" descr="一艘船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8139345" name="图片 7" descr="一艘船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3291" cy="108688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73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41EA2FE2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45210" cy="1021715"/>
                              <wp:effectExtent l="0" t="0" r="2540" b="6985"/>
                              <wp:docPr id="428699955" name="图片 428699955" descr="图片包含 游戏机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28699955" name="图片 428699955" descr="图片包含 游戏机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5635" cy="10319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14:paraId="034851C6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blCellSpacing w:w="11" w:type="dxa"/>
                    </w:trPr>
                    <w:tc>
                      <w:tcPr>
                        <w:tcW w:w="2298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2260C027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城市建筑</w:t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74B86AA9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141095" cy="920115"/>
                              <wp:effectExtent l="0" t="0" r="1905" b="0"/>
                              <wp:docPr id="1192529564" name="图片 3" descr="图片包含 游戏机, 旧, 钟表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92529564" name="图片 3" descr="图片包含 游戏机, 旧, 钟表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55435" cy="93134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61E0D512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87120" cy="937895"/>
                              <wp:effectExtent l="0" t="0" r="0" b="0"/>
                              <wp:docPr id="585675833" name="图片 8" descr="图片包含 照片, 侧面, 男人, 大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85675833" name="图片 8" descr="图片包含 照片, 侧面, 男人, 大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95248" cy="94438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73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095B012A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45210" cy="949325"/>
                              <wp:effectExtent l="0" t="0" r="2540" b="3175"/>
                              <wp:docPr id="1624457671" name="图片 13" descr="图片包含 徽标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24457671" name="图片 13" descr="图片包含 徽标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57070" cy="95982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14:paraId="3406BAAD"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blCellSpacing w:w="11" w:type="dxa"/>
                    </w:trPr>
                    <w:tc>
                      <w:tcPr>
                        <w:tcW w:w="2298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single" w:color="000000" w:sz="4" w:space="0"/>
                        </w:tcBorders>
                      </w:tcPr>
                      <w:p w14:paraId="0875BE2C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  <w:t>森林变化</w:t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280D5C07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224915" cy="1039495"/>
                              <wp:effectExtent l="0" t="0" r="0" b="8255"/>
                              <wp:docPr id="16" name="图片 4" descr="图片包含 户外, 汽车, 男人, 山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" name="图片 4" descr="图片包含 户外, 汽车, 男人, 山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30202" cy="104375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99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2390524D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212850" cy="1081405"/>
                              <wp:effectExtent l="0" t="0" r="6350" b="4445"/>
                              <wp:docPr id="17" name="图片 9" descr="图片包含 户外, 水, 男人, 发动机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" name="图片 9" descr="图片包含 户外, 水, 男人, 发动机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219989" cy="10874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273" w:type="dxa"/>
                        <w:tcBorders>
                          <w:top w:val="single" w:color="000000" w:sz="4" w:space="0"/>
                          <w:left w:val="nil"/>
                          <w:bottom w:val="nil"/>
                          <w:right w:val="nil"/>
                        </w:tcBorders>
                      </w:tcPr>
                      <w:p w14:paraId="72B20F6D">
                        <w:pPr>
                          <w:keepNext/>
                          <w:spacing w:line="360" w:lineRule="auto"/>
                          <w:rPr>
                            <w:rFonts w:ascii="Times New Roman" w:hAnsi="Times New Roman"/>
                            <w:color w:val="000000"/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/>
                            <w:color w:val="000000"/>
                            <w:sz w:val="24"/>
                            <w:szCs w:val="24"/>
                          </w:rPr>
                          <w:drawing>
                            <wp:inline distT="0" distB="0" distL="0" distR="0">
                              <wp:extent cx="1098550" cy="996315"/>
                              <wp:effectExtent l="0" t="0" r="6350" b="0"/>
                              <wp:docPr id="1513790661" name="图片 14" descr="徽标&#10;&#10;AI 生成的内容可能不正确。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513790661" name="图片 14" descr="徽标&#10;&#10;AI 生成的内容可能不正确。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111277" cy="100767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53A2413D">
                  <w:pPr>
                    <w:keepNext/>
                    <w:spacing w:line="360" w:lineRule="auto"/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</w:tr>
          </w:tbl>
          <w:p w14:paraId="19FC5BF6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</w:p>
          <w:p w14:paraId="0193E2C2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3.系统落地：可视化智能前端</w:t>
            </w:r>
          </w:p>
          <w:p w14:paraId="216EDAEF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基于前后端分离的轻量化架构，项目开发了一套集影像上传、变化检测、结果可视化、AI智能解读于一体的现代化遥感检测Web前端系统：</w:t>
            </w:r>
          </w:p>
          <w:p w14:paraId="34D1CDFB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系统支持单张/批量影像上传与处理，自动生成变化检测结果图、热力图与变化比例统计，同时提供一键生成分析报告的功能，普通电脑即可本地化部署运行，降低了一线用户的使用门槛，实现了从数据输入到决策支撑的全流程闭环。</w:t>
            </w:r>
          </w:p>
          <w:p w14:paraId="66E67EE3">
            <w:pP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</w:p>
          <w:p w14:paraId="6FD7DC47">
            <w:pPr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八、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项目落地</w:t>
            </w: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——面向一线的可推广智能监测方案</w:t>
            </w:r>
          </w:p>
          <w:p w14:paraId="472A79EE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本项目已在黑龙江松嫩平原开展试点应用，形成了成熟的落地模式，面向黑土地保护一线，提供“装得起、用得上、测得准”的智能监测工具。</w:t>
            </w:r>
          </w:p>
          <w:p w14:paraId="43947182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1、试点区域与成效</w:t>
            </w:r>
          </w:p>
          <w:p w14:paraId="6720D2C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项目以黑龙江松嫩平原为试点区域，实现了耕地变化的“周级”动态监测，能够精准识别撂荒、非法占用、侵蚀沟扩展等关键黑土地退化类型，为基层土地管理提供了及时、可靠的决策依据。</w:t>
            </w:r>
          </w:p>
          <w:tbl>
            <w:tblPr>
              <w:tblStyle w:val="18"/>
              <w:tblW w:w="0" w:type="auto"/>
              <w:tblCellSpacing w:w="11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23"/>
            </w:tblGrid>
            <w:tr w14:paraId="6021D3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9679" w:type="dxa"/>
                </w:tcPr>
                <w:p w14:paraId="37CD9EB4">
                  <w:pPr>
                    <w:keepNext/>
                    <w:spacing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 w:val="24"/>
                      <w:szCs w:val="24"/>
                    </w:rPr>
                    <w:drawing>
                      <wp:inline distT="0" distB="0" distL="0" distR="0">
                        <wp:extent cx="4470400" cy="3712845"/>
                        <wp:effectExtent l="0" t="0" r="6350" b="1905"/>
                        <wp:docPr id="15" name="图片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图片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83253" cy="372386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4E2D04">
                  <w:pPr>
                    <w:pStyle w:val="6"/>
                    <w:spacing w:line="360" w:lineRule="auto"/>
                    <w:ind w:firstLine="4200" w:firstLineChars="2000"/>
                    <w:rPr>
                      <w:rFonts w:ascii="Times New Roman" w:hAnsi="Times New Roman" w:eastAsia="宋体"/>
                      <w:color w:val="000000"/>
                      <w:kern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t>图</w: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fldChar w:fldCharType="begin"/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instrText xml:space="preserve"> SEQ 图表 \* ARABIC </w:instrTex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fldChar w:fldCharType="separate"/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t>9</w:t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fldChar w:fldCharType="end"/>
                  </w:r>
                  <w:r>
                    <w:rPr>
                      <w:rFonts w:ascii="Times New Roman" w:hAnsi="Times New Roman" w:eastAsia="宋体"/>
                      <w:sz w:val="21"/>
                      <w:szCs w:val="21"/>
                    </w:rPr>
                    <w:t>简单的技术路线</w:t>
                  </w:r>
                </w:p>
              </w:tc>
            </w:tr>
          </w:tbl>
          <w:p w14:paraId="487460B4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2、部署方式与适配性</w:t>
            </w:r>
          </w:p>
          <w:p w14:paraId="33AEA3B8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系统采用前后端轻量化架构，普通电脑即可本地化部署运行，无需专业服务器支持；同时兼容GF-2卫星影像与无人机航拍影像，适配多源数据采集场景，可满足大范围卫星批量监测与重点区域无人机现场核查的双重需求。</w:t>
            </w:r>
          </w:p>
          <w:p w14:paraId="4DCBAAE0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3、一线友好的使用体验</w:t>
            </w:r>
          </w:p>
          <w:p w14:paraId="196735D5">
            <w:pPr>
              <w:spacing w:line="360" w:lineRule="auto"/>
              <w:ind w:firstLine="480" w:firstLineChars="200"/>
              <w:rPr>
                <w:rFonts w:ascii="Times New Roman" w:hAnsi="Times New Roman" w:eastAsia="黑体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系统设计充分考虑基层用户需求，无需遥感专业知识，基层农技人员即可独立操作；性能上，单设备日均可处理10万张影像，单张影像推理仅需0.7秒，在保证精度的同时实现了高效率处理，大幅降低了一线监测的人力与时间成本</w:t>
            </w:r>
            <w:r>
              <w:rPr>
                <w:rFonts w:ascii="Times New Roman" w:hAnsi="Times New Roman" w:eastAsia="黑体"/>
                <w:color w:val="000000"/>
                <w:kern w:val="0"/>
                <w:szCs w:val="21"/>
              </w:rPr>
              <w:t>。</w:t>
            </w:r>
          </w:p>
          <w:p w14:paraId="33AA3897">
            <w:pPr>
              <w:jc w:val="center"/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九、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项目核心知识产权成果</w:t>
            </w:r>
          </w:p>
          <w:p w14:paraId="2449C04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本项目在技术研发过程中，形成了以软件著作权与发明专利为核心的完整知识产权保护体系，为技术方案的原创性、先进性与可落地性提供了坚实支撑，具体成果如下：</w:t>
            </w:r>
          </w:p>
          <w:p w14:paraId="3C61A827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1、计算机软件著作权（3项）</w:t>
            </w:r>
          </w:p>
          <w:p w14:paraId="097CA388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围绕黑土地遥感监测、耕地变化识别、数据处理与智能分析等核心业务模块，完成3项计算机软件著作权登记，覆盖了从影像预处理、算法运算到成果可视化的全流程软件系统，充分证明项目软件系统的原创性与独立开发能力，为后续平台迭代与推广应用筑牢了法律基础。</w:t>
            </w:r>
          </w:p>
          <w:p w14:paraId="0D9A5733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2、发明专利申请（1项，已受理）</w:t>
            </w:r>
          </w:p>
          <w:p w14:paraId="750FFB3E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项目核心技术方案《一种用于图像采集的遥感无人机》已向国家知识产权局提交发明专利申请并获受理。该专利聚焦于遥感数据采集与处理的关键创新点，进一步强化了项目在算法与技术实现层面的核心竞争力，为技术成果转化与市场应用构建了知识产权壁垒。</w:t>
            </w:r>
          </w:p>
          <w:tbl>
            <w:tblPr>
              <w:tblStyle w:val="19"/>
              <w:tblW w:w="0" w:type="auto"/>
              <w:tblCellSpacing w:w="11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61"/>
              <w:gridCol w:w="3250"/>
              <w:gridCol w:w="3261"/>
            </w:tblGrid>
            <w:tr w14:paraId="7CEB34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blCellSpacing w:w="11" w:type="dxa"/>
              </w:trPr>
              <w:tc>
                <w:tcPr>
                  <w:tcW w:w="3228" w:type="dxa"/>
                </w:tcPr>
                <w:p w14:paraId="012670D0">
                  <w:pPr>
                    <w:spacing w:line="360" w:lineRule="auto"/>
                    <w:rPr>
                      <w:rFonts w:ascii="Times New Roman" w:hAnsi="Times New Roman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Cs w:val="21"/>
                    </w:rPr>
                    <w:drawing>
                      <wp:inline distT="0" distB="0" distL="0" distR="0">
                        <wp:extent cx="1644015" cy="2324735"/>
                        <wp:effectExtent l="0" t="0" r="0" b="0"/>
                        <wp:docPr id="873689686" name="图片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73689686" name="图片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4502" cy="23538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28" w:type="dxa"/>
                </w:tcPr>
                <w:p w14:paraId="3AC295A2">
                  <w:pPr>
                    <w:keepNext/>
                    <w:spacing w:line="360" w:lineRule="auto"/>
                    <w:rPr>
                      <w:rFonts w:ascii="Times New Roman" w:hAnsi="Times New Roman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Cs w:val="21"/>
                    </w:rPr>
                    <w:drawing>
                      <wp:inline distT="0" distB="0" distL="0" distR="0">
                        <wp:extent cx="1631950" cy="2232660"/>
                        <wp:effectExtent l="0" t="0" r="6350" b="0"/>
                        <wp:docPr id="1488902558" name="图片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8902558" name="图片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49978" cy="2257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F338ED">
                  <w:pPr>
                    <w:pStyle w:val="6"/>
                    <w:spacing w:line="360" w:lineRule="auto"/>
                    <w:rPr>
                      <w:rFonts w:ascii="Times New Roman" w:hAnsi="Times New Roman" w:eastAsia="宋体"/>
                      <w:sz w:val="21"/>
                      <w:szCs w:val="21"/>
                    </w:rPr>
                  </w:pPr>
                </w:p>
              </w:tc>
              <w:tc>
                <w:tcPr>
                  <w:tcW w:w="3228" w:type="dxa"/>
                </w:tcPr>
                <w:p w14:paraId="6EDBAF91">
                  <w:pPr>
                    <w:keepNext/>
                    <w:spacing w:line="360" w:lineRule="auto"/>
                    <w:rPr>
                      <w:rFonts w:ascii="Times New Roman" w:hAnsi="Times New Roman"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Times New Roman" w:hAnsi="Times New Roman"/>
                      <w:color w:val="000000"/>
                      <w:kern w:val="0"/>
                      <w:szCs w:val="21"/>
                    </w:rPr>
                    <w:drawing>
                      <wp:inline distT="0" distB="0" distL="0" distR="0">
                        <wp:extent cx="1660525" cy="2256790"/>
                        <wp:effectExtent l="0" t="0" r="0" b="0"/>
                        <wp:docPr id="1884254674" name="图片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4254674" name="图片 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3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5684" cy="22770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A8EF876">
            <w:pPr>
              <w:pStyle w:val="6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图</w:t>
            </w:r>
            <w:r>
              <w:rPr>
                <w:rFonts w:hint="eastAsia"/>
                <w:sz w:val="21"/>
                <w:szCs w:val="21"/>
              </w:rPr>
              <w:fldChar w:fldCharType="begin"/>
            </w:r>
            <w:r>
              <w:rPr>
                <w:rFonts w:hint="eastAsia"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/>
                <w:sz w:val="21"/>
                <w:szCs w:val="21"/>
              </w:rPr>
              <w:fldChar w:fldCharType="separate"/>
            </w:r>
            <w:r>
              <w:rPr>
                <w:rFonts w:hint="eastAsia"/>
                <w:sz w:val="21"/>
                <w:szCs w:val="21"/>
              </w:rPr>
              <w:t>1</w:t>
            </w:r>
            <w:r>
              <w:rPr>
                <w:rFonts w:hint="eastAsia"/>
                <w:sz w:val="21"/>
                <w:szCs w:val="21"/>
              </w:rPr>
              <w:fldChar w:fldCharType="end"/>
            </w:r>
            <w:r>
              <w:rPr>
                <w:rFonts w:hint="eastAsia"/>
                <w:sz w:val="21"/>
                <w:szCs w:val="21"/>
              </w:rPr>
              <w:t>0 软件专著</w:t>
            </w:r>
          </w:p>
          <w:p w14:paraId="40A25F53">
            <w:pPr>
              <w:jc w:val="center"/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十、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项目模式</w:t>
            </w:r>
          </w:p>
          <w:p w14:paraId="302FBCBC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（1）技术研发模式：数据+模型双轮驱动</w:t>
            </w:r>
          </w:p>
          <w:p w14:paraId="32683A03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 Math" w:hAnsi="Cambria Math" w:cs="Cambria Math"/>
                <w:color w:val="000000"/>
                <w:kern w:val="0"/>
                <w:sz w:val="24"/>
                <w:szCs w:val="24"/>
              </w:rPr>
              <w:t>①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以精准识别为核心，打造适配黑土场景的专属技术底座。</w:t>
            </w:r>
          </w:p>
          <w:p w14:paraId="63864407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数据支撑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：自建黑土影像数据集，针对东北黑土地域的光谱、纹理特征构建专属样本库，解决通用数据集对黑土区耕地变化识别不准的问题。</w:t>
            </w:r>
          </w:p>
          <w:p w14:paraId="033E4CFF">
            <w:pPr>
              <w:spacing w:line="360" w:lineRule="auto"/>
              <w:ind w:firstLine="482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000000"/>
                <w:kern w:val="0"/>
                <w:sz w:val="24"/>
                <w:szCs w:val="24"/>
              </w:rPr>
              <w:t>②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算法优化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：采用BIT双时相Transformer模型，通过对比不同时期的卫星影像，精准捕捉耕地撂荒、非农占用等变化，同时持续迭代优化模型参数，不断提升检测精度与效率。</w:t>
            </w:r>
          </w:p>
          <w:p w14:paraId="23ECD4FB">
            <w:pPr>
              <w:pStyle w:val="37"/>
              <w:numPr>
                <w:ilvl w:val="0"/>
                <w:numId w:val="3"/>
              </w:numPr>
              <w:spacing w:line="360" w:lineRule="auto"/>
              <w:ind w:firstLineChars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落地服务模式：</w:t>
            </w:r>
          </w:p>
          <w:p w14:paraId="4A6B8B89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平台+基层打通最后一公里以轻量化、易使用为目标，让监测成果真正服务于基层耕地保护。</w:t>
            </w:r>
          </w:p>
          <w:p w14:paraId="1AD4E2ED">
            <w:pPr>
              <w:spacing w:line="360" w:lineRule="auto"/>
              <w:ind w:firstLine="482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000000"/>
                <w:kern w:val="0"/>
                <w:sz w:val="24"/>
                <w:szCs w:val="24"/>
              </w:rPr>
              <w:t>①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轻量化部署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：采用前后端分离架构，降低平台运行门槛，普通电脑即可流畅使用，无需专业设备支撑，适配乡镇、合作社等基层场景。</w:t>
            </w:r>
          </w:p>
          <w:p w14:paraId="7DED04C7">
            <w:pPr>
              <w:spacing w:line="360" w:lineRule="auto"/>
              <w:ind w:firstLine="482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Cambria Math" w:hAnsi="Cambria Math" w:cs="Cambria Math"/>
                <w:b/>
                <w:bCs/>
                <w:color w:val="000000"/>
                <w:kern w:val="0"/>
                <w:sz w:val="24"/>
                <w:szCs w:val="24"/>
              </w:rPr>
              <w:t>②</w:t>
            </w: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闭环预警服务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：向农户、合作社直接推送耕地撂荒、违规占用等预警信息，打破“监测-响应”的信息壁垒，打通耕地保护的“最后一公里”。</w:t>
            </w:r>
          </w:p>
          <w:p w14:paraId="08DD4334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（3）项目核心支撑亮点</w:t>
            </w:r>
          </w:p>
          <w:p w14:paraId="2B67CD93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两大模式的落地，依托七大核心特点形成完整支撑体系：</w:t>
            </w:r>
          </w:p>
          <w:p w14:paraId="48465645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1、数据驱动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：以黑土专属影像数据为基础，为模型迭代和监测精度提供持续保障。</w:t>
            </w:r>
          </w:p>
          <w:p w14:paraId="4D68750D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2、轻量部署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：算法与平台轻量化改造，降低基层使用门槛，实现“开箱即用”。</w:t>
            </w:r>
          </w:p>
          <w:p w14:paraId="3B5F4159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3、周级监测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：以周为周期更新影像数据，实现耕地变化的高频动态监测。</w:t>
            </w:r>
          </w:p>
          <w:p w14:paraId="505AD410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4、基层适配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：功能设计贴合乡镇、村集体的实际工作场景，操作简单易上手。</w:t>
            </w:r>
          </w:p>
          <w:p w14:paraId="478656C2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5、预警闭环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：从异常识别到信息推送，形成完整的监测预警与响应闭环。</w:t>
            </w:r>
          </w:p>
          <w:p w14:paraId="07BB2E5E">
            <w:pPr>
              <w:pStyle w:val="37"/>
              <w:numPr>
                <w:ilvl w:val="0"/>
                <w:numId w:val="5"/>
              </w:numPr>
              <w:spacing w:line="360" w:lineRule="auto"/>
              <w:ind w:firstLineChars="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国产遥感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：依托国产卫星影像数据，保障数据安全与自主可控。</w:t>
            </w:r>
          </w:p>
          <w:p w14:paraId="6BDE9584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7、用养结合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：将监测预警与耕地养护、政策服务相结合，实现“监测即服务”，助力黑土资源可持续保护。</w:t>
            </w:r>
          </w:p>
          <w:p w14:paraId="010951A4">
            <w:pPr>
              <w:jc w:val="center"/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  <w:lang w:val="en-IN"/>
              </w:rPr>
              <w:t>十一、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项目核心收益</w:t>
            </w: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：黑土智能检测系统</w:t>
            </w:r>
          </w:p>
          <w:p w14:paraId="5D8D9FBF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本项目自研的黑土智能检测系统，通过BIT模型与轻量化部署技术，实现了黑土地变化监测的效率、成本与精度的三重突破，核心成果与收益如下：</w:t>
            </w:r>
          </w:p>
          <w:p w14:paraId="1D3651CF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1、核心性能指标</w:t>
            </w:r>
          </w:p>
          <w:p w14:paraId="47ED34F6">
            <w:pPr>
              <w:spacing w:line="360" w:lineRule="auto"/>
              <w:ind w:firstLine="482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（1）识别精度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：BIT模型对黑土地变化类别的识别精确率达70%，可有效识别耕地撂荒、非农占用、侵蚀沟等关键变化类型，满足黑土地精细化监测的需求。</w:t>
            </w:r>
          </w:p>
          <w:p w14:paraId="72159522">
            <w:pPr>
              <w:spacing w:line="360" w:lineRule="auto"/>
              <w:ind w:firstLine="482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（2）成本优化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：相较传统深度学习方案，算力成本降低约69%，大幅降低了监测系统的部署与运行门槛。</w:t>
            </w:r>
          </w:p>
          <w:p w14:paraId="41073C67">
            <w:pPr>
              <w:spacing w:line="360" w:lineRule="auto"/>
              <w:ind w:firstLine="482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（3）效率提升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：从传统人工/常规遥感方法到本系统，单次监测周期缩短约33%，实现了黑土地变化的高频动态监测。</w:t>
            </w:r>
          </w:p>
          <w:p w14:paraId="4DA5096B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2、验证与落地基础</w:t>
            </w:r>
          </w:p>
          <w:p w14:paraId="4F672B15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系统已在松嫩平原完成实地验证，适配普通电脑即可部署运行，无需高端硬件支撑，为后续在东北黑土区的规模化推广奠定了坚实基础。</w:t>
            </w:r>
          </w:p>
          <w:p w14:paraId="43EC9CF8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3、业务与社会价值</w:t>
            </w:r>
          </w:p>
          <w:p w14:paraId="464CDAB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系统直接服务于黑土地保护“总量不减少、功能不退化”的核心目标，为黑土地常态化监测、耕地保护政策落地提供了智能化支撑，助力实现黑土地退化问题的“早发现、早预警、早治理”，兼具显著的生态效益与社会效益。</w:t>
            </w:r>
          </w:p>
          <w:p w14:paraId="0D6EFBF1">
            <w:pPr>
              <w:jc w:val="center"/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32"/>
                <w:szCs w:val="32"/>
              </w:rPr>
              <w:t>十二、</w:t>
            </w:r>
            <w:r>
              <w:rPr>
                <w:rFonts w:ascii="Times New Roman" w:hAnsi="Times New Roman" w:eastAsia="黑体"/>
                <w:b/>
                <w:bCs/>
                <w:color w:val="000000"/>
                <w:kern w:val="0"/>
                <w:sz w:val="32"/>
                <w:szCs w:val="32"/>
              </w:rPr>
              <w:t>项目成效与发展规划</w:t>
            </w:r>
          </w:p>
          <w:p w14:paraId="2A2CCDCB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1.当前项目成效</w:t>
            </w:r>
          </w:p>
          <w:p w14:paraId="75C40A24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赋能基层，带动多方价值；项目落地以来，已在农业帮扶与带动就业两方面取得了显著成效：</w:t>
            </w:r>
          </w:p>
          <w:p w14:paraId="7CC5ECC1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(1)农业帮扶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：免费为农户推送撂荒、违法占用预警，已帮助500+农户提前止损；同时为10万亩黑土地提供“监测—诊断—措施”的全链条服务，助力黑土地用养结合，提升耕地质量。</w:t>
            </w:r>
          </w:p>
          <w:p w14:paraId="501894AF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(2)带动就业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：通过培训基层农技员与返乡青年，新增智能监测岗位30+个；推广轻量化设备操作，扶持大学生创业与本地化服务团队；建立黑土地影像标注协作点，带动当地农户家门口就业，实现技术赋能与乡村振兴的结合。</w:t>
            </w:r>
          </w:p>
          <w:p w14:paraId="5A0CDF0E">
            <w:pPr>
              <w:spacing w:line="360" w:lineRule="auto"/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黑体"/>
                <w:color w:val="000000"/>
                <w:kern w:val="0"/>
                <w:sz w:val="28"/>
                <w:szCs w:val="28"/>
              </w:rPr>
              <w:t>2.项目发展历程与未来规划</w:t>
            </w:r>
          </w:p>
          <w:p w14:paraId="3AD601FD">
            <w:pPr>
              <w:spacing w:line="360" w:lineRule="auto"/>
              <w:ind w:firstLine="480" w:firstLineChars="200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项目从2022年启动至今，已完成从调研到试点的关键阶段，并规划了清晰的长期发展路径：</w:t>
            </w:r>
          </w:p>
          <w:p w14:paraId="3F1721F3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2022年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：启动政策调研与数据积累，完成黑土地现状摸底；</w:t>
            </w:r>
          </w:p>
          <w:p w14:paraId="757E355A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2024年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：完成影像标注与模型验证，实现技术闭环；</w:t>
            </w:r>
          </w:p>
          <w:p w14:paraId="05D1A1E1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2026年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：获得软件著作权并落地试点，形成成熟的产品形态；</w:t>
            </w:r>
          </w:p>
          <w:p w14:paraId="563BE2AB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2028年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：推广至黑、吉、辽、蒙四省区，实现常态化监测；</w:t>
            </w:r>
          </w:p>
          <w:p w14:paraId="5273A139">
            <w:pPr>
              <w:spacing w:line="360" w:lineRule="auto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0"/>
                <w:sz w:val="24"/>
                <w:szCs w:val="24"/>
              </w:rPr>
              <w:t>2030年</w:t>
            </w:r>
            <w:r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  <w:t>：构建“天空地”一体化监测网，实现东北黑土地全网动态监测。</w:t>
            </w:r>
          </w:p>
          <w:p w14:paraId="05F6E2F1">
            <w:pPr>
              <w:pStyle w:val="51"/>
              <w:ind w:firstLine="0" w:firstLineChars="0"/>
              <w:jc w:val="center"/>
            </w:pPr>
            <w:r>
              <w:t>十三.</w:t>
            </w:r>
            <w:r>
              <w:rPr>
                <w:b/>
                <w:bCs/>
              </w:rPr>
              <w:t>参考文献</w:t>
            </w:r>
          </w:p>
          <w:p w14:paraId="6B6CEC5F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[1]HaoChen,ZipengQi,ZhenweiShi.(2021).RemoteSensingImageChangeDetectionwithTransformers..</w:t>
            </w:r>
          </w:p>
          <w:p w14:paraId="4CB4FAE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[2]余银峰,贾振红,覃锡忠,杨杰,庞韶宁."遥感图像变化检测算法研究."计算机工程与应用25(2011).</w:t>
            </w:r>
          </w:p>
          <w:p w14:paraId="5609B267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[3]蒋世豪,江洪."基于GDAL的遥感图像变化检测技术."《计算机工程与应用》16(2020).networks,”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RemoteSensing</w:t>
            </w:r>
            <w:r>
              <w:rPr>
                <w:rFonts w:ascii="Times New Roman" w:hAnsi="Times New Roman"/>
                <w:sz w:val="24"/>
                <w:szCs w:val="24"/>
              </w:rPr>
              <w:t>,vol.12,no.6,p.901,2020.</w:t>
            </w:r>
          </w:p>
          <w:p w14:paraId="4D0DEE63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[4]TianyuYan,ZifuWan,PingpingZhang."FullyTransformerNetworkforChangeDetectionofRemoteSensingImages.".</w:t>
            </w:r>
          </w:p>
          <w:p w14:paraId="2A7F250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[5]XinyangSong,ZhenHua,JinjiangLi."RemoteSensingImageChangeDetectionTransformerNetworkBasedonDual-FeatureMixedAttention."IEEETransactionsonGeoscienceandRemoteSensing(2022).</w:t>
            </w:r>
          </w:p>
          <w:p w14:paraId="6ABD62CC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[6]宋小丽,李炜明."基于图像匹配的遥感图像建筑物变化检测."微计算机信息19(2008).</w:t>
            </w:r>
          </w:p>
          <w:p w14:paraId="7E842EB5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[7]M.Zhang,G.Xu,K.Chen,M.Yan,andX.Sun,“Tripletbasedsemanticrelationlearningforaerialremotesensingimagechangedetection,”</w:t>
            </w:r>
            <w:r>
              <w:rPr>
                <w:rFonts w:ascii="Times New Roman" w:hAnsi="Times New Roman"/>
                <w:i/>
                <w:iCs/>
                <w:sz w:val="24"/>
                <w:szCs w:val="24"/>
              </w:rPr>
              <w:t>IEEEGeosci.Remote.Sens.Lett.</w:t>
            </w:r>
            <w:r>
              <w:rPr>
                <w:rFonts w:ascii="Times New Roman" w:hAnsi="Times New Roman"/>
                <w:sz w:val="24"/>
                <w:szCs w:val="24"/>
              </w:rPr>
              <w:t>,vol.16,no.2,pp.266–270,2019.</w:t>
            </w:r>
          </w:p>
          <w:p w14:paraId="3000C699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[8]JingmingLi,PanpanZheng,LiejunWang."RemoteSensingImageChangeDetectionBasedonLightweightTransformerandMultiscaleFeatureFusion."IEEEJournalofSelectedTopicsinAppliedEarthObservationsandRemoteSensing(2025).</w:t>
            </w:r>
          </w:p>
          <w:p w14:paraId="008BCFE5">
            <w:pPr>
              <w:spacing w:line="360" w:lineRule="auto"/>
              <w:ind w:firstLine="420" w:firstLineChars="200"/>
              <w:rPr>
                <w:rFonts w:ascii="Times New Roman" w:hAnsi="Times New Roman" w:eastAsia="黑体"/>
                <w:color w:val="000000"/>
                <w:kern w:val="0"/>
                <w:szCs w:val="21"/>
              </w:rPr>
            </w:pPr>
          </w:p>
        </w:tc>
      </w:tr>
      <w:bookmarkEnd w:id="0"/>
    </w:tbl>
    <w:p w14:paraId="0F261209">
      <w:pPr>
        <w:pStyle w:val="6"/>
        <w:rPr>
          <w:rFonts w:ascii="Times New Roman" w:hAnsi="Times New Roman"/>
          <w:sz w:val="32"/>
          <w:szCs w:val="32"/>
        </w:rPr>
      </w:pPr>
    </w:p>
    <w:sectPr>
      <w:pgSz w:w="13041" w:h="16840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F17559"/>
    <w:multiLevelType w:val="multilevel"/>
    <w:tmpl w:val="03F17559"/>
    <w:lvl w:ilvl="0" w:tentative="0">
      <w:start w:val="6"/>
      <w:numFmt w:val="decimal"/>
      <w:lvlText w:val="%1、"/>
      <w:lvlJc w:val="left"/>
      <w:pPr>
        <w:ind w:left="380" w:hanging="380"/>
      </w:pPr>
      <w:rPr>
        <w:rFonts w:hint="default"/>
        <w:b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120213AD"/>
    <w:multiLevelType w:val="multilevel"/>
    <w:tmpl w:val="120213AD"/>
    <w:lvl w:ilvl="0" w:tentative="0">
      <w:start w:val="1"/>
      <w:numFmt w:val="decimalEnclosedCircle"/>
      <w:lvlText w:val="%1"/>
      <w:lvlJc w:val="left"/>
      <w:pPr>
        <w:ind w:left="18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2380" w:hanging="440"/>
      </w:pPr>
    </w:lvl>
    <w:lvl w:ilvl="2" w:tentative="0">
      <w:start w:val="1"/>
      <w:numFmt w:val="lowerRoman"/>
      <w:lvlText w:val="%3."/>
      <w:lvlJc w:val="right"/>
      <w:pPr>
        <w:ind w:left="2820" w:hanging="440"/>
      </w:pPr>
    </w:lvl>
    <w:lvl w:ilvl="3" w:tentative="0">
      <w:start w:val="1"/>
      <w:numFmt w:val="decimal"/>
      <w:lvlText w:val="%4."/>
      <w:lvlJc w:val="left"/>
      <w:pPr>
        <w:ind w:left="3260" w:hanging="440"/>
      </w:pPr>
    </w:lvl>
    <w:lvl w:ilvl="4" w:tentative="0">
      <w:start w:val="1"/>
      <w:numFmt w:val="lowerLetter"/>
      <w:lvlText w:val="%5)"/>
      <w:lvlJc w:val="left"/>
      <w:pPr>
        <w:ind w:left="3700" w:hanging="440"/>
      </w:pPr>
    </w:lvl>
    <w:lvl w:ilvl="5" w:tentative="0">
      <w:start w:val="1"/>
      <w:numFmt w:val="lowerRoman"/>
      <w:lvlText w:val="%6."/>
      <w:lvlJc w:val="right"/>
      <w:pPr>
        <w:ind w:left="4140" w:hanging="440"/>
      </w:pPr>
    </w:lvl>
    <w:lvl w:ilvl="6" w:tentative="0">
      <w:start w:val="1"/>
      <w:numFmt w:val="decimal"/>
      <w:lvlText w:val="%7."/>
      <w:lvlJc w:val="left"/>
      <w:pPr>
        <w:ind w:left="4580" w:hanging="440"/>
      </w:pPr>
    </w:lvl>
    <w:lvl w:ilvl="7" w:tentative="0">
      <w:start w:val="1"/>
      <w:numFmt w:val="lowerLetter"/>
      <w:lvlText w:val="%8)"/>
      <w:lvlJc w:val="left"/>
      <w:pPr>
        <w:ind w:left="5020" w:hanging="440"/>
      </w:pPr>
    </w:lvl>
    <w:lvl w:ilvl="8" w:tentative="0">
      <w:start w:val="1"/>
      <w:numFmt w:val="lowerRoman"/>
      <w:lvlText w:val="%9."/>
      <w:lvlJc w:val="right"/>
      <w:pPr>
        <w:ind w:left="5460" w:hanging="440"/>
      </w:pPr>
    </w:lvl>
  </w:abstractNum>
  <w:abstractNum w:abstractNumId="2">
    <w:nsid w:val="13567695"/>
    <w:multiLevelType w:val="multilevel"/>
    <w:tmpl w:val="1356769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 w:ascii="黑体" w:hAnsi="黑体" w:eastAsia="黑体"/>
        <w:b w:val="0"/>
        <w:bCs/>
        <w:sz w:val="28"/>
        <w:szCs w:val="28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BDC014B"/>
    <w:multiLevelType w:val="multilevel"/>
    <w:tmpl w:val="1BDC014B"/>
    <w:lvl w:ilvl="0" w:tentative="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783560BB"/>
    <w:multiLevelType w:val="multilevel"/>
    <w:tmpl w:val="783560BB"/>
    <w:lvl w:ilvl="0" w:tentative="0">
      <w:start w:val="1"/>
      <w:numFmt w:val="decimalEnclosedCircle"/>
      <w:lvlText w:val="%1"/>
      <w:lvlJc w:val="left"/>
      <w:pPr>
        <w:ind w:left="1410" w:hanging="360"/>
      </w:pPr>
      <w:rPr>
        <w:rFonts w:ascii="宋体" w:hAnsi="宋体" w:eastAsia="宋体" w:cs="Times New Roman"/>
      </w:rPr>
    </w:lvl>
    <w:lvl w:ilvl="1" w:tentative="0">
      <w:start w:val="1"/>
      <w:numFmt w:val="lowerLetter"/>
      <w:lvlText w:val="%2)"/>
      <w:lvlJc w:val="left"/>
      <w:pPr>
        <w:ind w:left="1930" w:hanging="440"/>
      </w:pPr>
    </w:lvl>
    <w:lvl w:ilvl="2" w:tentative="0">
      <w:start w:val="1"/>
      <w:numFmt w:val="lowerRoman"/>
      <w:lvlText w:val="%3."/>
      <w:lvlJc w:val="right"/>
      <w:pPr>
        <w:ind w:left="2370" w:hanging="440"/>
      </w:pPr>
    </w:lvl>
    <w:lvl w:ilvl="3" w:tentative="0">
      <w:start w:val="1"/>
      <w:numFmt w:val="decimal"/>
      <w:lvlText w:val="%4."/>
      <w:lvlJc w:val="left"/>
      <w:pPr>
        <w:ind w:left="2810" w:hanging="440"/>
      </w:pPr>
    </w:lvl>
    <w:lvl w:ilvl="4" w:tentative="0">
      <w:start w:val="1"/>
      <w:numFmt w:val="lowerLetter"/>
      <w:lvlText w:val="%5)"/>
      <w:lvlJc w:val="left"/>
      <w:pPr>
        <w:ind w:left="3250" w:hanging="440"/>
      </w:pPr>
    </w:lvl>
    <w:lvl w:ilvl="5" w:tentative="0">
      <w:start w:val="1"/>
      <w:numFmt w:val="lowerRoman"/>
      <w:lvlText w:val="%6."/>
      <w:lvlJc w:val="right"/>
      <w:pPr>
        <w:ind w:left="3690" w:hanging="440"/>
      </w:pPr>
    </w:lvl>
    <w:lvl w:ilvl="6" w:tentative="0">
      <w:start w:val="1"/>
      <w:numFmt w:val="decimal"/>
      <w:lvlText w:val="%7."/>
      <w:lvlJc w:val="left"/>
      <w:pPr>
        <w:ind w:left="4130" w:hanging="440"/>
      </w:pPr>
    </w:lvl>
    <w:lvl w:ilvl="7" w:tentative="0">
      <w:start w:val="1"/>
      <w:numFmt w:val="lowerLetter"/>
      <w:lvlText w:val="%8)"/>
      <w:lvlJc w:val="left"/>
      <w:pPr>
        <w:ind w:left="4570" w:hanging="440"/>
      </w:pPr>
    </w:lvl>
    <w:lvl w:ilvl="8" w:tentative="0">
      <w:start w:val="1"/>
      <w:numFmt w:val="lowerRoman"/>
      <w:lvlText w:val="%9."/>
      <w:lvlJc w:val="right"/>
      <w:pPr>
        <w:ind w:left="5010" w:hanging="44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NTc1ZTYwOWI4YzllMGI4ZTc4M2UyOTgwZjYzZjYifQ=="/>
  </w:docVars>
  <w:rsids>
    <w:rsidRoot w:val="00172A27"/>
    <w:rsid w:val="000050A3"/>
    <w:rsid w:val="00005420"/>
    <w:rsid w:val="00020F35"/>
    <w:rsid w:val="00021E72"/>
    <w:rsid w:val="000252E2"/>
    <w:rsid w:val="00027ACA"/>
    <w:rsid w:val="00033975"/>
    <w:rsid w:val="0006256F"/>
    <w:rsid w:val="000707BE"/>
    <w:rsid w:val="000718E1"/>
    <w:rsid w:val="00073163"/>
    <w:rsid w:val="00081604"/>
    <w:rsid w:val="00086910"/>
    <w:rsid w:val="00095650"/>
    <w:rsid w:val="000A4BCB"/>
    <w:rsid w:val="000A4C3D"/>
    <w:rsid w:val="000A554E"/>
    <w:rsid w:val="000A7F4A"/>
    <w:rsid w:val="000B4BAD"/>
    <w:rsid w:val="000B5843"/>
    <w:rsid w:val="000B7561"/>
    <w:rsid w:val="000B7F54"/>
    <w:rsid w:val="000E4FBD"/>
    <w:rsid w:val="000E540D"/>
    <w:rsid w:val="000E57C8"/>
    <w:rsid w:val="00106FEF"/>
    <w:rsid w:val="001108CA"/>
    <w:rsid w:val="001272E2"/>
    <w:rsid w:val="00130132"/>
    <w:rsid w:val="00130BCE"/>
    <w:rsid w:val="0013482D"/>
    <w:rsid w:val="00143A38"/>
    <w:rsid w:val="0014464D"/>
    <w:rsid w:val="00147E73"/>
    <w:rsid w:val="00151B23"/>
    <w:rsid w:val="0016127A"/>
    <w:rsid w:val="001668D0"/>
    <w:rsid w:val="00171DB9"/>
    <w:rsid w:val="00172978"/>
    <w:rsid w:val="00172A27"/>
    <w:rsid w:val="00172FFD"/>
    <w:rsid w:val="00174854"/>
    <w:rsid w:val="00175D20"/>
    <w:rsid w:val="00176D27"/>
    <w:rsid w:val="0018088F"/>
    <w:rsid w:val="00184A30"/>
    <w:rsid w:val="0019116E"/>
    <w:rsid w:val="00192FB2"/>
    <w:rsid w:val="001B57AE"/>
    <w:rsid w:val="001D1786"/>
    <w:rsid w:val="001D1BAF"/>
    <w:rsid w:val="001E354C"/>
    <w:rsid w:val="001F7DE9"/>
    <w:rsid w:val="00204A58"/>
    <w:rsid w:val="00205544"/>
    <w:rsid w:val="00226A30"/>
    <w:rsid w:val="00227060"/>
    <w:rsid w:val="002318D3"/>
    <w:rsid w:val="00240EBF"/>
    <w:rsid w:val="002500F2"/>
    <w:rsid w:val="00253B6A"/>
    <w:rsid w:val="00254471"/>
    <w:rsid w:val="00254DAF"/>
    <w:rsid w:val="00255D3F"/>
    <w:rsid w:val="00281378"/>
    <w:rsid w:val="002952F1"/>
    <w:rsid w:val="00295B25"/>
    <w:rsid w:val="00296723"/>
    <w:rsid w:val="002A3EB2"/>
    <w:rsid w:val="002B162C"/>
    <w:rsid w:val="002B5248"/>
    <w:rsid w:val="002D3ADE"/>
    <w:rsid w:val="002D635F"/>
    <w:rsid w:val="002E13E5"/>
    <w:rsid w:val="002E18DC"/>
    <w:rsid w:val="002E19C4"/>
    <w:rsid w:val="002E551A"/>
    <w:rsid w:val="002E627F"/>
    <w:rsid w:val="00300C29"/>
    <w:rsid w:val="00312F8E"/>
    <w:rsid w:val="0032786E"/>
    <w:rsid w:val="00330A33"/>
    <w:rsid w:val="003327D7"/>
    <w:rsid w:val="00336D14"/>
    <w:rsid w:val="00341521"/>
    <w:rsid w:val="00343FB3"/>
    <w:rsid w:val="0034574C"/>
    <w:rsid w:val="00353269"/>
    <w:rsid w:val="00353E77"/>
    <w:rsid w:val="00363A82"/>
    <w:rsid w:val="003664A6"/>
    <w:rsid w:val="00366F7F"/>
    <w:rsid w:val="00370842"/>
    <w:rsid w:val="0037625D"/>
    <w:rsid w:val="0038470A"/>
    <w:rsid w:val="0038785C"/>
    <w:rsid w:val="003961DF"/>
    <w:rsid w:val="00397A30"/>
    <w:rsid w:val="003A06DF"/>
    <w:rsid w:val="003B12F2"/>
    <w:rsid w:val="003C43E3"/>
    <w:rsid w:val="003C58F2"/>
    <w:rsid w:val="003D24DF"/>
    <w:rsid w:val="003D59B4"/>
    <w:rsid w:val="003E2621"/>
    <w:rsid w:val="003E3402"/>
    <w:rsid w:val="004173E0"/>
    <w:rsid w:val="00422D08"/>
    <w:rsid w:val="00427E66"/>
    <w:rsid w:val="00437055"/>
    <w:rsid w:val="0044034C"/>
    <w:rsid w:val="004416BA"/>
    <w:rsid w:val="004448C0"/>
    <w:rsid w:val="004459E6"/>
    <w:rsid w:val="004471B0"/>
    <w:rsid w:val="004556BD"/>
    <w:rsid w:val="004570A3"/>
    <w:rsid w:val="00465F43"/>
    <w:rsid w:val="00470CB1"/>
    <w:rsid w:val="00471709"/>
    <w:rsid w:val="00472081"/>
    <w:rsid w:val="00484A2E"/>
    <w:rsid w:val="0048619C"/>
    <w:rsid w:val="0049148A"/>
    <w:rsid w:val="0049154A"/>
    <w:rsid w:val="004D3ECF"/>
    <w:rsid w:val="004D5EDE"/>
    <w:rsid w:val="004E5539"/>
    <w:rsid w:val="004F1CCB"/>
    <w:rsid w:val="004F478D"/>
    <w:rsid w:val="0050028C"/>
    <w:rsid w:val="00504402"/>
    <w:rsid w:val="005071EF"/>
    <w:rsid w:val="00512BDE"/>
    <w:rsid w:val="00520613"/>
    <w:rsid w:val="005259DD"/>
    <w:rsid w:val="0054186F"/>
    <w:rsid w:val="0056173F"/>
    <w:rsid w:val="00561BFD"/>
    <w:rsid w:val="00570D22"/>
    <w:rsid w:val="00573C2C"/>
    <w:rsid w:val="00581212"/>
    <w:rsid w:val="00592ECA"/>
    <w:rsid w:val="00593C1A"/>
    <w:rsid w:val="00596EDB"/>
    <w:rsid w:val="005973A7"/>
    <w:rsid w:val="00597A2A"/>
    <w:rsid w:val="005A5C5A"/>
    <w:rsid w:val="005B6C76"/>
    <w:rsid w:val="005C1434"/>
    <w:rsid w:val="005C44EB"/>
    <w:rsid w:val="005F1D70"/>
    <w:rsid w:val="006029B1"/>
    <w:rsid w:val="00627AB7"/>
    <w:rsid w:val="00630E4E"/>
    <w:rsid w:val="00635B02"/>
    <w:rsid w:val="00637AD0"/>
    <w:rsid w:val="00647DEB"/>
    <w:rsid w:val="006543A0"/>
    <w:rsid w:val="00657B97"/>
    <w:rsid w:val="006650FB"/>
    <w:rsid w:val="00672D91"/>
    <w:rsid w:val="006754DC"/>
    <w:rsid w:val="0068008A"/>
    <w:rsid w:val="00696C8A"/>
    <w:rsid w:val="006A0AE7"/>
    <w:rsid w:val="006B1600"/>
    <w:rsid w:val="006B1AFB"/>
    <w:rsid w:val="006C1C80"/>
    <w:rsid w:val="006D3047"/>
    <w:rsid w:val="006E23CE"/>
    <w:rsid w:val="006E7B94"/>
    <w:rsid w:val="006E7C78"/>
    <w:rsid w:val="00701B27"/>
    <w:rsid w:val="00703E17"/>
    <w:rsid w:val="00704663"/>
    <w:rsid w:val="00710BFC"/>
    <w:rsid w:val="00742157"/>
    <w:rsid w:val="007425E8"/>
    <w:rsid w:val="00744591"/>
    <w:rsid w:val="00745F69"/>
    <w:rsid w:val="007506BA"/>
    <w:rsid w:val="00752505"/>
    <w:rsid w:val="00754373"/>
    <w:rsid w:val="007630C9"/>
    <w:rsid w:val="00781598"/>
    <w:rsid w:val="00787953"/>
    <w:rsid w:val="007971BB"/>
    <w:rsid w:val="007A3647"/>
    <w:rsid w:val="007A595F"/>
    <w:rsid w:val="007A668E"/>
    <w:rsid w:val="007B048B"/>
    <w:rsid w:val="007B06E5"/>
    <w:rsid w:val="007B67EA"/>
    <w:rsid w:val="007B7B48"/>
    <w:rsid w:val="007C1D35"/>
    <w:rsid w:val="007C2864"/>
    <w:rsid w:val="007E129C"/>
    <w:rsid w:val="007E5467"/>
    <w:rsid w:val="007F1FB4"/>
    <w:rsid w:val="00804AB6"/>
    <w:rsid w:val="00804AD6"/>
    <w:rsid w:val="00805425"/>
    <w:rsid w:val="00810D49"/>
    <w:rsid w:val="008115D5"/>
    <w:rsid w:val="00821296"/>
    <w:rsid w:val="00845D6D"/>
    <w:rsid w:val="008518AF"/>
    <w:rsid w:val="00860D04"/>
    <w:rsid w:val="0086107C"/>
    <w:rsid w:val="00861DA3"/>
    <w:rsid w:val="00864091"/>
    <w:rsid w:val="008719DE"/>
    <w:rsid w:val="00877F1B"/>
    <w:rsid w:val="0089712F"/>
    <w:rsid w:val="008A2B4A"/>
    <w:rsid w:val="008A41CA"/>
    <w:rsid w:val="008B1D48"/>
    <w:rsid w:val="008B38E8"/>
    <w:rsid w:val="008D13BF"/>
    <w:rsid w:val="008D179D"/>
    <w:rsid w:val="008D34D4"/>
    <w:rsid w:val="008D52A0"/>
    <w:rsid w:val="008F2219"/>
    <w:rsid w:val="008F5596"/>
    <w:rsid w:val="00917AD7"/>
    <w:rsid w:val="009408DD"/>
    <w:rsid w:val="00953DF2"/>
    <w:rsid w:val="00954959"/>
    <w:rsid w:val="009557D1"/>
    <w:rsid w:val="00956AD7"/>
    <w:rsid w:val="0097237A"/>
    <w:rsid w:val="00984295"/>
    <w:rsid w:val="009A50FD"/>
    <w:rsid w:val="009B2A3C"/>
    <w:rsid w:val="009C4F17"/>
    <w:rsid w:val="009D04F6"/>
    <w:rsid w:val="009E28BB"/>
    <w:rsid w:val="009E2D0B"/>
    <w:rsid w:val="009E30EE"/>
    <w:rsid w:val="009E78ED"/>
    <w:rsid w:val="009F5BDB"/>
    <w:rsid w:val="00A030B6"/>
    <w:rsid w:val="00A06B73"/>
    <w:rsid w:val="00A13609"/>
    <w:rsid w:val="00A147ED"/>
    <w:rsid w:val="00A14F29"/>
    <w:rsid w:val="00A23E77"/>
    <w:rsid w:val="00A3037C"/>
    <w:rsid w:val="00A30902"/>
    <w:rsid w:val="00A41D65"/>
    <w:rsid w:val="00A55027"/>
    <w:rsid w:val="00A55309"/>
    <w:rsid w:val="00A56CD5"/>
    <w:rsid w:val="00A7655A"/>
    <w:rsid w:val="00A86940"/>
    <w:rsid w:val="00A87413"/>
    <w:rsid w:val="00A93AC0"/>
    <w:rsid w:val="00AA6BA7"/>
    <w:rsid w:val="00AB4026"/>
    <w:rsid w:val="00AC1091"/>
    <w:rsid w:val="00AD34B2"/>
    <w:rsid w:val="00AD6C3B"/>
    <w:rsid w:val="00AE2198"/>
    <w:rsid w:val="00AE23CB"/>
    <w:rsid w:val="00AF6486"/>
    <w:rsid w:val="00B07CEA"/>
    <w:rsid w:val="00B3459A"/>
    <w:rsid w:val="00B406A6"/>
    <w:rsid w:val="00B5022A"/>
    <w:rsid w:val="00B52645"/>
    <w:rsid w:val="00B559F9"/>
    <w:rsid w:val="00B602F6"/>
    <w:rsid w:val="00B76AD4"/>
    <w:rsid w:val="00B80337"/>
    <w:rsid w:val="00B80CE5"/>
    <w:rsid w:val="00B964D9"/>
    <w:rsid w:val="00BA488D"/>
    <w:rsid w:val="00BB18A8"/>
    <w:rsid w:val="00BB5135"/>
    <w:rsid w:val="00BC3F6A"/>
    <w:rsid w:val="00BC5DA8"/>
    <w:rsid w:val="00BF23B9"/>
    <w:rsid w:val="00BF66FB"/>
    <w:rsid w:val="00C007A9"/>
    <w:rsid w:val="00C06388"/>
    <w:rsid w:val="00C12F6F"/>
    <w:rsid w:val="00C20B52"/>
    <w:rsid w:val="00C23B3D"/>
    <w:rsid w:val="00C32791"/>
    <w:rsid w:val="00C35FFC"/>
    <w:rsid w:val="00C41E6D"/>
    <w:rsid w:val="00C44C07"/>
    <w:rsid w:val="00C56477"/>
    <w:rsid w:val="00C61547"/>
    <w:rsid w:val="00C61C5E"/>
    <w:rsid w:val="00C61F24"/>
    <w:rsid w:val="00C72CAB"/>
    <w:rsid w:val="00C81768"/>
    <w:rsid w:val="00C85DAD"/>
    <w:rsid w:val="00C87E86"/>
    <w:rsid w:val="00C9060E"/>
    <w:rsid w:val="00C921E2"/>
    <w:rsid w:val="00CA09B8"/>
    <w:rsid w:val="00CA26E4"/>
    <w:rsid w:val="00CA534E"/>
    <w:rsid w:val="00CA57F9"/>
    <w:rsid w:val="00CB1F3B"/>
    <w:rsid w:val="00CB543F"/>
    <w:rsid w:val="00CC39B8"/>
    <w:rsid w:val="00CC6101"/>
    <w:rsid w:val="00CC7DEB"/>
    <w:rsid w:val="00CD0193"/>
    <w:rsid w:val="00CD58A1"/>
    <w:rsid w:val="00CE26E1"/>
    <w:rsid w:val="00CE4291"/>
    <w:rsid w:val="00CF5EF2"/>
    <w:rsid w:val="00D01EEC"/>
    <w:rsid w:val="00D140B7"/>
    <w:rsid w:val="00D43446"/>
    <w:rsid w:val="00D46687"/>
    <w:rsid w:val="00D70C6C"/>
    <w:rsid w:val="00D95D6D"/>
    <w:rsid w:val="00DA26E7"/>
    <w:rsid w:val="00DA4944"/>
    <w:rsid w:val="00DA6167"/>
    <w:rsid w:val="00DB6130"/>
    <w:rsid w:val="00DB6DAF"/>
    <w:rsid w:val="00DD4C2B"/>
    <w:rsid w:val="00DD5666"/>
    <w:rsid w:val="00DD7942"/>
    <w:rsid w:val="00DE24A8"/>
    <w:rsid w:val="00E0302D"/>
    <w:rsid w:val="00E0309B"/>
    <w:rsid w:val="00E1205B"/>
    <w:rsid w:val="00E26175"/>
    <w:rsid w:val="00E351E4"/>
    <w:rsid w:val="00E37A5A"/>
    <w:rsid w:val="00E44A46"/>
    <w:rsid w:val="00E5045A"/>
    <w:rsid w:val="00E56716"/>
    <w:rsid w:val="00E57EB8"/>
    <w:rsid w:val="00E7024C"/>
    <w:rsid w:val="00E70DCB"/>
    <w:rsid w:val="00E71802"/>
    <w:rsid w:val="00E96A86"/>
    <w:rsid w:val="00E975B3"/>
    <w:rsid w:val="00EA3FE7"/>
    <w:rsid w:val="00EB2BDF"/>
    <w:rsid w:val="00EB37C0"/>
    <w:rsid w:val="00EB5B64"/>
    <w:rsid w:val="00EB7CE8"/>
    <w:rsid w:val="00ED72FC"/>
    <w:rsid w:val="00F031A9"/>
    <w:rsid w:val="00F1304B"/>
    <w:rsid w:val="00F14E99"/>
    <w:rsid w:val="00F205B4"/>
    <w:rsid w:val="00F23B7A"/>
    <w:rsid w:val="00F35ED8"/>
    <w:rsid w:val="00F36953"/>
    <w:rsid w:val="00F37A67"/>
    <w:rsid w:val="00F40E8A"/>
    <w:rsid w:val="00F416EB"/>
    <w:rsid w:val="00F41D51"/>
    <w:rsid w:val="00F520FA"/>
    <w:rsid w:val="00F56429"/>
    <w:rsid w:val="00F66B46"/>
    <w:rsid w:val="00F678BC"/>
    <w:rsid w:val="00F7110E"/>
    <w:rsid w:val="00F765FB"/>
    <w:rsid w:val="00F77D83"/>
    <w:rsid w:val="00F82D0F"/>
    <w:rsid w:val="00F83D58"/>
    <w:rsid w:val="00F851C8"/>
    <w:rsid w:val="00FA0100"/>
    <w:rsid w:val="00FA52DE"/>
    <w:rsid w:val="00FA6790"/>
    <w:rsid w:val="00FE7557"/>
    <w:rsid w:val="00FF6CEF"/>
    <w:rsid w:val="1CA05DE5"/>
    <w:rsid w:val="37191276"/>
    <w:rsid w:val="415123FB"/>
    <w:rsid w:val="4D940AAC"/>
    <w:rsid w:val="6A572643"/>
    <w:rsid w:val="7704180B"/>
    <w:rsid w:val="7CF4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宋体" w:hAnsi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等线 Light" w:hAnsi="等线 Light" w:eastAsia="等线 Light"/>
      <w:b/>
      <w:bCs/>
      <w:sz w:val="32"/>
      <w:szCs w:val="32"/>
    </w:rPr>
  </w:style>
  <w:style w:type="paragraph" w:styleId="4">
    <w:name w:val="heading 3"/>
    <w:basedOn w:val="1"/>
    <w:next w:val="1"/>
    <w:link w:val="35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等线 Light" w:hAnsi="等线 Light" w:eastAsia="等线 Light"/>
      <w:b/>
      <w:bCs/>
      <w:sz w:val="28"/>
      <w:szCs w:val="28"/>
    </w:rPr>
  </w:style>
  <w:style w:type="character" w:default="1" w:styleId="20">
    <w:name w:val="Default Paragraph Font"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ascii="等线 Light" w:hAnsi="等线 Light" w:eastAsia="黑体"/>
      <w:sz w:val="20"/>
      <w:szCs w:val="20"/>
    </w:rPr>
  </w:style>
  <w:style w:type="paragraph" w:styleId="7">
    <w:name w:val="annotation text"/>
    <w:basedOn w:val="1"/>
    <w:link w:val="24"/>
    <w:uiPriority w:val="0"/>
    <w:pPr>
      <w:jc w:val="left"/>
    </w:pPr>
  </w:style>
  <w:style w:type="paragraph" w:styleId="8">
    <w:name w:val="Body Text Indent"/>
    <w:basedOn w:val="1"/>
    <w:link w:val="33"/>
    <w:semiHidden/>
    <w:unhideWhenUsed/>
    <w:uiPriority w:val="99"/>
    <w:pPr>
      <w:spacing w:after="120"/>
      <w:ind w:left="420" w:leftChars="200"/>
    </w:pPr>
  </w:style>
  <w:style w:type="paragraph" w:styleId="9">
    <w:name w:val="Date"/>
    <w:basedOn w:val="1"/>
    <w:next w:val="1"/>
    <w:link w:val="25"/>
    <w:uiPriority w:val="0"/>
    <w:pPr>
      <w:ind w:left="100" w:leftChars="2500"/>
    </w:pPr>
    <w:rPr>
      <w:kern w:val="0"/>
      <w:sz w:val="20"/>
      <w:szCs w:val="20"/>
    </w:rPr>
  </w:style>
  <w:style w:type="paragraph" w:styleId="10">
    <w:name w:val="Balloon Text"/>
    <w:basedOn w:val="1"/>
    <w:link w:val="26"/>
    <w:uiPriority w:val="0"/>
    <w:rPr>
      <w:kern w:val="0"/>
      <w:sz w:val="2"/>
      <w:szCs w:val="20"/>
    </w:rPr>
  </w:style>
  <w:style w:type="paragraph" w:styleId="11">
    <w:name w:val="footer"/>
    <w:basedOn w:val="1"/>
    <w:link w:val="27"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2">
    <w:name w:val="header"/>
    <w:basedOn w:val="1"/>
    <w:link w:val="2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3">
    <w:name w:val="Subtitle"/>
    <w:basedOn w:val="1"/>
    <w:next w:val="1"/>
    <w:link w:val="40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1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15">
    <w:name w:val="Title"/>
    <w:basedOn w:val="1"/>
    <w:next w:val="1"/>
    <w:link w:val="3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6">
    <w:name w:val="annotation subject"/>
    <w:basedOn w:val="7"/>
    <w:next w:val="7"/>
    <w:link w:val="29"/>
    <w:uiPriority w:val="0"/>
    <w:rPr>
      <w:b/>
      <w:bCs/>
      <w:kern w:val="0"/>
      <w:sz w:val="20"/>
      <w:szCs w:val="20"/>
    </w:rPr>
  </w:style>
  <w:style w:type="paragraph" w:styleId="17">
    <w:name w:val="Body Text First Indent 2"/>
    <w:basedOn w:val="8"/>
    <w:link w:val="34"/>
    <w:semiHidden/>
    <w:unhideWhenUsed/>
    <w:uiPriority w:val="99"/>
    <w:pPr>
      <w:ind w:firstLine="420" w:firstLineChars="200"/>
    </w:pPr>
  </w:style>
  <w:style w:type="table" w:styleId="19">
    <w:name w:val="Table Grid"/>
    <w:basedOn w:val="18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21">
    <w:name w:val="Hyperlink"/>
    <w:uiPriority w:val="0"/>
    <w:rPr>
      <w:rFonts w:cs="Times New Roman"/>
      <w:color w:val="0000FF"/>
      <w:u w:val="single"/>
    </w:rPr>
  </w:style>
  <w:style w:type="character" w:styleId="22">
    <w:name w:val="annotation reference"/>
    <w:uiPriority w:val="0"/>
    <w:rPr>
      <w:sz w:val="21"/>
      <w:szCs w:val="21"/>
    </w:rPr>
  </w:style>
  <w:style w:type="character" w:customStyle="1" w:styleId="23">
    <w:name w:val="标题 1 字符"/>
    <w:link w:val="2"/>
    <w:uiPriority w:val="0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4">
    <w:name w:val="批注文字 字符"/>
    <w:link w:val="7"/>
    <w:uiPriority w:val="0"/>
  </w:style>
  <w:style w:type="character" w:customStyle="1" w:styleId="25">
    <w:name w:val="日期 字符"/>
    <w:link w:val="9"/>
    <w:uiPriority w:val="0"/>
    <w:rPr>
      <w:rFonts w:cs="Times New Roman"/>
    </w:rPr>
  </w:style>
  <w:style w:type="character" w:customStyle="1" w:styleId="26">
    <w:name w:val="批注框文本 字符"/>
    <w:link w:val="10"/>
    <w:uiPriority w:val="0"/>
    <w:rPr>
      <w:rFonts w:cs="Times New Roman"/>
      <w:sz w:val="2"/>
    </w:rPr>
  </w:style>
  <w:style w:type="character" w:customStyle="1" w:styleId="27">
    <w:name w:val="页脚 字符"/>
    <w:link w:val="11"/>
    <w:uiPriority w:val="0"/>
    <w:rPr>
      <w:rFonts w:cs="Times New Roman"/>
      <w:sz w:val="18"/>
      <w:szCs w:val="18"/>
    </w:rPr>
  </w:style>
  <w:style w:type="character" w:customStyle="1" w:styleId="28">
    <w:name w:val="页眉 字符"/>
    <w:link w:val="12"/>
    <w:uiPriority w:val="0"/>
    <w:rPr>
      <w:rFonts w:cs="Times New Roman"/>
      <w:sz w:val="18"/>
      <w:szCs w:val="18"/>
    </w:rPr>
  </w:style>
  <w:style w:type="character" w:customStyle="1" w:styleId="29">
    <w:name w:val="批注主题 字符"/>
    <w:link w:val="16"/>
    <w:uiPriority w:val="0"/>
    <w:rPr>
      <w:b/>
      <w:bCs/>
    </w:rPr>
  </w:style>
  <w:style w:type="paragraph" w:customStyle="1" w:styleId="30">
    <w:name w:val="列表段落1"/>
    <w:basedOn w:val="1"/>
    <w:uiPriority w:val="0"/>
    <w:pPr>
      <w:ind w:firstLine="420" w:firstLineChars="200"/>
    </w:pPr>
  </w:style>
  <w:style w:type="paragraph" w:customStyle="1" w:styleId="31">
    <w:name w:val="be358f00-9758-446e-aec5-cde8345aeef3"/>
    <w:basedOn w:val="17"/>
    <w:link w:val="32"/>
    <w:uiPriority w:val="0"/>
    <w:pPr>
      <w:adjustRightInd w:val="0"/>
      <w:spacing w:beforeLines="50" w:after="0" w:afterLines="50" w:line="288" w:lineRule="auto"/>
      <w:ind w:left="0" w:firstLine="440"/>
      <w:jc w:val="left"/>
    </w:pPr>
    <w:rPr>
      <w:rFonts w:ascii="微软雅黑" w:hAnsi="微软雅黑" w:eastAsia="微软雅黑"/>
      <w:color w:val="000000"/>
      <w:sz w:val="22"/>
      <w:szCs w:val="32"/>
    </w:rPr>
  </w:style>
  <w:style w:type="character" w:customStyle="1" w:styleId="32">
    <w:name w:val="be358f00-9758-446e-aec5-cde8345aeef3 字符"/>
    <w:link w:val="31"/>
    <w:uiPriority w:val="0"/>
    <w:rPr>
      <w:rFonts w:ascii="微软雅黑" w:hAnsi="微软雅黑" w:eastAsia="微软雅黑"/>
      <w:color w:val="000000"/>
      <w:kern w:val="2"/>
      <w:sz w:val="22"/>
      <w:szCs w:val="32"/>
    </w:rPr>
  </w:style>
  <w:style w:type="character" w:customStyle="1" w:styleId="33">
    <w:name w:val="正文文本缩进 字符"/>
    <w:link w:val="8"/>
    <w:semiHidden/>
    <w:uiPriority w:val="99"/>
    <w:rPr>
      <w:kern w:val="2"/>
      <w:sz w:val="21"/>
      <w:szCs w:val="22"/>
    </w:rPr>
  </w:style>
  <w:style w:type="character" w:customStyle="1" w:styleId="34">
    <w:name w:val="正文文本首行缩进 2 字符"/>
    <w:basedOn w:val="33"/>
    <w:link w:val="17"/>
    <w:semiHidden/>
    <w:uiPriority w:val="99"/>
    <w:rPr>
      <w:kern w:val="2"/>
      <w:sz w:val="21"/>
      <w:szCs w:val="22"/>
    </w:rPr>
  </w:style>
  <w:style w:type="character" w:customStyle="1" w:styleId="35">
    <w:name w:val="标题 3 字符"/>
    <w:link w:val="4"/>
    <w:semiHidden/>
    <w:uiPriority w:val="9"/>
    <w:rPr>
      <w:b/>
      <w:bCs/>
      <w:kern w:val="2"/>
      <w:sz w:val="32"/>
      <w:szCs w:val="32"/>
    </w:rPr>
  </w:style>
  <w:style w:type="character" w:customStyle="1" w:styleId="36">
    <w:name w:val="标题 4 字符"/>
    <w:link w:val="5"/>
    <w:semiHidden/>
    <w:uiPriority w:val="9"/>
    <w:rPr>
      <w:rFonts w:ascii="等线 Light" w:hAnsi="等线 Light" w:eastAsia="等线 Light" w:cs="Times New Roman"/>
      <w:b/>
      <w:bCs/>
      <w:kern w:val="2"/>
      <w:sz w:val="28"/>
      <w:szCs w:val="28"/>
    </w:rPr>
  </w:style>
  <w:style w:type="paragraph" w:styleId="37">
    <w:name w:val="List Paragraph"/>
    <w:basedOn w:val="1"/>
    <w:qFormat/>
    <w:uiPriority w:val="99"/>
    <w:pPr>
      <w:ind w:firstLine="420" w:firstLineChars="200"/>
    </w:pPr>
  </w:style>
  <w:style w:type="character" w:customStyle="1" w:styleId="38">
    <w:name w:val="标题 2 字符"/>
    <w:link w:val="3"/>
    <w:semiHidden/>
    <w:uiPriority w:val="9"/>
    <w:rPr>
      <w:rFonts w:ascii="等线 Light" w:hAnsi="等线 Light" w:eastAsia="等线 Light" w:cs="Times New Roman"/>
      <w:b/>
      <w:bCs/>
      <w:kern w:val="2"/>
      <w:sz w:val="32"/>
      <w:szCs w:val="32"/>
    </w:rPr>
  </w:style>
  <w:style w:type="character" w:customStyle="1" w:styleId="39">
    <w:name w:val="标题 字符"/>
    <w:basedOn w:val="20"/>
    <w:link w:val="15"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0">
    <w:name w:val="副标题 字符"/>
    <w:basedOn w:val="20"/>
    <w:link w:val="13"/>
    <w:uiPriority w:val="11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41">
    <w:name w:val="21bc9c4b-6a32-43e5-beaa-fd2d792c5735"/>
    <w:basedOn w:val="2"/>
    <w:next w:val="42"/>
    <w:link w:val="43"/>
    <w:uiPriority w:val="0"/>
    <w:pPr>
      <w:adjustRightInd w:val="0"/>
      <w:spacing w:before="0" w:beforeAutospacing="0" w:after="0" w:afterAutospacing="0" w:line="288" w:lineRule="auto"/>
    </w:pPr>
    <w:rPr>
      <w:rFonts w:ascii="微软雅黑" w:hAnsi="微软雅黑" w:eastAsia="微软雅黑"/>
      <w:color w:val="000000"/>
      <w:sz w:val="32"/>
    </w:rPr>
  </w:style>
  <w:style w:type="paragraph" w:customStyle="1" w:styleId="42">
    <w:name w:val="acbfdd8b-e11b-4d36-88ff-6049b138f862"/>
    <w:basedOn w:val="1"/>
    <w:link w:val="44"/>
    <w:uiPriority w:val="0"/>
    <w:pPr>
      <w:adjustRightInd w:val="0"/>
      <w:spacing w:line="288" w:lineRule="auto"/>
      <w:jc w:val="left"/>
    </w:pPr>
    <w:rPr>
      <w:rFonts w:ascii="微软雅黑" w:hAnsi="微软雅黑" w:eastAsia="微软雅黑"/>
      <w:color w:val="000000"/>
      <w:sz w:val="22"/>
    </w:rPr>
  </w:style>
  <w:style w:type="character" w:customStyle="1" w:styleId="43">
    <w:name w:val="21bc9c4b-6a32-43e5-beaa-fd2d792c5735 字符"/>
    <w:basedOn w:val="32"/>
    <w:link w:val="41"/>
    <w:uiPriority w:val="0"/>
    <w:rPr>
      <w:rFonts w:ascii="微软雅黑" w:hAnsi="微软雅黑" w:eastAsia="微软雅黑"/>
      <w:b/>
      <w:bCs/>
      <w:color w:val="000000"/>
      <w:kern w:val="36"/>
      <w:sz w:val="32"/>
      <w:szCs w:val="48"/>
    </w:rPr>
  </w:style>
  <w:style w:type="character" w:customStyle="1" w:styleId="44">
    <w:name w:val="acbfdd8b-e11b-4d36-88ff-6049b138f862 字符"/>
    <w:basedOn w:val="32"/>
    <w:link w:val="42"/>
    <w:uiPriority w:val="0"/>
    <w:rPr>
      <w:rFonts w:ascii="微软雅黑" w:hAnsi="微软雅黑" w:eastAsia="微软雅黑"/>
      <w:color w:val="000000"/>
      <w:kern w:val="2"/>
      <w:sz w:val="22"/>
      <w:szCs w:val="22"/>
    </w:rPr>
  </w:style>
  <w:style w:type="paragraph" w:customStyle="1" w:styleId="45">
    <w:name w:val="71e7dc79-1ff7-45e8-997d-0ebda3762b91"/>
    <w:basedOn w:val="3"/>
    <w:next w:val="42"/>
    <w:link w:val="46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8"/>
    </w:rPr>
  </w:style>
  <w:style w:type="character" w:customStyle="1" w:styleId="46">
    <w:name w:val="71e7dc79-1ff7-45e8-997d-0ebda3762b91 字符"/>
    <w:basedOn w:val="43"/>
    <w:link w:val="45"/>
    <w:uiPriority w:val="0"/>
    <w:rPr>
      <w:rFonts w:ascii="微软雅黑" w:hAnsi="微软雅黑" w:eastAsia="微软雅黑"/>
      <w:color w:val="000000"/>
      <w:kern w:val="2"/>
      <w:sz w:val="28"/>
      <w:szCs w:val="32"/>
    </w:rPr>
  </w:style>
  <w:style w:type="paragraph" w:customStyle="1" w:styleId="47">
    <w:name w:val="b63ee27f-4cf3-414c-9275-d88e3f90795e"/>
    <w:basedOn w:val="4"/>
    <w:next w:val="42"/>
    <w:link w:val="48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6"/>
    </w:rPr>
  </w:style>
  <w:style w:type="character" w:customStyle="1" w:styleId="48">
    <w:name w:val="b63ee27f-4cf3-414c-9275-d88e3f90795e 字符"/>
    <w:basedOn w:val="46"/>
    <w:link w:val="47"/>
    <w:uiPriority w:val="0"/>
    <w:rPr>
      <w:rFonts w:ascii="微软雅黑" w:hAnsi="微软雅黑" w:eastAsia="微软雅黑"/>
      <w:color w:val="000000"/>
      <w:kern w:val="2"/>
      <w:sz w:val="26"/>
      <w:szCs w:val="32"/>
    </w:rPr>
  </w:style>
  <w:style w:type="paragraph" w:customStyle="1" w:styleId="49">
    <w:name w:val="566ba9ff-a5b0-4b6f-bbdf-c3ab41993fc2"/>
    <w:basedOn w:val="5"/>
    <w:next w:val="42"/>
    <w:link w:val="50"/>
    <w:uiPriority w:val="0"/>
    <w:pPr>
      <w:adjustRightInd w:val="0"/>
      <w:spacing w:before="0" w:after="0" w:line="288" w:lineRule="auto"/>
      <w:jc w:val="left"/>
    </w:pPr>
    <w:rPr>
      <w:rFonts w:ascii="微软雅黑" w:hAnsi="微软雅黑" w:eastAsia="微软雅黑"/>
      <w:color w:val="000000"/>
      <w:sz w:val="24"/>
    </w:rPr>
  </w:style>
  <w:style w:type="character" w:customStyle="1" w:styleId="50">
    <w:name w:val="566ba9ff-a5b0-4b6f-bbdf-c3ab41993fc2 字符"/>
    <w:basedOn w:val="48"/>
    <w:link w:val="49"/>
    <w:uiPriority w:val="0"/>
    <w:rPr>
      <w:rFonts w:ascii="微软雅黑" w:hAnsi="微软雅黑" w:eastAsia="微软雅黑"/>
      <w:color w:val="000000"/>
      <w:kern w:val="2"/>
      <w:sz w:val="24"/>
      <w:szCs w:val="28"/>
    </w:rPr>
  </w:style>
  <w:style w:type="paragraph" w:customStyle="1" w:styleId="51">
    <w:name w:val="汤福连标题1"/>
    <w:basedOn w:val="1"/>
    <w:qFormat/>
    <w:uiPriority w:val="0"/>
    <w:pPr>
      <w:ind w:firstLine="200" w:firstLineChars="200"/>
    </w:pPr>
    <w:rPr>
      <w:rFonts w:ascii="Times New Roman" w:hAnsi="Times New Roman" w:eastAsia="黑体"/>
      <w:color w:val="000000" w:themeColor="text1"/>
      <w:kern w:val="0"/>
      <w:sz w:val="28"/>
      <w:szCs w:val="28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numbering" Target="numbering.xml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jpe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emf"/><Relationship Id="rId11" Type="http://schemas.openxmlformats.org/officeDocument/2006/relationships/package" Target="embeddings/Microsoft_Visio___1.vsdx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1C8B1D-3C1D-4F8D-A134-C74CB42807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15</Pages>
  <Words>8281</Words>
  <Characters>9483</Characters>
  <Lines>205</Lines>
  <Paragraphs>204</Paragraphs>
  <TotalTime>413</TotalTime>
  <ScaleCrop>false</ScaleCrop>
  <LinksUpToDate>false</LinksUpToDate>
  <CharactersWithSpaces>9486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2026-04-28T04:19:00Z</dcterms:created>
  <dc:creator>Administrator</dc:creator>
  <cp:lastModifiedBy>汤福连</cp:lastModifiedBy>
  <cp:lastPrinted>2026-05-14T05:07:00Z</cp:lastPrinted>
  <dcterms:modified xsi:type="dcterms:W3CDTF">2026-09-19T09:19:27Z</dcterms:modified>
  <dc:title>关于第一届黑龙江省大学生光电设计竞赛的通知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2B520E2D1F1D42D5B86268E6A3277D9C_12</vt:lpwstr>
  </property>
  <property fmtid="{D5CDD505-2E9C-101B-9397-08002B2CF9AE}" pid="4" name="KSOTemplateDocerSaveRecord">
    <vt:lpwstr>eyJoZGlkIjoiNzhmMDExMGMwODA2OWNmODExNDIzNDAzMWU1OWIyNmIiLCJ1c2VySWQiOiIxMzMzMTEzNjQyIn0=</vt:lpwstr>
  </property>
</Properties>
</file>