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ind w:left="420"/>
        <w:jc w:val="center"/>
        <w:rPr>
          <w:rFonts w:ascii="微软雅黑" w:hAnsi="微软雅黑" w:eastAsia="微软雅黑"/>
          <w:b/>
          <w:sz w:val="30"/>
          <w:szCs w:val="20"/>
        </w:rPr>
      </w:pPr>
      <w:r>
        <w:rPr>
          <w:rFonts w:hint="eastAsia" w:ascii="微软雅黑" w:hAnsi="微软雅黑" w:eastAsia="微软雅黑"/>
          <w:b/>
          <w:sz w:val="52"/>
          <w:lang w:val="en-US" w:eastAsia="zh-CN"/>
        </w:rPr>
        <w:t>人人基因检测系统概要</w:t>
      </w:r>
      <w:r>
        <w:rPr>
          <w:rFonts w:hint="eastAsia" w:ascii="微软雅黑" w:hAnsi="微软雅黑" w:eastAsia="微软雅黑"/>
          <w:b/>
          <w:sz w:val="52"/>
        </w:rPr>
        <w:t>计说明书</w:t>
      </w:r>
    </w:p>
    <w:p>
      <w:pPr>
        <w:ind w:left="420"/>
        <w:jc w:val="center"/>
        <w:rPr>
          <w:b/>
          <w:sz w:val="30"/>
          <w:szCs w:val="20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color w:val="0000FF"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版本号1.0</w:t>
      </w:r>
    </w:p>
    <w:p/>
    <w:p/>
    <w:p/>
    <w:p/>
    <w:p/>
    <w:p/>
    <w:p/>
    <w:p/>
    <w:p>
      <w:pPr>
        <w:ind w:left="2520" w:firstLine="420"/>
        <w:rPr>
          <w:rFonts w:ascii="微软雅黑" w:hAnsi="微软雅黑" w:eastAsia="微软雅黑"/>
          <w:b/>
        </w:rPr>
      </w:pPr>
      <w:bookmarkStart w:id="0" w:name="OLE_LINK6"/>
      <w:r>
        <w:rPr>
          <w:rFonts w:hint="eastAsia" w:ascii="微软雅黑" w:hAnsi="微软雅黑" w:eastAsia="微软雅黑"/>
          <w:b/>
        </w:rPr>
        <w:t>编写人：</w:t>
      </w:r>
      <w:r>
        <w:rPr>
          <w:rFonts w:hint="eastAsia" w:ascii="微软雅黑" w:hAnsi="微软雅黑" w:eastAsia="微软雅黑"/>
          <w:b/>
          <w:u w:val="single"/>
        </w:rPr>
        <w:t xml:space="preserve"> 曾广炜  </w:t>
      </w:r>
    </w:p>
    <w:p>
      <w:pPr>
        <w:ind w:left="2520" w:firstLine="42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编写时间：</w:t>
      </w:r>
      <w:r>
        <w:rPr>
          <w:rFonts w:ascii="微软雅黑" w:hAnsi="微软雅黑" w:eastAsia="微软雅黑"/>
          <w:b/>
          <w:u w:val="single"/>
        </w:rPr>
        <w:t>20</w:t>
      </w:r>
      <w:r>
        <w:rPr>
          <w:rFonts w:hint="eastAsia" w:ascii="微软雅黑" w:hAnsi="微软雅黑" w:eastAsia="微软雅黑"/>
          <w:b/>
          <w:u w:val="single"/>
        </w:rPr>
        <w:t>1</w:t>
      </w:r>
      <w:r>
        <w:rPr>
          <w:rFonts w:hint="eastAsia" w:ascii="微软雅黑" w:hAnsi="微软雅黑" w:eastAsia="微软雅黑"/>
          <w:b/>
          <w:u w:val="single"/>
          <w:lang w:val="en-US" w:eastAsia="zh-CN"/>
        </w:rPr>
        <w:t>6</w:t>
      </w:r>
      <w:r>
        <w:rPr>
          <w:rFonts w:ascii="微软雅黑" w:hAnsi="微软雅黑" w:eastAsia="微软雅黑"/>
          <w:b/>
          <w:u w:val="single"/>
        </w:rPr>
        <w:t>-</w:t>
      </w:r>
      <w:r>
        <w:rPr>
          <w:rFonts w:hint="eastAsia" w:ascii="微软雅黑" w:hAnsi="微软雅黑" w:eastAsia="微软雅黑"/>
          <w:b/>
          <w:u w:val="single"/>
        </w:rPr>
        <w:t>08</w:t>
      </w:r>
      <w:r>
        <w:rPr>
          <w:rFonts w:ascii="微软雅黑" w:hAnsi="微软雅黑" w:eastAsia="微软雅黑"/>
          <w:b/>
          <w:u w:val="single"/>
        </w:rPr>
        <w:t>-</w:t>
      </w:r>
      <w:r>
        <w:rPr>
          <w:rFonts w:hint="eastAsia" w:ascii="微软雅黑" w:hAnsi="微软雅黑" w:eastAsia="微软雅黑"/>
          <w:b/>
          <w:u w:val="single"/>
        </w:rPr>
        <w:t>07</w:t>
      </w:r>
    </w:p>
    <w:bookmarkEnd w:id="0"/>
    <w:p>
      <w:pPr>
        <w:tabs>
          <w:tab w:val="left" w:pos="6405"/>
        </w:tabs>
      </w:pPr>
      <w:r>
        <w:tab/>
      </w:r>
    </w:p>
    <w:p/>
    <w:p/>
    <w:p/>
    <w:p/>
    <w:p/>
    <w:p>
      <w:pPr>
        <w:widowControl/>
        <w:jc w:val="center"/>
        <w:rPr>
          <w:rFonts w:ascii="微软雅黑" w:hAnsi="微软雅黑" w:eastAsia="微软雅黑"/>
          <w:b/>
          <w:kern w:val="0"/>
          <w:szCs w:val="20"/>
        </w:rPr>
      </w:pPr>
      <w:r>
        <w:rPr>
          <w:rFonts w:hint="eastAsia" w:ascii="微软雅黑" w:hAnsi="微软雅黑" w:eastAsia="微软雅黑"/>
          <w:b/>
          <w:kern w:val="0"/>
          <w:szCs w:val="20"/>
        </w:rPr>
        <w:t xml:space="preserve">修订控制页 </w:t>
      </w:r>
    </w:p>
    <w:tbl>
      <w:tblPr>
        <w:tblStyle w:val="10"/>
        <w:tblW w:w="8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260"/>
        <w:gridCol w:w="1440"/>
        <w:gridCol w:w="1532"/>
        <w:gridCol w:w="1569"/>
        <w:gridCol w:w="11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文档版本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修订章节</w:t>
            </w: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修订原因</w:t>
            </w:r>
          </w:p>
        </w:tc>
        <w:tc>
          <w:tcPr>
            <w:tcW w:w="15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修订日期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 xml:space="preserve">修订人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line="360" w:lineRule="auto"/>
              <w:jc w:val="center"/>
              <w:rPr>
                <w:rFonts w:ascii="微软雅黑" w:hAnsi="微软雅黑" w:eastAsia="微软雅黑"/>
                <w:b/>
                <w:kern w:val="2"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kern w:val="2"/>
                <w:sz w:val="21"/>
              </w:rPr>
              <w:t>V1.0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初稿</w:t>
            </w: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jc w:val="center"/>
              <w:rPr>
                <w:rFonts w:ascii="微软雅黑" w:hAnsi="微软雅黑" w:eastAsia="微软雅黑"/>
                <w:b/>
                <w:bCs w:val="0"/>
                <w:color w:val="auto"/>
                <w:kern w:val="2"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auto"/>
                <w:kern w:val="2"/>
                <w:sz w:val="21"/>
              </w:rPr>
              <w:t>201</w:t>
            </w:r>
            <w:r>
              <w:rPr>
                <w:rFonts w:hint="eastAsia" w:ascii="微软雅黑" w:hAnsi="微软雅黑" w:eastAsia="微软雅黑"/>
                <w:b/>
                <w:bCs w:val="0"/>
                <w:color w:val="auto"/>
                <w:kern w:val="2"/>
                <w:sz w:val="21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b/>
                <w:bCs w:val="0"/>
                <w:color w:val="auto"/>
                <w:kern w:val="2"/>
                <w:sz w:val="21"/>
              </w:rPr>
              <w:t>-08-07</w:t>
            </w:r>
          </w:p>
        </w:tc>
        <w:tc>
          <w:tcPr>
            <w:tcW w:w="21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曾广炜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1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1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</w:tbl>
    <w:p/>
    <w:p/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Arial"/>
          <w:b w:val="0"/>
          <w:bCs w:val="0"/>
          <w:color w:val="362E2B"/>
          <w:shd w:val="clear" w:color="auto" w:fill="FFFFFF"/>
        </w:rPr>
      </w:pPr>
      <w:bookmarkStart w:id="1" w:name="OLE_LINK25"/>
      <w:bookmarkStart w:id="2" w:name="OLE_LINK24"/>
      <w:r>
        <w:rPr>
          <w:rStyle w:val="9"/>
          <w:rFonts w:ascii="微软雅黑" w:hAnsi="微软雅黑" w:eastAsia="微软雅黑" w:cs="Arial"/>
          <w:b w:val="0"/>
          <w:bCs w:val="0"/>
          <w:color w:val="362E2B"/>
          <w:shd w:val="clear" w:color="auto" w:fill="FFFFFF"/>
        </w:rPr>
        <w:t>概述</w:t>
      </w:r>
      <w:r>
        <w:rPr>
          <w:rStyle w:val="9"/>
          <w:rFonts w:hint="eastAsia" w:ascii="微软雅黑" w:hAnsi="微软雅黑" w:eastAsia="微软雅黑" w:cs="Arial"/>
          <w:b w:val="0"/>
          <w:bCs w:val="0"/>
          <w:color w:val="362E2B"/>
          <w:shd w:val="clear" w:color="auto" w:fill="FFFFFF"/>
          <w:lang w:eastAsia="zh-CN"/>
        </w:rPr>
        <w:t>（</w:t>
      </w:r>
      <w:r>
        <w:rPr>
          <w:rStyle w:val="9"/>
          <w:rFonts w:hint="eastAsia" w:ascii="微软雅黑" w:hAnsi="微软雅黑" w:eastAsia="微软雅黑" w:cs="Arial"/>
          <w:b w:val="0"/>
          <w:bCs w:val="0"/>
          <w:color w:val="362E2B"/>
          <w:shd w:val="clear" w:color="auto" w:fill="FFFFFF"/>
          <w:lang w:val="en-US" w:eastAsia="zh-CN"/>
        </w:rPr>
        <w:t>我们要完成一个什么样的系统？</w:t>
      </w:r>
      <w:r>
        <w:rPr>
          <w:rStyle w:val="9"/>
          <w:rFonts w:hint="eastAsia" w:ascii="微软雅黑" w:hAnsi="微软雅黑" w:eastAsia="微软雅黑" w:cs="Arial"/>
          <w:b w:val="0"/>
          <w:bCs w:val="0"/>
          <w:color w:val="362E2B"/>
          <w:shd w:val="clear" w:color="auto" w:fill="FFFFFF"/>
          <w:lang w:eastAsia="zh-CN"/>
        </w:rPr>
        <w:t>）</w:t>
      </w:r>
    </w:p>
    <w:bookmarkEnd w:id="1"/>
    <w:bookmarkEnd w:id="2"/>
    <w:p>
      <w:pPr>
        <w:rPr>
          <w:rFonts w:hint="eastAsia"/>
          <w:lang w:val="en-US" w:eastAsia="zh-CN"/>
        </w:rPr>
      </w:pPr>
      <w:bookmarkStart w:id="3" w:name="OLE_LINK26"/>
      <w:bookmarkStart w:id="4" w:name="OLE_LINK19"/>
      <w:bookmarkStart w:id="5" w:name="OLE_LINK18"/>
      <w:r>
        <w:rPr>
          <w:rFonts w:hint="eastAsia"/>
          <w:lang w:val="en-US" w:eastAsia="zh-CN"/>
        </w:rPr>
        <w:t>人人基因检测系统，是一个为个人及企业用户提供基因自助检测的在线商业应用平台，其检测流程主要包括：检测项目购买、登记检测者信息、邮寄检测者样本、在线查看。系统做为此商业模式的运营平台主要有以下职责：</w:t>
      </w:r>
    </w:p>
    <w:p>
      <w:pPr>
        <w:numPr>
          <w:ilvl w:val="0"/>
          <w:numId w:val="2"/>
        </w:numPr>
        <w:ind w:left="0" w:leftChars="0" w:firstLine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为线上用户购买提供渠道（自建微商城、全网销售平台）</w:t>
      </w:r>
    </w:p>
    <w:p>
      <w:pPr>
        <w:numPr>
          <w:ilvl w:val="0"/>
          <w:numId w:val="2"/>
        </w:numPr>
        <w:ind w:left="0" w:leftChars="0" w:firstLine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为用户绑定登记检测信息提供渠道</w:t>
      </w:r>
    </w:p>
    <w:p>
      <w:pPr>
        <w:numPr>
          <w:ilvl w:val="0"/>
          <w:numId w:val="2"/>
        </w:numPr>
        <w:ind w:left="0" w:leftChars="0" w:firstLine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为用户查看检测报告提供渠道</w:t>
      </w:r>
    </w:p>
    <w:p>
      <w:pPr>
        <w:numPr>
          <w:ilvl w:val="0"/>
          <w:numId w:val="2"/>
        </w:numPr>
        <w:ind w:left="0" w:leftChars="0" w:firstLine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完成检测流程的自动化</w:t>
      </w:r>
    </w:p>
    <w:p>
      <w:pPr>
        <w:numPr>
          <w:ilvl w:val="0"/>
          <w:numId w:val="2"/>
        </w:numPr>
        <w:ind w:left="0" w:leftChars="0" w:firstLine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建立多级分销体系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bookmarkEnd w:id="3"/>
    <w:bookmarkEnd w:id="4"/>
    <w:bookmarkEnd w:id="5"/>
    <w:p>
      <w:pPr>
        <w:pStyle w:val="4"/>
        <w:numPr>
          <w:ilvl w:val="1"/>
          <w:numId w:val="1"/>
        </w:numPr>
        <w:spacing w:before="0" w:after="0" w:line="276" w:lineRule="auto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阶段划分</w:t>
      </w:r>
      <w:r>
        <w:rPr>
          <w:rFonts w:hint="eastAsia" w:ascii="微软雅黑" w:hAnsi="微软雅黑" w:eastAsia="微软雅黑"/>
          <w:b w:val="0"/>
          <w:lang w:eastAsia="zh-CN"/>
        </w:rPr>
        <w:t>（</w:t>
      </w:r>
      <w:r>
        <w:rPr>
          <w:rFonts w:hint="eastAsia" w:ascii="微软雅黑" w:hAnsi="微软雅黑" w:eastAsia="微软雅黑"/>
          <w:b w:val="0"/>
          <w:lang w:val="en-US" w:eastAsia="zh-CN"/>
        </w:rPr>
        <w:t>现在我们要做什么？将来我们要做什么？</w:t>
      </w:r>
      <w:r>
        <w:rPr>
          <w:rFonts w:hint="eastAsia" w:ascii="微软雅黑" w:hAnsi="微软雅黑" w:eastAsia="微软雅黑"/>
          <w:b w:val="0"/>
          <w:lang w:eastAsia="zh-CN"/>
        </w:rPr>
        <w:t>）</w:t>
      </w:r>
    </w:p>
    <w:p>
      <w:pPr>
        <w:pStyle w:val="5"/>
        <w:numPr>
          <w:ilvl w:val="2"/>
          <w:numId w:val="1"/>
        </w:num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第一阶段：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检测报告在线查看</w:t>
      </w:r>
    </w:p>
    <w:p>
      <w:r>
        <w:rPr>
          <w:rFonts w:hint="eastAsia"/>
        </w:rPr>
        <w:t>该阶段需实现以下功能：</w:t>
      </w:r>
    </w:p>
    <w:p>
      <w:pPr>
        <w:pStyle w:val="12"/>
        <w:numPr>
          <w:ilvl w:val="0"/>
          <w:numId w:val="3"/>
        </w:numPr>
        <w:ind w:left="420" w:leftChars="0" w:hanging="420" w:firstLineChars="0"/>
      </w:pPr>
      <w:r>
        <w:rPr>
          <w:rFonts w:hint="eastAsia"/>
          <w:lang w:val="en-US" w:eastAsia="zh-CN"/>
        </w:rPr>
        <w:t>检测人信息登记。</w:t>
      </w:r>
    </w:p>
    <w:p>
      <w:pPr>
        <w:pStyle w:val="12"/>
        <w:numPr>
          <w:ilvl w:val="0"/>
          <w:numId w:val="3"/>
        </w:numPr>
        <w:ind w:left="420" w:leftChars="0" w:hanging="420" w:firstLineChars="0"/>
      </w:pPr>
      <w:r>
        <w:rPr>
          <w:rFonts w:hint="eastAsia"/>
          <w:lang w:val="en-US" w:eastAsia="zh-CN"/>
        </w:rPr>
        <w:t>检测进度通知。</w:t>
      </w:r>
    </w:p>
    <w:p>
      <w:pPr>
        <w:pStyle w:val="12"/>
        <w:numPr>
          <w:ilvl w:val="0"/>
          <w:numId w:val="3"/>
        </w:numPr>
        <w:ind w:left="420" w:leftChars="0" w:hanging="420" w:firstLineChars="0"/>
      </w:pPr>
      <w:r>
        <w:rPr>
          <w:rFonts w:hint="eastAsia"/>
          <w:lang w:val="en-US" w:eastAsia="zh-CN"/>
        </w:rPr>
        <w:t>检测流程自动化，并可对节点进行追踪。</w:t>
      </w:r>
    </w:p>
    <w:p>
      <w:pPr>
        <w:pStyle w:val="12"/>
        <w:numPr>
          <w:ilvl w:val="0"/>
          <w:numId w:val="3"/>
        </w:numPr>
        <w:ind w:left="420" w:leftChars="0" w:hanging="420" w:firstLineChars="0"/>
      </w:pPr>
      <w:r>
        <w:rPr>
          <w:rFonts w:hint="eastAsia"/>
          <w:lang w:val="en-US" w:eastAsia="zh-CN"/>
        </w:rPr>
        <w:t>用户报告查看。</w:t>
      </w:r>
    </w:p>
    <w:p>
      <w:pPr>
        <w:pStyle w:val="5"/>
        <w:numPr>
          <w:ilvl w:val="2"/>
          <w:numId w:val="1"/>
        </w:num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 xml:space="preserve">第二阶段： 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检测项目线上销售，完成交易闭环</w:t>
      </w:r>
      <w:r>
        <w:rPr>
          <w:rFonts w:hint="eastAsia" w:ascii="微软雅黑" w:hAnsi="微软雅黑" w:eastAsia="微软雅黑"/>
          <w:sz w:val="21"/>
          <w:szCs w:val="21"/>
        </w:rPr>
        <w:t>。</w:t>
      </w:r>
    </w:p>
    <w:p>
      <w:pPr>
        <w:rPr>
          <w:rFonts w:hint="eastAsia"/>
        </w:rPr>
      </w:pPr>
      <w:r>
        <w:rPr>
          <w:rFonts w:hint="eastAsia"/>
        </w:rPr>
        <w:t>该阶段需实现以下功能：</w:t>
      </w:r>
    </w:p>
    <w:p>
      <w:pPr>
        <w:pStyle w:val="12"/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会员体系建立</w:t>
      </w:r>
    </w:p>
    <w:p>
      <w:pPr>
        <w:pStyle w:val="12"/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建立基因商城体系，完成交易闭环</w:t>
      </w:r>
    </w:p>
    <w:p>
      <w:pPr>
        <w:pStyle w:val="12"/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开设微信公众号作为商城入口</w:t>
      </w:r>
    </w:p>
    <w:p>
      <w:pPr>
        <w:pStyle w:val="12"/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建立以微信公众号为入口的营销平台</w:t>
      </w:r>
    </w:p>
    <w:p>
      <w:pPr>
        <w:pStyle w:val="12"/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与第三方物流托管对接</w:t>
      </w:r>
    </w:p>
    <w:p>
      <w:pPr>
        <w:pStyle w:val="12"/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与第三方检测委托机构对接</w:t>
      </w:r>
    </w:p>
    <w:p>
      <w:pPr>
        <w:pStyle w:val="12"/>
        <w:numPr>
          <w:numId w:val="0"/>
        </w:numPr>
        <w:ind w:leftChars="0"/>
        <w:rPr>
          <w:rFonts w:hint="eastAsia"/>
        </w:rPr>
      </w:pPr>
    </w:p>
    <w:p>
      <w:pPr>
        <w:pStyle w:val="5"/>
        <w:numPr>
          <w:ilvl w:val="2"/>
          <w:numId w:val="1"/>
        </w:num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 xml:space="preserve">第三阶段： 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多级分销体系建立</w:t>
      </w:r>
    </w:p>
    <w:p>
      <w:pPr>
        <w:rPr>
          <w:rFonts w:hint="eastAsia"/>
        </w:rPr>
      </w:pPr>
      <w:r>
        <w:rPr>
          <w:rFonts w:hint="eastAsia"/>
        </w:rPr>
        <w:t>该阶段需实现以下功能：</w:t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代理体系建立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推广与自动分佣功能实现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佣金自动结算</w:t>
      </w:r>
    </w:p>
    <w:p>
      <w:pPr>
        <w:pStyle w:val="3"/>
        <w:numPr>
          <w:ilvl w:val="0"/>
          <w:numId w:val="1"/>
        </w:numPr>
        <w:spacing w:line="240" w:lineRule="auto"/>
        <w:rPr>
          <w:rFonts w:ascii="微软雅黑" w:hAnsi="微软雅黑" w:eastAsia="微软雅黑" w:cs="Arial"/>
          <w:b w:val="0"/>
          <w:bCs w:val="0"/>
          <w:color w:val="362E2B"/>
          <w:shd w:val="clear" w:color="auto" w:fill="FFFFFF"/>
        </w:rPr>
      </w:pPr>
      <w:r>
        <w:rPr>
          <w:rStyle w:val="9"/>
          <w:rFonts w:hint="eastAsia" w:ascii="微软雅黑" w:hAnsi="微软雅黑" w:eastAsia="微软雅黑" w:cs="Arial"/>
          <w:b w:val="0"/>
          <w:bCs w:val="0"/>
          <w:color w:val="362E2B"/>
          <w:shd w:val="clear" w:color="auto" w:fill="FFFFFF"/>
        </w:rPr>
        <w:t>结构及流程</w:t>
      </w:r>
    </w:p>
    <w:p>
      <w:pPr>
        <w:pStyle w:val="4"/>
        <w:numPr>
          <w:ilvl w:val="1"/>
          <w:numId w:val="1"/>
        </w:numPr>
        <w:spacing w:before="0" w:after="0" w:line="276" w:lineRule="auto"/>
        <w:rPr>
          <w:rFonts w:ascii="微软雅黑" w:hAnsi="微软雅黑" w:eastAsia="微软雅黑"/>
          <w:b w:val="0"/>
          <w:sz w:val="21"/>
          <w:szCs w:val="21"/>
        </w:rPr>
      </w:pPr>
      <w:bookmarkStart w:id="6" w:name="OLE_LINK27"/>
      <w:r>
        <w:rPr>
          <w:rFonts w:hint="eastAsia" w:ascii="微软雅黑" w:hAnsi="微软雅黑" w:eastAsia="微软雅黑"/>
          <w:b w:val="0"/>
          <w:sz w:val="21"/>
          <w:szCs w:val="21"/>
          <w:lang w:val="en-US" w:eastAsia="zh-CN"/>
        </w:rPr>
        <w:t>业务流程（</w:t>
      </w:r>
      <w:r>
        <w:rPr>
          <w:rFonts w:hint="eastAsia" w:ascii="微软雅黑" w:hAnsi="微软雅黑" w:eastAsia="微软雅黑"/>
          <w:b w:val="0"/>
          <w:sz w:val="21"/>
          <w:szCs w:val="21"/>
          <w:highlight w:val="yellow"/>
          <w:lang w:val="en-US" w:eastAsia="zh-CN"/>
        </w:rPr>
        <w:t>一至的解理，会让家对业务有共识</w:t>
      </w:r>
      <w:r>
        <w:rPr>
          <w:rFonts w:hint="eastAsia" w:ascii="微软雅黑" w:hAnsi="微软雅黑" w:eastAsia="微软雅黑"/>
          <w:b w:val="0"/>
          <w:sz w:val="21"/>
          <w:szCs w:val="21"/>
          <w:lang w:val="en-US" w:eastAsia="zh-CN"/>
        </w:rPr>
        <w:t>）</w:t>
      </w:r>
    </w:p>
    <w:p>
      <w:r>
        <w:drawing>
          <wp:inline distT="0" distB="0" distL="114300" distR="114300">
            <wp:extent cx="5271135" cy="2806065"/>
            <wp:effectExtent l="0" t="0" r="1905" b="133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spacing w:before="0" w:after="0" w:line="276" w:lineRule="auto"/>
        <w:rPr>
          <w:rFonts w:hint="eastAsia" w:ascii="微软雅黑" w:hAnsi="微软雅黑" w:eastAsia="微软雅黑"/>
          <w:b w:val="0"/>
          <w:sz w:val="21"/>
          <w:szCs w:val="21"/>
        </w:rPr>
      </w:pPr>
      <w:r>
        <w:rPr>
          <w:rFonts w:hint="eastAsia" w:ascii="微软雅黑" w:hAnsi="微软雅黑" w:eastAsia="微软雅黑"/>
          <w:b w:val="0"/>
          <w:sz w:val="21"/>
          <w:szCs w:val="21"/>
          <w:lang w:val="en-US" w:eastAsia="zh-CN"/>
        </w:rPr>
        <w:t>第一阶段</w:t>
      </w:r>
      <w:r>
        <w:rPr>
          <w:rFonts w:hint="eastAsia" w:ascii="微软雅黑" w:hAnsi="微软雅黑" w:eastAsia="微软雅黑"/>
          <w:b w:val="0"/>
          <w:sz w:val="21"/>
          <w:szCs w:val="21"/>
        </w:rPr>
        <w:t>总体设计</w:t>
      </w:r>
      <w:r>
        <w:rPr>
          <w:rFonts w:hint="eastAsia" w:ascii="微软雅黑" w:hAnsi="微软雅黑" w:eastAsia="微软雅黑"/>
          <w:b w:val="0"/>
          <w:sz w:val="21"/>
          <w:szCs w:val="21"/>
          <w:lang w:eastAsia="zh-CN"/>
        </w:rPr>
        <w:t>（</w:t>
      </w:r>
      <w:bookmarkStart w:id="7" w:name="_GoBack"/>
      <w:r>
        <w:rPr>
          <w:rFonts w:hint="eastAsia" w:ascii="微软雅黑" w:hAnsi="微软雅黑" w:eastAsia="微软雅黑"/>
          <w:b w:val="0"/>
          <w:sz w:val="21"/>
          <w:szCs w:val="21"/>
          <w:lang w:val="en-US" w:eastAsia="zh-CN"/>
        </w:rPr>
        <w:t>这个系统平台是有谁什么组成</w:t>
      </w:r>
      <w:bookmarkEnd w:id="7"/>
      <w:r>
        <w:rPr>
          <w:rFonts w:hint="eastAsia" w:ascii="微软雅黑" w:hAnsi="微软雅黑" w:eastAsia="微软雅黑"/>
          <w:b w:val="0"/>
          <w:sz w:val="21"/>
          <w:szCs w:val="21"/>
          <w:lang w:val="en-US" w:eastAsia="zh-CN"/>
        </w:rPr>
        <w:t>的</w:t>
      </w:r>
      <w:r>
        <w:rPr>
          <w:rFonts w:hint="eastAsia" w:ascii="微软雅黑" w:hAnsi="微软雅黑" w:eastAsia="微软雅黑"/>
          <w:b w:val="0"/>
          <w:sz w:val="21"/>
          <w:szCs w:val="21"/>
          <w:lang w:eastAsia="zh-CN"/>
        </w:rPr>
        <w:t>）</w:t>
      </w:r>
    </w:p>
    <w:p>
      <w:pPr>
        <w:rPr>
          <w:rFonts w:hint="eastAsia" w:ascii="微软雅黑" w:hAnsi="微软雅黑" w:eastAsia="微软雅黑"/>
          <w:b w:val="0"/>
          <w:sz w:val="21"/>
          <w:szCs w:val="21"/>
        </w:rPr>
      </w:pPr>
      <w:r>
        <w:drawing>
          <wp:inline distT="0" distB="0" distL="114300" distR="114300">
            <wp:extent cx="4488815" cy="5014595"/>
            <wp:effectExtent l="0" t="0" r="698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501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1"/>
          <w:numId w:val="1"/>
        </w:numPr>
        <w:spacing w:before="0" w:after="0" w:line="276" w:lineRule="auto"/>
        <w:rPr>
          <w:rFonts w:ascii="微软雅黑" w:hAnsi="微软雅黑" w:eastAsia="微软雅黑"/>
          <w:b/>
          <w:bCs w:val="0"/>
          <w:sz w:val="21"/>
          <w:szCs w:val="21"/>
        </w:rPr>
      </w:pPr>
      <w:r>
        <w:rPr>
          <w:rFonts w:hint="eastAsia" w:ascii="微软雅黑" w:hAnsi="微软雅黑" w:eastAsia="微软雅黑"/>
          <w:b w:val="0"/>
          <w:sz w:val="21"/>
          <w:szCs w:val="21"/>
        </w:rPr>
        <w:t>系统原则与范围</w:t>
      </w:r>
      <w:r>
        <w:rPr>
          <w:rFonts w:hint="eastAsia" w:ascii="微软雅黑" w:hAnsi="微软雅黑" w:eastAsia="微软雅黑"/>
          <w:b w:val="0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b/>
          <w:bCs w:val="0"/>
          <w:sz w:val="21"/>
          <w:szCs w:val="21"/>
          <w:lang w:val="en-US" w:eastAsia="zh-CN"/>
        </w:rPr>
        <w:t>体系结构的稳定性</w:t>
      </w:r>
      <w:r>
        <w:rPr>
          <w:rFonts w:hint="eastAsia" w:ascii="微软雅黑" w:hAnsi="微软雅黑" w:eastAsia="微软雅黑"/>
          <w:b/>
          <w:bCs w:val="0"/>
          <w:sz w:val="21"/>
          <w:szCs w:val="21"/>
          <w:lang w:eastAsia="zh-CN"/>
        </w:rPr>
        <w:t>）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  <w:lang w:val="en-US" w:eastAsia="zh-CN"/>
        </w:rPr>
        <w:t>平台仅为自营设计，不接受第三运营机构入驻。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  <w:lang w:val="en-US" w:eastAsia="zh-CN"/>
        </w:rPr>
        <w:t>平台商城应围绕基因检测及相关垂直类业务，而非全品电商平台。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  <w:lang w:val="en-US" w:eastAsia="zh-CN"/>
        </w:rPr>
        <w:t>平台则重点在于C端用记，而业务后台支撑体系，ERP、LIS 等应划分在体系结构之外。</w:t>
      </w:r>
    </w:p>
    <w:bookmarkEnd w:id="6"/>
    <w:p>
      <w:pPr>
        <w:pStyle w:val="4"/>
        <w:numPr>
          <w:ilvl w:val="1"/>
          <w:numId w:val="1"/>
        </w:numPr>
        <w:spacing w:before="0" w:after="0" w:line="276" w:lineRule="auto"/>
        <w:rPr>
          <w:rFonts w:ascii="微软雅黑" w:hAnsi="微软雅黑" w:eastAsia="微软雅黑"/>
          <w:b w:val="0"/>
          <w:sz w:val="21"/>
          <w:szCs w:val="21"/>
        </w:rPr>
      </w:pPr>
      <w:r>
        <w:rPr>
          <w:rFonts w:hint="eastAsia" w:ascii="微软雅黑" w:hAnsi="微软雅黑" w:eastAsia="微软雅黑"/>
          <w:b w:val="0"/>
          <w:sz w:val="21"/>
          <w:szCs w:val="21"/>
        </w:rPr>
        <w:t>系统总流程</w:t>
      </w:r>
    </w:p>
    <w:p>
      <w:pPr>
        <w:ind w:firstLine="420" w:firstLineChars="0"/>
      </w:pPr>
      <w:r>
        <w:drawing>
          <wp:inline distT="0" distB="0" distL="114300" distR="114300">
            <wp:extent cx="4999355" cy="4443095"/>
            <wp:effectExtent l="0" t="0" r="14605" b="698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444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用户进入系统流程：</w:t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5269230" cy="4787900"/>
            <wp:effectExtent l="0" t="0" r="3810" b="1270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pStyle w:val="4"/>
        <w:numPr>
          <w:ilvl w:val="1"/>
          <w:numId w:val="1"/>
        </w:numPr>
        <w:spacing w:before="0" w:after="0" w:line="276" w:lineRule="auto"/>
        <w:rPr>
          <w:rFonts w:ascii="微软雅黑" w:hAnsi="微软雅黑" w:eastAsia="微软雅黑"/>
          <w:b w:val="0"/>
          <w:sz w:val="21"/>
          <w:szCs w:val="21"/>
        </w:rPr>
      </w:pPr>
      <w:r>
        <w:rPr>
          <w:rFonts w:hint="eastAsia" w:ascii="微软雅黑" w:hAnsi="微软雅黑" w:eastAsia="微软雅黑"/>
          <w:b w:val="0"/>
          <w:sz w:val="21"/>
          <w:szCs w:val="21"/>
        </w:rPr>
        <w:t>系统功能模块</w:t>
      </w:r>
    </w:p>
    <w:p>
      <w:r>
        <w:rPr>
          <w:rFonts w:hint="eastAsia"/>
        </w:rPr>
        <w:t>系统整体结构图：</w:t>
      </w:r>
    </w:p>
    <w:p>
      <w:r>
        <w:drawing>
          <wp:inline distT="0" distB="0" distL="114300" distR="114300">
            <wp:extent cx="5273040" cy="3190240"/>
            <wp:effectExtent l="0" t="0" r="0" b="1016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2"/>
          <w:numId w:val="1"/>
        </w:numPr>
        <w:spacing w:before="0" w:after="0"/>
      </w:pPr>
      <w:r>
        <w:rPr>
          <w:rFonts w:hint="eastAsia"/>
        </w:rPr>
        <w:t>系统功能列表</w:t>
      </w:r>
    </w:p>
    <w:tbl>
      <w:tblPr>
        <w:tblStyle w:val="11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3446"/>
        <w:gridCol w:w="2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CCFFCC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模块名</w:t>
            </w:r>
          </w:p>
        </w:tc>
        <w:tc>
          <w:tcPr>
            <w:tcW w:w="3446" w:type="dxa"/>
            <w:shd w:val="clear" w:color="auto" w:fill="CCFFCC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功能点</w:t>
            </w:r>
          </w:p>
        </w:tc>
        <w:tc>
          <w:tcPr>
            <w:tcW w:w="2082" w:type="dxa"/>
            <w:shd w:val="clear" w:color="auto" w:fill="CCFFCC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实现优先级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3446" w:type="dxa"/>
          </w:tcPr>
          <w:p/>
        </w:tc>
        <w:tc>
          <w:tcPr>
            <w:tcW w:w="208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46" w:type="dxa"/>
          </w:tcPr>
          <w:p/>
        </w:tc>
        <w:tc>
          <w:tcPr>
            <w:tcW w:w="2082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46" w:type="dxa"/>
          </w:tcPr>
          <w:p>
            <w:pPr>
              <w:rPr>
                <w:color w:val="FF0000"/>
              </w:rPr>
            </w:pPr>
          </w:p>
        </w:tc>
        <w:tc>
          <w:tcPr>
            <w:tcW w:w="2082" w:type="dxa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46" w:type="dxa"/>
          </w:tcPr>
          <w:p/>
        </w:tc>
        <w:tc>
          <w:tcPr>
            <w:tcW w:w="2082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46" w:type="dxa"/>
          </w:tcPr>
          <w:p/>
        </w:tc>
        <w:tc>
          <w:tcPr>
            <w:tcW w:w="2082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46" w:type="dxa"/>
          </w:tcPr>
          <w:p/>
        </w:tc>
        <w:tc>
          <w:tcPr>
            <w:tcW w:w="2082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jc w:val="center"/>
            </w:pPr>
          </w:p>
        </w:tc>
        <w:tc>
          <w:tcPr>
            <w:tcW w:w="3446" w:type="dxa"/>
          </w:tcPr>
          <w:p/>
        </w:tc>
        <w:tc>
          <w:tcPr>
            <w:tcW w:w="2082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3446" w:type="dxa"/>
          </w:tcPr>
          <w:p/>
        </w:tc>
        <w:tc>
          <w:tcPr>
            <w:tcW w:w="2082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46" w:type="dxa"/>
          </w:tcPr>
          <w:p/>
        </w:tc>
        <w:tc>
          <w:tcPr>
            <w:tcW w:w="2082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3446" w:type="dxa"/>
          </w:tcPr>
          <w:p/>
        </w:tc>
        <w:tc>
          <w:tcPr>
            <w:tcW w:w="2082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46" w:type="dxa"/>
          </w:tcPr>
          <w:p/>
        </w:tc>
        <w:tc>
          <w:tcPr>
            <w:tcW w:w="2082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46" w:type="dxa"/>
          </w:tcPr>
          <w:p/>
        </w:tc>
        <w:tc>
          <w:tcPr>
            <w:tcW w:w="2082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3446" w:type="dxa"/>
          </w:tcPr>
          <w:p>
            <w:pPr>
              <w:rPr>
                <w:rFonts w:hint="eastAsia"/>
              </w:rPr>
            </w:pPr>
          </w:p>
        </w:tc>
        <w:tc>
          <w:tcPr>
            <w:tcW w:w="208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46" w:type="dxa"/>
          </w:tcPr>
          <w:p/>
        </w:tc>
        <w:tc>
          <w:tcPr>
            <w:tcW w:w="2082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/>
        </w:tc>
        <w:tc>
          <w:tcPr>
            <w:tcW w:w="3446" w:type="dxa"/>
          </w:tcPr>
          <w:p/>
        </w:tc>
        <w:tc>
          <w:tcPr>
            <w:tcW w:w="2082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/>
        </w:tc>
        <w:tc>
          <w:tcPr>
            <w:tcW w:w="3446" w:type="dxa"/>
          </w:tcPr>
          <w:p>
            <w:pPr>
              <w:rPr>
                <w:color w:val="FF0000"/>
              </w:rPr>
            </w:pPr>
          </w:p>
        </w:tc>
        <w:tc>
          <w:tcPr>
            <w:tcW w:w="2082" w:type="dxa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</w:tr>
    </w:tbl>
    <w:p/>
    <w:p>
      <w:pPr>
        <w:pStyle w:val="4"/>
        <w:numPr>
          <w:ilvl w:val="1"/>
          <w:numId w:val="1"/>
        </w:numPr>
        <w:spacing w:before="0" w:after="0" w:line="276" w:lineRule="auto"/>
        <w:rPr>
          <w:rFonts w:ascii="微软雅黑" w:hAnsi="微软雅黑" w:eastAsia="微软雅黑"/>
          <w:b w:val="0"/>
          <w:sz w:val="21"/>
          <w:szCs w:val="21"/>
        </w:rPr>
      </w:pPr>
      <w:r>
        <w:rPr>
          <w:rFonts w:hint="eastAsia" w:ascii="微软雅黑" w:hAnsi="微软雅黑" w:eastAsia="微软雅黑"/>
          <w:b w:val="0"/>
          <w:sz w:val="21"/>
          <w:szCs w:val="21"/>
          <w:lang w:val="en-US" w:eastAsia="zh-CN"/>
        </w:rPr>
        <w:t>服务</w:t>
      </w:r>
      <w:r>
        <w:rPr>
          <w:rFonts w:hint="eastAsia" w:ascii="微软雅黑" w:hAnsi="微软雅黑" w:eastAsia="微软雅黑"/>
          <w:b w:val="0"/>
          <w:sz w:val="21"/>
          <w:szCs w:val="21"/>
        </w:rPr>
        <w:t>接口设计</w:t>
      </w:r>
    </w:p>
    <w:p/>
    <w:p>
      <w:pPr>
        <w:pStyle w:val="4"/>
        <w:numPr>
          <w:ilvl w:val="1"/>
          <w:numId w:val="1"/>
        </w:numPr>
        <w:spacing w:before="0" w:after="0" w:line="276" w:lineRule="auto"/>
        <w:rPr>
          <w:rFonts w:ascii="微软雅黑" w:hAnsi="微软雅黑" w:eastAsia="微软雅黑"/>
          <w:b w:val="0"/>
          <w:sz w:val="21"/>
          <w:szCs w:val="21"/>
        </w:rPr>
      </w:pPr>
      <w:r>
        <w:rPr>
          <w:rFonts w:hint="eastAsia"/>
        </w:rPr>
        <w:t>数据模型与结构</w:t>
      </w:r>
    </w:p>
    <w:p/>
    <w:p>
      <w:pPr>
        <w:rPr>
          <w:b/>
        </w:rPr>
      </w:pPr>
    </w:p>
    <w:p>
      <w:pPr>
        <w:pStyle w:val="4"/>
        <w:numPr>
          <w:ilvl w:val="1"/>
          <w:numId w:val="1"/>
        </w:numPr>
        <w:spacing w:before="0" w:after="0" w:line="276" w:lineRule="auto"/>
        <w:rPr>
          <w:rFonts w:ascii="微软雅黑" w:hAnsi="微软雅黑" w:eastAsia="微软雅黑"/>
          <w:b w:val="0"/>
          <w:sz w:val="21"/>
          <w:szCs w:val="21"/>
        </w:rPr>
      </w:pPr>
      <w:r>
        <w:rPr>
          <w:rFonts w:hint="eastAsia" w:ascii="微软雅黑" w:hAnsi="微软雅黑" w:eastAsia="微软雅黑"/>
          <w:b w:val="0"/>
          <w:sz w:val="21"/>
          <w:szCs w:val="21"/>
          <w:lang w:val="en-US" w:eastAsia="zh-CN"/>
        </w:rPr>
        <w:t>风险难度</w:t>
      </w:r>
    </w:p>
    <w:p>
      <w:pPr>
        <w:rPr>
          <w:rFonts w:hint="eastAsia" w:eastAsia="宋体"/>
          <w:b/>
          <w:lang w:val="en-US" w:eastAsia="zh-CN"/>
        </w:rPr>
      </w:pPr>
    </w:p>
    <w:p>
      <w:pPr>
        <w:rPr>
          <w:rFonts w:hint="eastAsia"/>
          <w:b/>
        </w:rPr>
      </w:pPr>
    </w:p>
    <w:p>
      <w:pPr>
        <w:rPr>
          <w:b/>
        </w:rPr>
      </w:pP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iti SC Light">
    <w:altName w:val="Adobe 仿宋 Std R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91262"/>
    <w:multiLevelType w:val="multilevel"/>
    <w:tmpl w:val="496912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9B10813"/>
    <w:multiLevelType w:val="singleLevel"/>
    <w:tmpl w:val="59B1081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B11E18"/>
    <w:multiLevelType w:val="singleLevel"/>
    <w:tmpl w:val="59B11E1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B11E29"/>
    <w:multiLevelType w:val="singleLevel"/>
    <w:tmpl w:val="59B11E2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B11F7D"/>
    <w:multiLevelType w:val="singleLevel"/>
    <w:tmpl w:val="59B11F7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F97659"/>
    <w:multiLevelType w:val="multilevel"/>
    <w:tmpl w:val="59F97659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2739B"/>
    <w:rsid w:val="3AC2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ind w:left="576" w:hanging="576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ind w:left="1290" w:hanging="864"/>
      <w:outlineLvl w:val="3"/>
    </w:pPr>
    <w:rPr>
      <w:rFonts w:ascii="Cambria" w:hAnsi="Cambria"/>
      <w:b/>
      <w:bCs/>
      <w:szCs w:val="28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widowControl/>
      <w:jc w:val="left"/>
    </w:pPr>
    <w:rPr>
      <w:kern w:val="0"/>
      <w:sz w:val="24"/>
    </w:rPr>
  </w:style>
  <w:style w:type="paragraph" w:styleId="7">
    <w:name w:val="Body Text 2"/>
    <w:basedOn w:val="1"/>
    <w:uiPriority w:val="0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character" w:styleId="9">
    <w:name w:val="Strong"/>
    <w:basedOn w:val="8"/>
    <w:qFormat/>
    <w:uiPriority w:val="0"/>
    <w:rPr>
      <w:b/>
      <w:bCs/>
    </w:rPr>
  </w:style>
  <w:style w:type="table" w:styleId="11">
    <w:name w:val="Table Grid"/>
    <w:basedOn w:val="1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Tommy</dc:creator>
  <cp:lastModifiedBy>Tommy</cp:lastModifiedBy>
  <dcterms:modified xsi:type="dcterms:W3CDTF">2017-09-07T14:24:36Z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