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ster-services-agreement"/>
    <w:p>
      <w:pPr>
        <w:pStyle w:val="Heading1"/>
      </w:pPr>
      <w:r>
        <w:t xml:space="preserve">MASTER SERVICES AGREEMENT</w:t>
      </w:r>
    </w:p>
    <w:p>
      <w:pPr>
        <w:pStyle w:val="FirstParagraph"/>
      </w:pPr>
      <w:r>
        <w:t xml:space="preserve">This Agreement is entered into by</w:t>
      </w:r>
      <w:r>
        <w:t xml:space="preserve"> </w:t>
      </w:r>
      <w:r>
        <w:rPr>
          <w:bCs/>
          <w:b/>
        </w:rPr>
        <w:t xml:space="preserve">Acme Robotics Inc.</w:t>
      </w:r>
      <w:r>
        <w:t xml:space="preserve"> </w:t>
      </w:r>
      <w:r>
        <w:t xml:space="preserve">&amp; Globex Corporation.</w:t>
      </w:r>
    </w:p>
    <w:p>
      <w:pPr>
        <w:numPr>
          <w:ilvl w:val="0"/>
          <w:numId w:val="1001"/>
        </w:numPr>
        <w:pStyle w:val="Compact"/>
      </w:pPr>
      <w:r>
        <w:t xml:space="preserve">Limitation of Liability. Liability is capped at fees paid in the prior 12 months.</w:t>
      </w:r>
    </w:p>
    <w:p>
      <w:pPr>
        <w:numPr>
          <w:ilvl w:val="0"/>
          <w:numId w:val="1001"/>
        </w:numPr>
        <w:pStyle w:val="Compact"/>
      </w:pPr>
      <w:r>
        <w:t xml:space="preserve">Governing Law. Governed by the laws of Delaware &lt;exclusive&gt;.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250,000.00 USD</w:t>
            </w:r>
          </w:p>
        </w:tc>
      </w:tr>
    </w:tbl>
    <w:p>
      <w:pPr>
        <w:pStyle w:val="BodyText"/>
      </w:pPr>
      <w:r>
        <w:t xml:space="preserve">A clause with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 </w:t>
      </w:r>
      <w:r>
        <w:t xml:space="preserve">and a footnote.</w:t>
      </w:r>
      <w:r>
        <w:rPr>
          <w:rStyle w:val="FootnoteReference"/>
        </w:rPr>
        <w:footnoteReference w:id="21"/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that is not part of the body.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/ter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/ter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2026-08-04T02:11:17Z</dcterms:created>
  <dcterms:modified xsi:type="dcterms:W3CDTF">2026-08-04T02:11:17Z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