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7D26" w14:textId="197F25FF" w:rsidR="00376D3E" w:rsidRDefault="00376D3E">
      <w:pPr>
        <w:pStyle w:val="Heading1"/>
      </w:pPr>
    </w:p>
    <w:p w14:paraId="5A010BB8" w14:textId="77777777" w:rsidR="00376D3E" w:rsidRDefault="00000000">
      <w:r>
        <w:t>This document provides a detailed identification and analysis of the stakeholders associated with the Inclusive Event Discovery Platform. While a summarised version of this analysis is referenced within the design chapter of the project report, this document presents the full stakeholder reasoning to demonstrate alignment with academic requirements, stakeholder needs, and evaluation planning.</w:t>
      </w:r>
    </w:p>
    <w:p w14:paraId="752B87C7" w14:textId="77777777" w:rsidR="00376D3E" w:rsidRDefault="00000000">
      <w:pPr>
        <w:pStyle w:val="Heading2"/>
      </w:pPr>
      <w:r>
        <w:t>1. Introduction</w:t>
      </w:r>
    </w:p>
    <w:p w14:paraId="2204D9C0" w14:textId="77777777" w:rsidR="00376D3E" w:rsidRDefault="00000000">
      <w:r>
        <w:t>Stakeholders are defined as individuals or organisations who either interact directly with the system, contribute data to it, or influence its scope, constraints, and evaluation. Identifying and analysing stakeholders ensures that the project is grounded in real-world needs while remaining aligned with academic expectations and assessment criteria.</w:t>
      </w:r>
    </w:p>
    <w:p w14:paraId="2F22695A" w14:textId="77777777" w:rsidR="00376D3E" w:rsidRDefault="00000000">
      <w:pPr>
        <w:pStyle w:val="Heading2"/>
      </w:pPr>
      <w:r>
        <w:t>2. Stakeholder Identification</w:t>
      </w:r>
    </w:p>
    <w:p w14:paraId="563069ED" w14:textId="77777777" w:rsidR="00376D3E" w:rsidRDefault="00000000">
      <w:pPr>
        <w:pStyle w:val="Heading3"/>
      </w:pPr>
      <w:r>
        <w:t>2.1 Primary Stakeholders</w:t>
      </w:r>
    </w:p>
    <w:p w14:paraId="1A5C86D6" w14:textId="77777777" w:rsidR="00376D3E" w:rsidRDefault="00000000">
      <w:r>
        <w:t>Neurodivergent individuals, including autistic people and individuals with ADHD, are primary stakeholders as the system is explicitly designed to reduce uncertainty, manage sensory and cognitive load, and support informed decision-making.</w:t>
      </w:r>
      <w:r>
        <w:br/>
      </w:r>
      <w:r>
        <w:br/>
        <w:t>Parents and carers of children with SEND are also primary stakeholders. They frequently make attendance decisions on behalf of others and rely on reliable, detailed pre-visit information to plan safely and confidently.</w:t>
      </w:r>
      <w:r>
        <w:br/>
      </w:r>
      <w:r>
        <w:br/>
        <w:t>Disabled individuals with physical, sensory, or cognitive accessibility needs represent a further core stakeholder group. While the project places particular emphasis on sensory and planning-related accessibility, physical access information remains an important consideration.</w:t>
      </w:r>
      <w:r>
        <w:br/>
      </w:r>
      <w:r>
        <w:br/>
        <w:t>The University is also considered a primary stakeholder. The project must align with the requirements of Project Template 2.1 (Databases and Advanced Data Techniques), adhere to academic standards, and demonstrate appropriate scope, feasibility, and evaluation to meet assessment criteria.</w:t>
      </w:r>
    </w:p>
    <w:p w14:paraId="6AAD7C22" w14:textId="77777777" w:rsidR="00376D3E" w:rsidRDefault="00000000">
      <w:pPr>
        <w:pStyle w:val="Heading3"/>
      </w:pPr>
      <w:r>
        <w:t>2.2 Secondary Stakeholders</w:t>
      </w:r>
    </w:p>
    <w:p w14:paraId="1C800DA1" w14:textId="77777777" w:rsidR="00376D3E" w:rsidRDefault="00000000">
      <w:r>
        <w:t>Event organisers are secondary stakeholders who contribute event and accessibility data to the platform. Their workflows, time constraints, and confidence in providing accessibility information directly affect data quality and system adoption. Organisers may include charities, community groups, venues, or independent hosts.</w:t>
      </w:r>
      <w:r>
        <w:br/>
      </w:r>
      <w:r>
        <w:lastRenderedPageBreak/>
        <w:br/>
        <w:t>Accessibility advocacy and community organisations influence best practice and credibility within the domain. Although they may not interact directly with the system, their guidance informs ethical and inclusive design decisions.</w:t>
      </w:r>
    </w:p>
    <w:p w14:paraId="779794D4" w14:textId="77777777" w:rsidR="00376D3E" w:rsidRDefault="00000000">
      <w:pPr>
        <w:pStyle w:val="Heading3"/>
      </w:pPr>
      <w:r>
        <w:t>2.3 Tertiary Stakeholders</w:t>
      </w:r>
    </w:p>
    <w:p w14:paraId="0D3583D4" w14:textId="77777777" w:rsidR="00376D3E" w:rsidRDefault="00000000">
      <w:r>
        <w:t>Developers and maintainers are stakeholders in the long-term sustainability of the system. Design decisions related to modularity, documentation, and data modelling directly affect maintainability and extensibility.</w:t>
      </w:r>
      <w:r>
        <w:br/>
      </w:r>
      <w:r>
        <w:br/>
        <w:t>External platforms or services that may consume accessibility data via the system’s API represent potential future stakeholders. Their needs influence data consistency, documentation, and interface stability.</w:t>
      </w:r>
    </w:p>
    <w:p w14:paraId="590F0467" w14:textId="77777777" w:rsidR="00376D3E" w:rsidRDefault="00000000">
      <w:pPr>
        <w:pStyle w:val="Heading2"/>
      </w:pPr>
      <w:r>
        <w:t>3. Stakeholder Needs and Influence</w:t>
      </w:r>
    </w:p>
    <w:tbl>
      <w:tblPr>
        <w:tblStyle w:val="PlainTable1"/>
        <w:tblW w:w="0" w:type="auto"/>
        <w:tblLook w:val="04A0" w:firstRow="1" w:lastRow="0" w:firstColumn="1" w:lastColumn="0" w:noHBand="0" w:noVBand="1"/>
      </w:tblPr>
      <w:tblGrid>
        <w:gridCol w:w="2160"/>
        <w:gridCol w:w="2160"/>
        <w:gridCol w:w="2160"/>
        <w:gridCol w:w="2160"/>
      </w:tblGrid>
      <w:tr w:rsidR="00376D3E" w14:paraId="0A332681" w14:textId="77777777" w:rsidTr="00B12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B996" w14:textId="77777777" w:rsidR="00376D3E" w:rsidRDefault="00000000">
            <w:r>
              <w:t>Stakeholder</w:t>
            </w:r>
          </w:p>
        </w:tc>
        <w:tc>
          <w:tcPr>
            <w:tcW w:w="2160" w:type="dxa"/>
          </w:tcPr>
          <w:p w14:paraId="256484FD" w14:textId="77777777" w:rsidR="00376D3E" w:rsidRDefault="00000000">
            <w:pPr>
              <w:cnfStyle w:val="100000000000" w:firstRow="1" w:lastRow="0" w:firstColumn="0" w:lastColumn="0" w:oddVBand="0" w:evenVBand="0" w:oddHBand="0" w:evenHBand="0" w:firstRowFirstColumn="0" w:firstRowLastColumn="0" w:lastRowFirstColumn="0" w:lastRowLastColumn="0"/>
            </w:pPr>
            <w:r>
              <w:t>Key Needs</w:t>
            </w:r>
          </w:p>
        </w:tc>
        <w:tc>
          <w:tcPr>
            <w:tcW w:w="2160" w:type="dxa"/>
          </w:tcPr>
          <w:p w14:paraId="1C4E9B0E" w14:textId="77777777" w:rsidR="00376D3E" w:rsidRDefault="00000000">
            <w:pPr>
              <w:cnfStyle w:val="100000000000" w:firstRow="1" w:lastRow="0" w:firstColumn="0" w:lastColumn="0" w:oddVBand="0" w:evenVBand="0" w:oddHBand="0" w:evenHBand="0" w:firstRowFirstColumn="0" w:firstRowLastColumn="0" w:lastRowFirstColumn="0" w:lastRowLastColumn="0"/>
            </w:pPr>
            <w:r>
              <w:t>Level of Influence</w:t>
            </w:r>
          </w:p>
        </w:tc>
        <w:tc>
          <w:tcPr>
            <w:tcW w:w="2160" w:type="dxa"/>
          </w:tcPr>
          <w:p w14:paraId="0E9F23F5" w14:textId="77777777" w:rsidR="00376D3E" w:rsidRDefault="00000000">
            <w:pPr>
              <w:cnfStyle w:val="100000000000" w:firstRow="1" w:lastRow="0" w:firstColumn="0" w:lastColumn="0" w:oddVBand="0" w:evenVBand="0" w:oddHBand="0" w:evenHBand="0" w:firstRowFirstColumn="0" w:firstRowLastColumn="0" w:lastRowFirstColumn="0" w:lastRowLastColumn="0"/>
            </w:pPr>
            <w:r>
              <w:t>Design Implications</w:t>
            </w:r>
          </w:p>
        </w:tc>
      </w:tr>
      <w:tr w:rsidR="00376D3E" w14:paraId="4AA5CA9B" w14:textId="77777777" w:rsidTr="00B1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58D4B0" w14:textId="77777777" w:rsidR="00376D3E" w:rsidRPr="00B12D80" w:rsidRDefault="00000000">
            <w:pPr>
              <w:rPr>
                <w:b w:val="0"/>
                <w:bCs w:val="0"/>
              </w:rPr>
            </w:pPr>
            <w:r w:rsidRPr="00B12D80">
              <w:rPr>
                <w:b w:val="0"/>
                <w:bCs w:val="0"/>
              </w:rPr>
              <w:t>Neurodivergent users</w:t>
            </w:r>
          </w:p>
        </w:tc>
        <w:tc>
          <w:tcPr>
            <w:tcW w:w="2160" w:type="dxa"/>
          </w:tcPr>
          <w:p w14:paraId="55E45C1F" w14:textId="77777777" w:rsidR="00376D3E" w:rsidRDefault="00000000">
            <w:pPr>
              <w:cnfStyle w:val="000000100000" w:firstRow="0" w:lastRow="0" w:firstColumn="0" w:lastColumn="0" w:oddVBand="0" w:evenVBand="0" w:oddHBand="1" w:evenHBand="0" w:firstRowFirstColumn="0" w:firstRowLastColumn="0" w:lastRowFirstColumn="0" w:lastRowLastColumn="0"/>
            </w:pPr>
            <w:r>
              <w:t>Low cognitive load, sensory clarity, predictability</w:t>
            </w:r>
          </w:p>
        </w:tc>
        <w:tc>
          <w:tcPr>
            <w:tcW w:w="2160" w:type="dxa"/>
          </w:tcPr>
          <w:p w14:paraId="34AEF897" w14:textId="77777777" w:rsidR="00376D3E"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37837ED7" w14:textId="77777777" w:rsidR="00376D3E" w:rsidRDefault="00000000">
            <w:pPr>
              <w:cnfStyle w:val="000000100000" w:firstRow="0" w:lastRow="0" w:firstColumn="0" w:lastColumn="0" w:oddVBand="0" w:evenVBand="0" w:oddHBand="1" w:evenHBand="0" w:firstRowFirstColumn="0" w:firstRowLastColumn="0" w:lastRowFirstColumn="0" w:lastRowLastColumn="0"/>
            </w:pPr>
            <w:r>
              <w:t>Drives accessibility categorisation, progressive disclosure, and filtering</w:t>
            </w:r>
          </w:p>
        </w:tc>
      </w:tr>
      <w:tr w:rsidR="00376D3E" w14:paraId="24DC12B3" w14:textId="77777777" w:rsidTr="00B12D80">
        <w:tc>
          <w:tcPr>
            <w:cnfStyle w:val="001000000000" w:firstRow="0" w:lastRow="0" w:firstColumn="1" w:lastColumn="0" w:oddVBand="0" w:evenVBand="0" w:oddHBand="0" w:evenHBand="0" w:firstRowFirstColumn="0" w:firstRowLastColumn="0" w:lastRowFirstColumn="0" w:lastRowLastColumn="0"/>
            <w:tcW w:w="2160" w:type="dxa"/>
          </w:tcPr>
          <w:p w14:paraId="555A879B" w14:textId="77777777" w:rsidR="00376D3E" w:rsidRPr="00B12D80" w:rsidRDefault="00000000">
            <w:pPr>
              <w:rPr>
                <w:b w:val="0"/>
                <w:bCs w:val="0"/>
              </w:rPr>
            </w:pPr>
            <w:r w:rsidRPr="00B12D80">
              <w:rPr>
                <w:b w:val="0"/>
                <w:bCs w:val="0"/>
              </w:rPr>
              <w:t>Parents / carers</w:t>
            </w:r>
          </w:p>
        </w:tc>
        <w:tc>
          <w:tcPr>
            <w:tcW w:w="2160" w:type="dxa"/>
          </w:tcPr>
          <w:p w14:paraId="0D112359" w14:textId="77777777" w:rsidR="00376D3E" w:rsidRDefault="00000000">
            <w:pPr>
              <w:cnfStyle w:val="000000000000" w:firstRow="0" w:lastRow="0" w:firstColumn="0" w:lastColumn="0" w:oddVBand="0" w:evenVBand="0" w:oddHBand="0" w:evenHBand="0" w:firstRowFirstColumn="0" w:firstRowLastColumn="0" w:lastRowFirstColumn="0" w:lastRowLastColumn="0"/>
            </w:pPr>
            <w:r>
              <w:t>Reliable planning information, flexibility</w:t>
            </w:r>
          </w:p>
        </w:tc>
        <w:tc>
          <w:tcPr>
            <w:tcW w:w="2160" w:type="dxa"/>
          </w:tcPr>
          <w:p w14:paraId="6585BF3B" w14:textId="77777777" w:rsidR="00376D3E" w:rsidRDefault="00000000">
            <w:pPr>
              <w:cnfStyle w:val="000000000000" w:firstRow="0" w:lastRow="0" w:firstColumn="0" w:lastColumn="0" w:oddVBand="0" w:evenVBand="0" w:oddHBand="0" w:evenHBand="0" w:firstRowFirstColumn="0" w:firstRowLastColumn="0" w:lastRowFirstColumn="0" w:lastRowLastColumn="0"/>
            </w:pPr>
            <w:r>
              <w:t>High</w:t>
            </w:r>
          </w:p>
        </w:tc>
        <w:tc>
          <w:tcPr>
            <w:tcW w:w="2160" w:type="dxa"/>
          </w:tcPr>
          <w:p w14:paraId="57063996" w14:textId="77777777" w:rsidR="00376D3E" w:rsidRDefault="00000000">
            <w:pPr>
              <w:cnfStyle w:val="000000000000" w:firstRow="0" w:lastRow="0" w:firstColumn="0" w:lastColumn="0" w:oddVBand="0" w:evenVBand="0" w:oddHBand="0" w:evenHBand="0" w:firstRowFirstColumn="0" w:firstRowLastColumn="0" w:lastRowFirstColumn="0" w:lastRowLastColumn="0"/>
            </w:pPr>
            <w:r>
              <w:t>Informs planning-related fields and summary views</w:t>
            </w:r>
          </w:p>
        </w:tc>
      </w:tr>
      <w:tr w:rsidR="00376D3E" w14:paraId="5A9FB000" w14:textId="77777777" w:rsidTr="00B1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62363" w14:textId="77777777" w:rsidR="00376D3E" w:rsidRPr="00B12D80" w:rsidRDefault="00000000">
            <w:pPr>
              <w:rPr>
                <w:b w:val="0"/>
                <w:bCs w:val="0"/>
              </w:rPr>
            </w:pPr>
            <w:r w:rsidRPr="00B12D80">
              <w:rPr>
                <w:b w:val="0"/>
                <w:bCs w:val="0"/>
              </w:rPr>
              <w:t>Disabled users</w:t>
            </w:r>
          </w:p>
        </w:tc>
        <w:tc>
          <w:tcPr>
            <w:tcW w:w="2160" w:type="dxa"/>
          </w:tcPr>
          <w:p w14:paraId="314855F2" w14:textId="77777777" w:rsidR="00376D3E" w:rsidRDefault="00000000">
            <w:pPr>
              <w:cnfStyle w:val="000000100000" w:firstRow="0" w:lastRow="0" w:firstColumn="0" w:lastColumn="0" w:oddVBand="0" w:evenVBand="0" w:oddHBand="1" w:evenHBand="0" w:firstRowFirstColumn="0" w:firstRowLastColumn="0" w:lastRowFirstColumn="0" w:lastRowLastColumn="0"/>
            </w:pPr>
            <w:r>
              <w:t>Accurate and honest access information</w:t>
            </w:r>
          </w:p>
        </w:tc>
        <w:tc>
          <w:tcPr>
            <w:tcW w:w="2160" w:type="dxa"/>
          </w:tcPr>
          <w:p w14:paraId="3F15FB9B" w14:textId="77777777" w:rsidR="00376D3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49624937" w14:textId="77777777" w:rsidR="00376D3E" w:rsidRDefault="00000000">
            <w:pPr>
              <w:cnfStyle w:val="000000100000" w:firstRow="0" w:lastRow="0" w:firstColumn="0" w:lastColumn="0" w:oddVBand="0" w:evenVBand="0" w:oddHBand="1" w:evenHBand="0" w:firstRowFirstColumn="0" w:firstRowLastColumn="0" w:lastRowFirstColumn="0" w:lastRowLastColumn="0"/>
            </w:pPr>
            <w:r>
              <w:t>Shapes physical and sensory accessibility attributes</w:t>
            </w:r>
          </w:p>
        </w:tc>
      </w:tr>
      <w:tr w:rsidR="00376D3E" w14:paraId="49494378" w14:textId="77777777" w:rsidTr="00B12D80">
        <w:tc>
          <w:tcPr>
            <w:cnfStyle w:val="001000000000" w:firstRow="0" w:lastRow="0" w:firstColumn="1" w:lastColumn="0" w:oddVBand="0" w:evenVBand="0" w:oddHBand="0" w:evenHBand="0" w:firstRowFirstColumn="0" w:firstRowLastColumn="0" w:lastRowFirstColumn="0" w:lastRowLastColumn="0"/>
            <w:tcW w:w="2160" w:type="dxa"/>
          </w:tcPr>
          <w:p w14:paraId="3B2FD4DB" w14:textId="77777777" w:rsidR="00376D3E" w:rsidRPr="00B12D80" w:rsidRDefault="00000000">
            <w:pPr>
              <w:rPr>
                <w:b w:val="0"/>
                <w:bCs w:val="0"/>
              </w:rPr>
            </w:pPr>
            <w:r w:rsidRPr="00B12D80">
              <w:rPr>
                <w:b w:val="0"/>
                <w:bCs w:val="0"/>
              </w:rPr>
              <w:t>University / academic programme</w:t>
            </w:r>
          </w:p>
        </w:tc>
        <w:tc>
          <w:tcPr>
            <w:tcW w:w="2160" w:type="dxa"/>
          </w:tcPr>
          <w:p w14:paraId="35059BC4" w14:textId="77777777" w:rsidR="00376D3E" w:rsidRDefault="00000000">
            <w:pPr>
              <w:cnfStyle w:val="000000000000" w:firstRow="0" w:lastRow="0" w:firstColumn="0" w:lastColumn="0" w:oddVBand="0" w:evenVBand="0" w:oddHBand="0" w:evenHBand="0" w:firstRowFirstColumn="0" w:firstRowLastColumn="0" w:lastRowFirstColumn="0" w:lastRowLastColumn="0"/>
            </w:pPr>
            <w:r>
              <w:t>Alignment with Project Template 2.1, feasibility, academic rigour</w:t>
            </w:r>
          </w:p>
        </w:tc>
        <w:tc>
          <w:tcPr>
            <w:tcW w:w="2160" w:type="dxa"/>
          </w:tcPr>
          <w:p w14:paraId="33358F9C" w14:textId="77777777" w:rsidR="00376D3E" w:rsidRDefault="00000000">
            <w:pPr>
              <w:cnfStyle w:val="000000000000" w:firstRow="0" w:lastRow="0" w:firstColumn="0" w:lastColumn="0" w:oddVBand="0" w:evenVBand="0" w:oddHBand="0" w:evenHBand="0" w:firstRowFirstColumn="0" w:firstRowLastColumn="0" w:lastRowFirstColumn="0" w:lastRowLastColumn="0"/>
            </w:pPr>
            <w:r>
              <w:t>High</w:t>
            </w:r>
          </w:p>
        </w:tc>
        <w:tc>
          <w:tcPr>
            <w:tcW w:w="2160" w:type="dxa"/>
          </w:tcPr>
          <w:p w14:paraId="28D3329C" w14:textId="77777777" w:rsidR="00376D3E" w:rsidRDefault="00000000">
            <w:pPr>
              <w:cnfStyle w:val="000000000000" w:firstRow="0" w:lastRow="0" w:firstColumn="0" w:lastColumn="0" w:oddVBand="0" w:evenVBand="0" w:oddHBand="0" w:evenHBand="0" w:firstRowFirstColumn="0" w:firstRowLastColumn="0" w:lastRowFirstColumn="0" w:lastRowLastColumn="0"/>
            </w:pPr>
            <w:r>
              <w:t>Influences project scope, data modelling depth, and evaluation approach</w:t>
            </w:r>
          </w:p>
        </w:tc>
      </w:tr>
      <w:tr w:rsidR="00376D3E" w14:paraId="77FEF48A" w14:textId="77777777" w:rsidTr="00B1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AE204C" w14:textId="77777777" w:rsidR="00376D3E" w:rsidRPr="00B12D80" w:rsidRDefault="00000000">
            <w:pPr>
              <w:rPr>
                <w:b w:val="0"/>
                <w:bCs w:val="0"/>
              </w:rPr>
            </w:pPr>
            <w:r w:rsidRPr="00B12D80">
              <w:rPr>
                <w:b w:val="0"/>
                <w:bCs w:val="0"/>
              </w:rPr>
              <w:t>Event organisers</w:t>
            </w:r>
          </w:p>
        </w:tc>
        <w:tc>
          <w:tcPr>
            <w:tcW w:w="2160" w:type="dxa"/>
          </w:tcPr>
          <w:p w14:paraId="2519C4F3" w14:textId="77777777" w:rsidR="00376D3E" w:rsidRDefault="00000000">
            <w:pPr>
              <w:cnfStyle w:val="000000100000" w:firstRow="0" w:lastRow="0" w:firstColumn="0" w:lastColumn="0" w:oddVBand="0" w:evenVBand="0" w:oddHBand="1" w:evenHBand="0" w:firstRowFirstColumn="0" w:firstRowLastColumn="0" w:lastRowFirstColumn="0" w:lastRowLastColumn="0"/>
            </w:pPr>
            <w:r>
              <w:t>Simple workflows, guidance on accessibility information</w:t>
            </w:r>
          </w:p>
        </w:tc>
        <w:tc>
          <w:tcPr>
            <w:tcW w:w="2160" w:type="dxa"/>
          </w:tcPr>
          <w:p w14:paraId="68A560BD" w14:textId="77777777" w:rsidR="00376D3E"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2B7D10EC" w14:textId="77777777" w:rsidR="00376D3E" w:rsidRDefault="00000000">
            <w:pPr>
              <w:cnfStyle w:val="000000100000" w:firstRow="0" w:lastRow="0" w:firstColumn="0" w:lastColumn="0" w:oddVBand="0" w:evenVBand="0" w:oddHBand="1" w:evenHBand="0" w:firstRowFirstColumn="0" w:firstRowLastColumn="0" w:lastRowFirstColumn="0" w:lastRowLastColumn="0"/>
            </w:pPr>
            <w:r>
              <w:t>Influences event creation interface and data prompts</w:t>
            </w:r>
          </w:p>
        </w:tc>
      </w:tr>
      <w:tr w:rsidR="00376D3E" w14:paraId="617989DB" w14:textId="77777777" w:rsidTr="00B12D80">
        <w:tc>
          <w:tcPr>
            <w:cnfStyle w:val="001000000000" w:firstRow="0" w:lastRow="0" w:firstColumn="1" w:lastColumn="0" w:oddVBand="0" w:evenVBand="0" w:oddHBand="0" w:evenHBand="0" w:firstRowFirstColumn="0" w:firstRowLastColumn="0" w:lastRowFirstColumn="0" w:lastRowLastColumn="0"/>
            <w:tcW w:w="2160" w:type="dxa"/>
          </w:tcPr>
          <w:p w14:paraId="0AF844ED" w14:textId="77777777" w:rsidR="00376D3E" w:rsidRPr="00B12D80" w:rsidRDefault="00000000">
            <w:pPr>
              <w:rPr>
                <w:b w:val="0"/>
                <w:bCs w:val="0"/>
              </w:rPr>
            </w:pPr>
            <w:r w:rsidRPr="00B12D80">
              <w:rPr>
                <w:b w:val="0"/>
                <w:bCs w:val="0"/>
              </w:rPr>
              <w:t>Advocacy organisations</w:t>
            </w:r>
          </w:p>
        </w:tc>
        <w:tc>
          <w:tcPr>
            <w:tcW w:w="2160" w:type="dxa"/>
          </w:tcPr>
          <w:p w14:paraId="7178F610" w14:textId="77777777" w:rsidR="00376D3E" w:rsidRDefault="00000000">
            <w:pPr>
              <w:cnfStyle w:val="000000000000" w:firstRow="0" w:lastRow="0" w:firstColumn="0" w:lastColumn="0" w:oddVBand="0" w:evenVBand="0" w:oddHBand="0" w:evenHBand="0" w:firstRowFirstColumn="0" w:firstRowLastColumn="0" w:lastRowFirstColumn="0" w:lastRowLastColumn="0"/>
            </w:pPr>
            <w:r>
              <w:t>Credible and respectful representation</w:t>
            </w:r>
          </w:p>
        </w:tc>
        <w:tc>
          <w:tcPr>
            <w:tcW w:w="2160" w:type="dxa"/>
          </w:tcPr>
          <w:p w14:paraId="4884A5F8" w14:textId="77777777" w:rsidR="00376D3E"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160" w:type="dxa"/>
          </w:tcPr>
          <w:p w14:paraId="23DFF2FD" w14:textId="77777777" w:rsidR="00376D3E" w:rsidRDefault="00000000">
            <w:pPr>
              <w:cnfStyle w:val="000000000000" w:firstRow="0" w:lastRow="0" w:firstColumn="0" w:lastColumn="0" w:oddVBand="0" w:evenVBand="0" w:oddHBand="0" w:evenHBand="0" w:firstRowFirstColumn="0" w:firstRowLastColumn="0" w:lastRowFirstColumn="0" w:lastRowLastColumn="0"/>
            </w:pPr>
            <w:r>
              <w:t>Supports ethical framing and avoidance of oversimplification</w:t>
            </w:r>
          </w:p>
        </w:tc>
      </w:tr>
      <w:tr w:rsidR="00376D3E" w14:paraId="57C39F92" w14:textId="77777777" w:rsidTr="00B1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A8E5F" w14:textId="77777777" w:rsidR="00376D3E" w:rsidRPr="00B12D80" w:rsidRDefault="00000000">
            <w:pPr>
              <w:rPr>
                <w:b w:val="0"/>
                <w:bCs w:val="0"/>
              </w:rPr>
            </w:pPr>
            <w:r w:rsidRPr="00B12D80">
              <w:rPr>
                <w:b w:val="0"/>
                <w:bCs w:val="0"/>
              </w:rPr>
              <w:t>Developers / maintainers</w:t>
            </w:r>
          </w:p>
        </w:tc>
        <w:tc>
          <w:tcPr>
            <w:tcW w:w="2160" w:type="dxa"/>
          </w:tcPr>
          <w:p w14:paraId="402496FF" w14:textId="77777777" w:rsidR="00376D3E" w:rsidRDefault="00000000">
            <w:pPr>
              <w:cnfStyle w:val="000000100000" w:firstRow="0" w:lastRow="0" w:firstColumn="0" w:lastColumn="0" w:oddVBand="0" w:evenVBand="0" w:oddHBand="1" w:evenHBand="0" w:firstRowFirstColumn="0" w:firstRowLastColumn="0" w:lastRowFirstColumn="0" w:lastRowLastColumn="0"/>
            </w:pPr>
            <w:r>
              <w:t>Maintainability and extensibility</w:t>
            </w:r>
          </w:p>
        </w:tc>
        <w:tc>
          <w:tcPr>
            <w:tcW w:w="2160" w:type="dxa"/>
          </w:tcPr>
          <w:p w14:paraId="56C18F39" w14:textId="77777777" w:rsidR="00376D3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5AA06EB3" w14:textId="77777777" w:rsidR="00376D3E" w:rsidRDefault="00000000">
            <w:pPr>
              <w:cnfStyle w:val="000000100000" w:firstRow="0" w:lastRow="0" w:firstColumn="0" w:lastColumn="0" w:oddVBand="0" w:evenVBand="0" w:oddHBand="1" w:evenHBand="0" w:firstRowFirstColumn="0" w:firstRowLastColumn="0" w:lastRowFirstColumn="0" w:lastRowLastColumn="0"/>
            </w:pPr>
            <w:r>
              <w:t>Guides modular architecture and data modelling</w:t>
            </w:r>
          </w:p>
        </w:tc>
      </w:tr>
    </w:tbl>
    <w:p w14:paraId="06CD7604" w14:textId="77777777" w:rsidR="00376D3E" w:rsidRDefault="00000000">
      <w:pPr>
        <w:pStyle w:val="Heading2"/>
      </w:pPr>
      <w:r>
        <w:lastRenderedPageBreak/>
        <w:t>4. Stakeholder Power and Interest Considerations</w:t>
      </w:r>
    </w:p>
    <w:p w14:paraId="13351FFE" w14:textId="77777777" w:rsidR="00376D3E" w:rsidRDefault="00000000">
      <w:r>
        <w:t>Primary users and the University both exhibit high influence over the project. User needs justify the project’s inclusive focus, while academic requirements constrain scope and necessitate demonstrable technical depth. Balancing these influences ensures that the project remains both socially meaningful and academically robust.</w:t>
      </w:r>
    </w:p>
    <w:p w14:paraId="78191103" w14:textId="77777777" w:rsidR="00376D3E" w:rsidRDefault="00000000">
      <w:pPr>
        <w:pStyle w:val="Heading2"/>
      </w:pPr>
      <w:r>
        <w:t>5. Implications for Design and Evaluation</w:t>
      </w:r>
    </w:p>
    <w:p w14:paraId="74AE93B4" w14:textId="77777777" w:rsidR="00376D3E" w:rsidRDefault="00000000">
      <w:r>
        <w:t>The stakeholder analysis informs key design decisions, including the use of structured accessibility data, separation of venue and event-level accessibility, and prioritisation of database-driven features to align with Project Template 2.1. It also informs the evaluation strategy, which balances qualitative user feedback with academic expectations around feasibility and technical correctness.</w:t>
      </w:r>
    </w:p>
    <w:p w14:paraId="686544B8" w14:textId="77777777" w:rsidR="00376D3E" w:rsidRDefault="00000000">
      <w:pPr>
        <w:pStyle w:val="Heading2"/>
      </w:pPr>
      <w:r>
        <w:t>6. Summary</w:t>
      </w:r>
    </w:p>
    <w:p w14:paraId="100A2914" w14:textId="77777777" w:rsidR="00376D3E" w:rsidRDefault="00000000">
      <w:r>
        <w:t>Including the University as a primary stakeholder ensures that the project remains aligned with assessment requirements while maintaining a strong focus on user needs. This analysis provides a clear foundation for the system requirements, design rationale, and evaluation approach described in the main project report.</w:t>
      </w:r>
    </w:p>
    <w:sectPr w:rsidR="00376D3E"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BA1F5" w14:textId="77777777" w:rsidR="00591503" w:rsidRDefault="00591503" w:rsidP="00B12D80">
      <w:pPr>
        <w:spacing w:after="0" w:line="240" w:lineRule="auto"/>
      </w:pPr>
      <w:r>
        <w:separator/>
      </w:r>
    </w:p>
  </w:endnote>
  <w:endnote w:type="continuationSeparator" w:id="0">
    <w:p w14:paraId="3D91C0AE" w14:textId="77777777" w:rsidR="00591503" w:rsidRDefault="00591503" w:rsidP="00B12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569B" w14:textId="77777777" w:rsidR="00591503" w:rsidRDefault="00591503" w:rsidP="00B12D80">
      <w:pPr>
        <w:spacing w:after="0" w:line="240" w:lineRule="auto"/>
      </w:pPr>
      <w:r>
        <w:separator/>
      </w:r>
    </w:p>
  </w:footnote>
  <w:footnote w:type="continuationSeparator" w:id="0">
    <w:p w14:paraId="3D2A6775" w14:textId="77777777" w:rsidR="00591503" w:rsidRDefault="00591503" w:rsidP="00B12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E4BC" w14:textId="07B735A5" w:rsidR="00B12D80" w:rsidRDefault="00B12D80" w:rsidP="00B12D80">
    <w:pPr>
      <w:pStyle w:val="Title"/>
    </w:pPr>
    <w:r w:rsidRPr="00B12D80">
      <w:t>Stakeholder Identification and Analysis</w:t>
    </w:r>
  </w:p>
  <w:p w14:paraId="7E036D6B" w14:textId="2A63BFB6" w:rsidR="00B12D80" w:rsidRPr="00B12D80" w:rsidRDefault="00B12D80" w:rsidP="00B12D80">
    <w:pPr>
      <w:jc w:val="center"/>
    </w:pPr>
    <w:r>
      <w:t>By Gavin Plucknett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419261">
    <w:abstractNumId w:val="8"/>
  </w:num>
  <w:num w:numId="2" w16cid:durableId="395083422">
    <w:abstractNumId w:val="6"/>
  </w:num>
  <w:num w:numId="3" w16cid:durableId="2006780966">
    <w:abstractNumId w:val="5"/>
  </w:num>
  <w:num w:numId="4" w16cid:durableId="1938756687">
    <w:abstractNumId w:val="4"/>
  </w:num>
  <w:num w:numId="5" w16cid:durableId="1358458734">
    <w:abstractNumId w:val="7"/>
  </w:num>
  <w:num w:numId="6" w16cid:durableId="1286892763">
    <w:abstractNumId w:val="3"/>
  </w:num>
  <w:num w:numId="7" w16cid:durableId="45109008">
    <w:abstractNumId w:val="2"/>
  </w:num>
  <w:num w:numId="8" w16cid:durableId="1514762350">
    <w:abstractNumId w:val="1"/>
  </w:num>
  <w:num w:numId="9" w16cid:durableId="74207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D3E"/>
    <w:rsid w:val="00557269"/>
    <w:rsid w:val="00591503"/>
    <w:rsid w:val="00AA1D8D"/>
    <w:rsid w:val="00B12D80"/>
    <w:rsid w:val="00B47730"/>
    <w:rsid w:val="00CB0664"/>
    <w:rsid w:val="00D71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07FD9"/>
  <w14:defaultImageDpi w14:val="300"/>
  <w15:docId w15:val="{25E0B41A-7751-D443-9B1E-74FEE88E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12D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646</Words>
  <Characters>4419</Characters>
  <Application>Microsoft Office Word</Application>
  <DocSecurity>0</DocSecurity>
  <Lines>133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GAVIN JAMES PLUCKNETT</cp:lastModifiedBy>
  <cp:revision>2</cp:revision>
  <dcterms:created xsi:type="dcterms:W3CDTF">2013-12-23T23:15:00Z</dcterms:created>
  <dcterms:modified xsi:type="dcterms:W3CDTF">2025-12-31T18:01:00Z</dcterms:modified>
  <cp:category/>
</cp:coreProperties>
</file>