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生图 Skill 2026</w:t>
        <w:br/>
        <w:t>更新整理版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面向品牌、电商、内容与产品视觉的 Prompt、参考图和工作流手册</w:t>
      </w:r>
    </w:p>
    <w:p>
      <w:pPr>
        <w:spacing w:before="280"/>
      </w:pPr>
      <w:r>
        <w:rPr>
          <w:rFonts w:ascii="Arial" w:hAnsi="Arial" w:eastAsia="Hiragino Sans GB"/>
          <w:b/>
          <w:color w:val="147D79"/>
          <w:sz w:val="24"/>
        </w:rPr>
        <w:t>从“收藏 Prompt”升级为“可交付的创作系统”</w:t>
      </w:r>
    </w:p>
    <w:p>
      <w:pPr>
        <w:spacing w:before="160" w:after="280"/>
      </w:pPr>
      <w:r>
        <w:rPr>
          <w:rFonts w:ascii="Arial" w:hAnsi="Arial" w:eastAsia="Hiragino Sans GB"/>
          <w:b w:val="0"/>
          <w:color w:val="5C6873"/>
          <w:sz w:val="20"/>
        </w:rPr>
        <w:t>适用人群：品牌与营销设计师、电商视觉设计师、内容创作者、AIGC 视觉负责人。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7F5F1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本次更新  </w:t>
            </w:r>
            <w:r>
              <w:rPr>
                <w:rFonts w:ascii="Arial" w:hAnsi="Arial" w:eastAsia="Hiragino Sans GB"/>
                <w:b w:val="0"/>
                <w:color w:val="20262B"/>
              </w:rPr>
              <w:t>保留原始 prompt 库作为灵感素材，不覆盖原文件；本版以任务、控制方式与交付标准重新编排，并根据 2026 年 9 月可查的官方文档和 GitHub 参考更新。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  <w:keepNext/>
      </w:pPr>
      <w:r>
        <w:rPr>
          <w:rFonts w:ascii="Arial" w:hAnsi="Arial" w:eastAsia="Hiragino Sans GB"/>
          <w:b w:val="0"/>
          <w:color w:val="20262B"/>
        </w:rPr>
        <w:t>如何使用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097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你现在要做什么</w:t>
            </w:r>
          </w:p>
        </w:tc>
        <w:tc>
          <w:tcPr>
            <w:tcW w:type="dxa" w:w="2835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先看哪一章</w:t>
            </w:r>
          </w:p>
        </w:tc>
        <w:tc>
          <w:tcPr>
            <w:tcW w:type="dxa" w:w="3855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209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找方向与模型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01 模型与能力边界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选定主模型和一条备选路径</w:t>
            </w:r>
          </w:p>
        </w:tc>
      </w:tr>
      <w:tr>
        <w:tc>
          <w:tcPr>
            <w:tcW w:type="dxa" w:w="209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写首轮 Prompt</w:t>
            </w:r>
          </w:p>
        </w:tc>
        <w:tc>
          <w:tcPr>
            <w:tcW w:type="dxa" w:w="2835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02 提示词规格 + 04 模板</w:t>
            </w:r>
          </w:p>
        </w:tc>
        <w:tc>
          <w:tcPr>
            <w:tcW w:type="dxa" w:w="3855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交代主体、构图、风格、光线、约束</w:t>
            </w:r>
          </w:p>
        </w:tc>
      </w:tr>
      <w:tr>
        <w:tc>
          <w:tcPr>
            <w:tcW w:type="dxa" w:w="209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控制人物、产品或构图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03 参考图与控制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每张参考图只承担一个主角色</w:t>
            </w:r>
          </w:p>
        </w:tc>
      </w:tr>
      <w:tr>
        <w:tc>
          <w:tcPr>
            <w:tcW w:type="dxa" w:w="209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批量生产并可复现</w:t>
            </w:r>
          </w:p>
        </w:tc>
        <w:tc>
          <w:tcPr>
            <w:tcW w:type="dxa" w:w="2835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05 ComfyUI 生产配方</w:t>
            </w:r>
          </w:p>
        </w:tc>
        <w:tc>
          <w:tcPr>
            <w:tcW w:type="dxa" w:w="3855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保存工作流、种子、模型与版本</w:t>
            </w:r>
          </w:p>
        </w:tc>
      </w:tr>
      <w:tr>
        <w:tc>
          <w:tcPr>
            <w:tcW w:type="dxa" w:w="209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检查生成结果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06 排错与交付检查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视觉、文案、权利与格式全部过关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Arial" w:hAnsi="Arial" w:eastAsia="Hiragino Sans GB"/>
          <w:b/>
          <w:color w:val="17324D"/>
        </w:rPr>
        <w:t xml:space="preserve">目录  </w:t>
      </w:r>
      <w:r>
        <w:rPr>
          <w:rFonts w:ascii="Arial" w:hAnsi="Arial" w:eastAsia="Hiragino Sans GB"/>
          <w:b w:val="0"/>
          <w:color w:val="5C6873"/>
        </w:rPr>
        <w:t>01 模型与能力边界  ·  02 提示词规格  ·  03 参考图与控制  ·  04 可复用模板  ·  05 ComfyUI 生产配方  ·  06 排错与交付检查  ·  07 资料与迁移</w:t>
      </w: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01  模型与能力边界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先选对工具，再谈提示词。模型不是越多越好，而是各司其职。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57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工具 / 模型</w:t>
            </w:r>
          </w:p>
        </w:tc>
        <w:tc>
          <w:tcPr>
            <w:tcW w:type="dxa" w:w="2438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适合做什么</w:t>
            </w:r>
          </w:p>
        </w:tc>
        <w:tc>
          <w:tcPr>
            <w:tcW w:type="dxa" w:w="2721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输入与控制方式</w:t>
            </w:r>
          </w:p>
        </w:tc>
        <w:tc>
          <w:tcPr>
            <w:tcW w:type="dxa" w:w="1871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工作提醒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ChatGPT Images / GPT Image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自然语言首稿、局部编辑、连续对话迭代、快速视觉沟通</w:t>
            </w:r>
          </w:p>
        </w:tc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一句话到数句的需求 + 少量参考图 + 明确改动指令</w:t>
            </w:r>
          </w:p>
        </w:tc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用“保留什么 / 只改什么”描述编辑；要求长文案时仍需后期排版</w:t>
            </w:r>
          </w:p>
        </w:tc>
      </w:tr>
      <w:tr>
        <w:tc>
          <w:tcPr>
            <w:tcW w:type="dxa" w:w="175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FLUX.2</w:t>
            </w:r>
          </w:p>
        </w:tc>
        <w:tc>
          <w:tcPr>
            <w:tcW w:type="dxa" w:w="243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复杂商品组合、真实材质、品牌内容、结构化画面约束</w:t>
            </w:r>
          </w:p>
        </w:tc>
        <w:tc>
          <w:tcPr>
            <w:tcW w:type="dxa" w:w="272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自然语言；复杂任务可用结构化 JSON；可组合多张参考</w:t>
            </w:r>
          </w:p>
        </w:tc>
        <w:tc>
          <w:tcPr>
            <w:tcW w:type="dxa" w:w="187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FLUX.2 官方不使用 negative prompt；把约束写成正向明确指令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Midjourney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风格探索、品牌情绪板、时尚与艺术方向、氛围关键视觉</w:t>
            </w:r>
          </w:p>
        </w:tc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简洁文字 + Style Reference / Omni Reference / Edit Model</w:t>
            </w:r>
          </w:p>
        </w:tc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参考图负责风格或主体，文字 prompt 尽量只说新内容，避免指令互相打架</w:t>
            </w:r>
          </w:p>
        </w:tc>
      </w:tr>
      <w:tr>
        <w:tc>
          <w:tcPr>
            <w:tcW w:type="dxa" w:w="175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Ideogram</w:t>
            </w:r>
          </w:p>
        </w:tc>
        <w:tc>
          <w:tcPr>
            <w:tcW w:type="dxa" w:w="243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带短标题、标签、海报标题的概念图</w:t>
            </w:r>
          </w:p>
        </w:tc>
        <w:tc>
          <w:tcPr>
            <w:tcW w:type="dxa" w:w="272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明确文本内容、层级、位置与设计语气</w:t>
            </w:r>
          </w:p>
        </w:tc>
        <w:tc>
          <w:tcPr>
            <w:tcW w:type="dxa" w:w="187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适合短而重要的文字；正式落地仍在 Figma / PS 重新排字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ComfyUI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可复现、批量、节点化控制、局部修图、ControlNet</w:t>
            </w:r>
          </w:p>
        </w:tc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模型 + 工作流 + 种子 + 参考 / 控制图</w:t>
            </w:r>
          </w:p>
        </w:tc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它是生产环境，不是单一模型；输出时必须保存 workflow JSON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BEF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选择原则  </w:t>
            </w:r>
            <w:r>
              <w:rPr>
                <w:rFonts w:ascii="Arial" w:hAnsi="Arial" w:eastAsia="Hiragino Sans GB"/>
                <w:b w:val="0"/>
                <w:color w:val="20262B"/>
              </w:rPr>
              <w:t>同一项目只设一条“主链路”。例如：Midjourney 负责视觉方向，FLUX.2 或 ChatGPT Images 负责可控首稿，ComfyUI 负责批量和局部精修。不要在多个模型间无记录地来回试。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模型选择的 4 个问题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这张图的核心风险是什么：风格不准、产品变形、人物不稳定、构图必须复刻，还是文字必须清楚？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是否需要用同一人物、同一产品、同一版式连续出 20 个版本？需要时优先选择参考图 / 工作流可记录的链路。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是否需要编辑而不是重新生成？把“基础图 + 局部修改说明”放在同一轮，降低漂移。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是否进入商业投放？进入时先排除无授权人像、商标、受版权保护角色和虚构成真实社媒内容的风险。</w:t>
      </w: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02  把 Prompt 写成设计规格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不是形容词堆叠，而是让模型理解优先级、画面关系和不该发生的事。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七个槽位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219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槽位</w:t>
            </w:r>
          </w:p>
        </w:tc>
        <w:tc>
          <w:tcPr>
            <w:tcW w:type="dxa" w:w="2863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要回答的问题</w:t>
            </w:r>
          </w:p>
        </w:tc>
        <w:tc>
          <w:tcPr>
            <w:tcW w:type="dxa" w:w="4677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21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01 输出</w:t>
            </w:r>
          </w:p>
        </w:tc>
        <w:tc>
          <w:tcPr>
            <w:tcW w:type="dxa" w:w="28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用途、比例、视觉类型？</w:t>
            </w:r>
          </w:p>
        </w:tc>
        <w:tc>
          <w:tcPr>
            <w:tcW w:type="dxa" w:w="467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4:5 电商主图；高端护肤品牌 KV</w:t>
            </w:r>
          </w:p>
        </w:tc>
      </w:tr>
      <w:tr>
        <w:tc>
          <w:tcPr>
            <w:tcW w:type="dxa" w:w="121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02 主体</w:t>
            </w:r>
          </w:p>
        </w:tc>
        <w:tc>
          <w:tcPr>
            <w:tcW w:type="dxa" w:w="2863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谁 / 什么必须准确？优先级？</w:t>
            </w:r>
          </w:p>
        </w:tc>
        <w:tc>
          <w:tcPr>
            <w:tcW w:type="dxa" w:w="467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磨砂白色精华瓶，瓶身标签清晰但不生成长段文字</w:t>
            </w:r>
          </w:p>
        </w:tc>
      </w:tr>
      <w:tr>
        <w:tc>
          <w:tcPr>
            <w:tcW w:type="dxa" w:w="121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03 动作与关系</w:t>
            </w:r>
          </w:p>
        </w:tc>
        <w:tc>
          <w:tcPr>
            <w:tcW w:type="dxa" w:w="28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主体之间如何互动？</w:t>
            </w:r>
          </w:p>
        </w:tc>
        <w:tc>
          <w:tcPr>
            <w:tcW w:type="dxa" w:w="467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瓶子悬浮于水滴上方，花瓣只作前景层次</w:t>
            </w:r>
          </w:p>
        </w:tc>
      </w:tr>
      <w:tr>
        <w:tc>
          <w:tcPr>
            <w:tcW w:type="dxa" w:w="121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04 构图与镜头</w:t>
            </w:r>
          </w:p>
        </w:tc>
        <w:tc>
          <w:tcPr>
            <w:tcW w:type="dxa" w:w="2863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景别、视角、留白、焦点？</w:t>
            </w:r>
          </w:p>
        </w:tc>
        <w:tc>
          <w:tcPr>
            <w:tcW w:type="dxa" w:w="467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正面中景，产品占画面 40%，上方预留标题区</w:t>
            </w:r>
          </w:p>
        </w:tc>
      </w:tr>
      <w:tr>
        <w:tc>
          <w:tcPr>
            <w:tcW w:type="dxa" w:w="121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05 场景与材质</w:t>
            </w:r>
          </w:p>
        </w:tc>
        <w:tc>
          <w:tcPr>
            <w:tcW w:type="dxa" w:w="28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环境、道具、表面？</w:t>
            </w:r>
          </w:p>
        </w:tc>
        <w:tc>
          <w:tcPr>
            <w:tcW w:type="dxa" w:w="467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浅灰石材、半透明冰块、可见冷凝水</w:t>
            </w:r>
          </w:p>
        </w:tc>
      </w:tr>
      <w:tr>
        <w:tc>
          <w:tcPr>
            <w:tcW w:type="dxa" w:w="121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06 艺术指导</w:t>
            </w:r>
          </w:p>
        </w:tc>
        <w:tc>
          <w:tcPr>
            <w:tcW w:type="dxa" w:w="2863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色彩、质感、光线、风格？</w:t>
            </w:r>
          </w:p>
        </w:tc>
        <w:tc>
          <w:tcPr>
            <w:tcW w:type="dxa" w:w="467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冷白柔光，低饱和青绿，高级编辑感</w:t>
            </w:r>
          </w:p>
        </w:tc>
      </w:tr>
      <w:tr>
        <w:tc>
          <w:tcPr>
            <w:tcW w:type="dxa" w:w="121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07 约束</w:t>
            </w:r>
          </w:p>
        </w:tc>
        <w:tc>
          <w:tcPr>
            <w:tcW w:type="dxa" w:w="28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什么不能变 / 不能出现？</w:t>
            </w:r>
          </w:p>
        </w:tc>
        <w:tc>
          <w:tcPr>
            <w:tcW w:type="dxa" w:w="467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不改变瓶型；无多余产品；无可读性差的伪文字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推荐的首轮结构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[输出与用途] + [主体与优先级] + [主体关系] + [构图/镜头] + [场景/材质] + [艺术指导] + [明确约束]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7F5F1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核心原则  </w:t>
            </w:r>
            <w:r>
              <w:rPr>
                <w:rFonts w:ascii="Arial" w:hAnsi="Arial" w:eastAsia="Hiragino Sans GB"/>
                <w:b w:val="0"/>
                <w:color w:val="20262B"/>
              </w:rPr>
              <w:t>先保证“一个视觉主张”成立，再增加细节。第一轮只验证主体、构图、气质；第二轮验证材质和道具；第三轮处理局部。一次写进五个主张，通常只会造成权重冲突。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不同工具的表达方式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3402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写法</w:t>
            </w:r>
          </w:p>
        </w:tc>
        <w:tc>
          <w:tcPr>
            <w:tcW w:type="dxa" w:w="3628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避免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ChatGPT Images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用自然语言说清目的、对象、空间、风格和要保留的元素；编辑时明确“仅修改 X”。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只写一串风格标签，或要求单轮完成复杂排版与精确长文。</w:t>
            </w:r>
          </w:p>
        </w:tc>
      </w:tr>
      <w:tr>
        <w:tc>
          <w:tcPr>
            <w:tcW w:type="dxa" w:w="170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FLUX.2</w:t>
            </w:r>
          </w:p>
        </w:tc>
        <w:tc>
          <w:tcPr>
            <w:tcW w:type="dxa" w:w="3402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先写完整自然语言；复杂场景用 JSON 列出 subject / composition / lighting / constraints。</w:t>
            </w:r>
          </w:p>
        </w:tc>
        <w:tc>
          <w:tcPr>
            <w:tcW w:type="dxa" w:w="362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沿用 SD 的负面词串；FLUX.2 官方建议不使用 negative prompt。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Midjourney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prompt 尽量描述新画面内容；用 SREF / OREF 分担风格和主体控制。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参考图和文字同时重复、互相矛盾地描述同一件事。</w:t>
            </w:r>
          </w:p>
        </w:tc>
      </w:tr>
      <w:tr>
        <w:tc>
          <w:tcPr>
            <w:tcW w:type="dxa" w:w="170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ComfyUI / SD 链路</w:t>
            </w:r>
          </w:p>
        </w:tc>
        <w:tc>
          <w:tcPr>
            <w:tcW w:type="dxa" w:w="3402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正向词描述要生成的画面；只在所用模型支持时用少量负向词处理稳定问题。</w:t>
            </w:r>
          </w:p>
        </w:tc>
        <w:tc>
          <w:tcPr>
            <w:tcW w:type="dxa" w:w="362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把 negative prompt 当万能修复；构图失控应改控制图或分步生成。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03  参考图与控制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参考图不是“多发几张”。给每张图一个单一职责，才能减少身份和风格漂移。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530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参考图角色</w:t>
            </w:r>
          </w:p>
        </w:tc>
        <w:tc>
          <w:tcPr>
            <w:tcW w:type="dxa" w:w="2097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负责什么</w:t>
            </w:r>
          </w:p>
        </w:tc>
        <w:tc>
          <w:tcPr>
            <w:tcW w:type="dxa" w:w="2523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常见失误</w:t>
            </w:r>
          </w:p>
        </w:tc>
        <w:tc>
          <w:tcPr>
            <w:tcW w:type="dxa" w:w="2579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替代控制</w:t>
            </w:r>
          </w:p>
        </w:tc>
      </w:tr>
      <w:tr>
        <w:tc>
          <w:tcPr>
            <w:tcW w:type="dxa" w:w="15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产品 / Logo</w:t>
            </w:r>
          </w:p>
        </w:tc>
        <w:tc>
          <w:tcPr>
            <w:tcW w:type="dxa" w:w="209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形状、材质、包装、标识比例</w:t>
            </w:r>
          </w:p>
        </w:tc>
        <w:tc>
          <w:tcPr>
            <w:tcW w:type="dxa" w:w="252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让氛围图覆盖产品形态</w:t>
            </w:r>
          </w:p>
        </w:tc>
        <w:tc>
          <w:tcPr>
            <w:tcW w:type="dxa" w:w="257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透明底产品图 + 后续合成 / 局部重绘</w:t>
            </w:r>
          </w:p>
        </w:tc>
      </w:tr>
      <w:tr>
        <w:tc>
          <w:tcPr>
            <w:tcW w:type="dxa" w:w="1530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人物身份</w:t>
            </w:r>
          </w:p>
        </w:tc>
        <w:tc>
          <w:tcPr>
            <w:tcW w:type="dxa" w:w="209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脸部、发型、肤色、人物气质</w:t>
            </w:r>
          </w:p>
        </w:tc>
        <w:tc>
          <w:tcPr>
            <w:tcW w:type="dxa" w:w="2523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把多人或不同角度同时混入</w:t>
            </w:r>
          </w:p>
        </w:tc>
        <w:tc>
          <w:tcPr>
            <w:tcW w:type="dxa" w:w="257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单一高质量正脸 / 多角度身份组</w:t>
            </w:r>
          </w:p>
        </w:tc>
      </w:tr>
      <w:tr>
        <w:tc>
          <w:tcPr>
            <w:tcW w:type="dxa" w:w="15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风格</w:t>
            </w:r>
          </w:p>
        </w:tc>
        <w:tc>
          <w:tcPr>
            <w:tcW w:type="dxa" w:w="209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色彩、镜头、后期、笔触、时代感</w:t>
            </w:r>
          </w:p>
        </w:tc>
        <w:tc>
          <w:tcPr>
            <w:tcW w:type="dxa" w:w="252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同时放入互斥风格</w:t>
            </w:r>
          </w:p>
        </w:tc>
        <w:tc>
          <w:tcPr>
            <w:tcW w:type="dxa" w:w="257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MJ Style Reference；先做风格板</w:t>
            </w:r>
          </w:p>
        </w:tc>
      </w:tr>
      <w:tr>
        <w:tc>
          <w:tcPr>
            <w:tcW w:type="dxa" w:w="1530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构图</w:t>
            </w:r>
          </w:p>
        </w:tc>
        <w:tc>
          <w:tcPr>
            <w:tcW w:type="dxa" w:w="209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景别、视角、主体位置、层级</w:t>
            </w:r>
          </w:p>
        </w:tc>
        <w:tc>
          <w:tcPr>
            <w:tcW w:type="dxa" w:w="2523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误以为可同时指定复杂姿势和布局</w:t>
            </w:r>
          </w:p>
        </w:tc>
        <w:tc>
          <w:tcPr>
            <w:tcW w:type="dxa" w:w="257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草图、线框、depth / canny / pose 控制</w:t>
            </w:r>
          </w:p>
        </w:tc>
      </w:tr>
      <w:tr>
        <w:tc>
          <w:tcPr>
            <w:tcW w:type="dxa" w:w="15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姿态 / 动作</w:t>
            </w:r>
          </w:p>
        </w:tc>
        <w:tc>
          <w:tcPr>
            <w:tcW w:type="dxa" w:w="209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人物或物件的空间关系</w:t>
            </w:r>
          </w:p>
        </w:tc>
        <w:tc>
          <w:tcPr>
            <w:tcW w:type="dxa" w:w="252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用低清截图当姿态图</w:t>
            </w:r>
          </w:p>
        </w:tc>
        <w:tc>
          <w:tcPr>
            <w:tcW w:type="dxa" w:w="257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ControlNet OpenPose / 深度图</w:t>
            </w:r>
          </w:p>
        </w:tc>
      </w:tr>
      <w:tr>
        <w:tc>
          <w:tcPr>
            <w:tcW w:type="dxa" w:w="1530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情绪 / 环境</w:t>
            </w:r>
          </w:p>
        </w:tc>
        <w:tc>
          <w:tcPr>
            <w:tcW w:type="dxa" w:w="209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天气、时段、空间氛围</w:t>
            </w:r>
          </w:p>
        </w:tc>
        <w:tc>
          <w:tcPr>
            <w:tcW w:type="dxa" w:w="2523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把环境图误当产品规范</w:t>
            </w:r>
          </w:p>
        </w:tc>
        <w:tc>
          <w:tcPr>
            <w:tcW w:type="dxa" w:w="257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文字描述 + 单一 mood 参考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三段式控制流程</w:t>
      </w:r>
    </w:p>
    <w:p>
      <w:pPr>
        <w:pStyle w:val="ListNumber"/>
        <w:spacing w:after="80"/>
      </w:pPr>
      <w:r>
        <w:rPr>
          <w:rFonts w:ascii="Arial" w:hAnsi="Arial" w:eastAsia="Hiragino Sans GB"/>
          <w:b w:val="0"/>
        </w:rPr>
        <w:t>定方向：用少量文字或风格参考，出 4–8 张视觉方向图。此阶段不追产品文字和细节。</w:t>
      </w:r>
    </w:p>
    <w:p>
      <w:pPr>
        <w:pStyle w:val="ListNumber"/>
        <w:spacing w:after="80"/>
      </w:pPr>
      <w:r>
        <w:rPr>
          <w:rFonts w:ascii="Arial" w:hAnsi="Arial" w:eastAsia="Hiragino Sans GB"/>
          <w:b w:val="0"/>
        </w:rPr>
        <w:t>锁骨架：选一张构图正确的图，加入产品 / 人物参考；需要严格空间关系时加入草图、姿态或 ControlNet。</w:t>
      </w:r>
    </w:p>
    <w:p>
      <w:pPr>
        <w:pStyle w:val="ListNumber"/>
        <w:spacing w:after="80"/>
      </w:pPr>
      <w:r>
        <w:rPr>
          <w:rFonts w:ascii="Arial" w:hAnsi="Arial" w:eastAsia="Hiragino Sans GB"/>
          <w:b w:val="0"/>
        </w:rPr>
        <w:t>做精修：用局部蒙版只处理手、产品边缘、标签、背景杂物。每次编辑只改一个问题。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参考图协议  </w:t>
            </w:r>
            <w:r>
              <w:rPr>
                <w:rFonts w:ascii="Arial" w:hAnsi="Arial" w:eastAsia="Hiragino Sans GB"/>
                <w:b w:val="0"/>
                <w:color w:val="20262B"/>
              </w:rPr>
              <w:t>文件名建议写明角色，例如 product_front.png、talent_identity_01.jpg、style_cool_editorial.jpg、layout_4x5_sketch.png。交付时与 prompt、模型和 seed 一起归档。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商业项目的图文分工</w:t>
      </w:r>
    </w:p>
    <w:p>
      <w:r>
        <w:rPr>
          <w:rFonts w:ascii="Arial" w:hAnsi="Arial" w:eastAsia="Hiragino Sans GB"/>
          <w:b/>
          <w:color w:val="147D79"/>
        </w:rPr>
        <w:t>生成模型负责：</w:t>
      </w:r>
      <w:r>
        <w:rPr>
          <w:rFonts w:ascii="Arial" w:hAnsi="Arial" w:eastAsia="Hiragino Sans GB"/>
          <w:b w:val="0"/>
        </w:rPr>
        <w:t xml:space="preserve">场景、材质、画面气质、主体关系、概念性短字。  </w:t>
      </w:r>
      <w:r>
        <w:rPr>
          <w:rFonts w:ascii="Arial" w:hAnsi="Arial" w:eastAsia="Hiragino Sans GB"/>
          <w:b/>
          <w:color w:val="C96A2A"/>
        </w:rPr>
        <w:t>设计工具负责：</w:t>
      </w:r>
      <w:r>
        <w:rPr>
          <w:rFonts w:ascii="Arial" w:hAnsi="Arial" w:eastAsia="Hiragino Sans GB"/>
          <w:b w:val="0"/>
        </w:rPr>
        <w:t>品牌字标、价格、功能卖点、CTA、法务信息和任何需要 100% 正确的长文本。</w:t>
      </w: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04  可复用 Prompt 模板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模板中的 [方括号] 必填。先删掉不适用的字段，再补足真实资产和约束。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01 通用创意 Brief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任何首轮视觉探索；适合 ChatGPT Images、FLUX.2、Midjourney。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[Purpose] Create a [format / aspect ratio] visual for [brand / campaign].</w:t>
              <w:br/>
              <w:t>[Hero subject] The primary subject is [subject], and it must remain visually accurate in [specific aspects].</w:t>
              <w:br/>
              <w:t>[Composition] [camera / framing / hierarchy / reserved copy area].</w:t>
              <w:br/>
              <w:t>[Scene] [environment, props, material, interaction].</w:t>
              <w:br/>
              <w:t>[Art direction] [palette, lighting, texture, style references described in words].</w:t>
              <w:br/>
              <w:t>[Constraints] Keep [must-preserve]. Avoid [specific failure modes]. No long generated text; leave a clean area for final typography.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把“用途”和“优先级”写在开头。用于付费广告时，加上版位、主体占比和 CTA 留白位置。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02 电商产品主视觉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护肤、数码、食品、家居等商品主图或详情页头图。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Create a premium 4:5 product hero image for [product]. Use the supplied product reference as the non-negotiable source of truth for its silhouette, cap, material and label proportions. Center the product at [40%] of the frame. Place it on [surface], with [one supporting material] and [one atmospheric element]. Lighting: [soft studio / hard sun / cool rim light]. Palette: [colors]. Leave the top [20%] quiet for headline typography. Clean commercial retouching, believable contact shadows, no duplicate products, no distorted packaging, no unreadable label text.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先单独做“准确产品 packshot”，再做场景合成。一次要求产品、人物、复杂背景和多卖点时，产品最容易变形。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03 品牌 Campaign KV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全球化活动主视觉、社媒封面、品牌大片方向。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Design a campaign key visual for [brand / product promise], 16:9. The image should communicate one idea: [single message]. Show [hero subject] performing [action] in [setting]. Composition: [foreground / middle / background], generous negative space at [location] for final title. Art direction: [editorial / cinematic / graphic], [palette], [lighting], [surface detail]. The visual should feel relevant to [market / audience] without relying on stereotypes. No brand logo or dense copy generated in-image.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“全球化”不等于把地域元素堆在一起。用真实使用情境、人物多样性和本地化道具校正，而不是刻板符号。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04 时尚 Editorial 人物图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服装、配饰、美妆与社媒时尚内容。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Fashion editorial photograph, vertical 4:5. Subject: [adult talent description], wearing [wardrobe]. Pose: [pose], shot from [camera angle] with [lens feel]. Environment: [location]. Styling: [hair / makeup / accessories]. Light: [lighting]. Color treatment: [palette]. Preserve natural anatomy, realistic hands, consistent fabric construction, and believable garment drape. The composition prioritizes [face / garment / accessory].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人物身份需要稳定时，只放一组经过授权的身份参考；同一系列尽量锁住机位、服装和光线变量。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05 社媒内容套图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Instagram / TikTok / Pinterest 的内容概念与系列封面。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Create a coherent three-image social content series for [brand / topic], each in 4:5. Image 1: [hero reveal]. Image 2: [detail / use moment]. Image 3: [proof / lifestyle context]. Maintain one visual system: [palette], [lighting], [texture], [camera language]. Reserve a clean lower-third for captions added later. Each image should work alone and feel recognizably part of one campaign.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需要大量版本时，先锁“一张标准母版”，将每一张变化限制在一个变量，例如色彩、场景或道具。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06 信息图 / 功能拆解图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产品原理、功能模块、对比信息的视觉概念。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Create a clean editorial infographic concept about [topic], in [ratio]. Use a clear visual hierarchy: one hero object, [3] labeled visual zones, directional lines, and simple icon-like callouts. Use short placeholder labels only, such as [LABEL A], [LABEL B], [LABEL C]. Style: [technical / playful / museum editorial]. Colors: [palette]. Keep the diagram geometrically coherent and leave blank text containers for final typesetting.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AI 负责图形关系与物料感，所有正式文字、数据、箭头端点和对齐关系应回到 Figma 完成。</w:t>
      </w: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04  可复用 Prompt 模板（续）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把“控制”写进任务，而不是用更多形容词补救。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07 IP 角色设定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自有品牌角色、游戏概念、插画系列。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Create an original character design sheet for [owned IP], portrait 3:4. Show one full-body front view, one three-quarter view, and three expressive face close-ups. Character traits: [age range as adult / non-sensitive traits], [silhouette], [materials], [signature object]. Style: [illustration / 3D / clay]. Background clean and neutral. Keep proportions, costume construction, color placement and facial features consistent. Do not imitate a living artist or an existing copyrighted character.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先锁定“轮廓、配色、标志物”三个辨识点。出系列插画时使用角色设定图作为身份参考，而非每次重新描述。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08 室内 / 空间概念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展陈、快闪、零售、家居氛围方案。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Architectural interior concept for [space type], [ratio]. Functional brief: [audience, key activity, circulation]. Viewpoint: [eye-level / isometric / top-down]. Materials: [three materials]. Lighting: [daylight / warm retail / gallery spotlights]. Include [hero zone] and [secondary zone] with clear circulation. The scene must be physically plausible: doors, furniture scale, shadows and structure should make sense. Avoid impossible staircases, warped furniture and floating objects.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空间方案先出可读的布局，再做风格渲染。需要落地的尺寸、消防与结构不能由生成图代替。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09 真实产品编辑 / 局部修图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保留原产品或人物，只替换背景、道具或局部瑕疵。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Use the supplied image as the base. Preserve exactly: [product / person / logo / pose / camera perspective]. Change only: [specific edit]. Match the existing [light direction / lens / shadow softness / color grade]. Do not add objects outside [area]. Keep all unedited pixels visually consistent with the original. Return a polished commercial image with realistic edges and contact shadows.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编辑指令中必须先写“保留”，再写“修改”。涉及产品标签、人物五官、手和边缘时，使用局部蒙版比整图重生更可靠。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10 真实照片合成前的背景板</w:t>
      </w:r>
    </w:p>
    <w:p>
      <w:pPr>
        <w:spacing w:after="100"/>
      </w:pPr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需要把真实产品或真人后期合入 AI 场景。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Create an empty photographic background plate for compositing a [product / person] later. Aspect ratio [ratio]. Camera: [angle, focal length feel, height]. Reserve a clearly lit placement area at [position] with believable contact-shadow direction. Scene: [environment]. Light direction: [describe]. Do not include any hero product, person, logo, text or foreground obstruction in the placement area.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eastAsia="Hiragino Sans GB"/>
          <w:b/>
          <w:color w:val="C96A2A"/>
        </w:rPr>
        <w:t>使用要点：</w:t>
      </w:r>
      <w:r>
        <w:rPr>
          <w:rFonts w:ascii="Arial" w:hAnsi="Arial" w:eastAsia="Hiragino Sans GB"/>
          <w:b w:val="0"/>
        </w:rPr>
        <w:t>这是商业落地最稳的一条：先出可控背景板，在 PS / Figma / 3D 工具中合入真实资产，减少产品与品牌识别出错。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复杂任务的 FLUX.2 结构化写法（可选）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1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color w:val="24313A"/>
                <w:sz w:val="17"/>
              </w:rPr>
              <w:t>{</w:t>
              <w:br/>
              <w:t xml:space="preserve">  "purpose": "4:5 premium skincare hero visual",</w:t>
              <w:br/>
              <w:t xml:space="preserve">  "subject": {"product": "[product]", "must_preserve": ["bottle silhouette", "cap", "label proportions"]},</w:t>
              <w:br/>
              <w:t xml:space="preserve">  "composition": {"camera": "front 3/4", "product_coverage": "40%", "copy_space": "top 20%"},</w:t>
              <w:br/>
              <w:t xml:space="preserve">  "scene": {"surface": "cool gray stone", "atmosphere": "fine mist"},</w:t>
              <w:br/>
              <w:t xml:space="preserve">  "art_direction": {"palette": "sage, pearl white", "lighting": "soft cool studio light"},</w:t>
              <w:br/>
              <w:t xml:space="preserve">  "constraints": ["one product only", "no readable long text", "believable shadows"]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何时使用 JSON  </w:t>
            </w:r>
            <w:r>
              <w:rPr>
                <w:rFonts w:ascii="Arial" w:hAnsi="Arial" w:eastAsia="Hiragino Sans GB"/>
                <w:b w:val="0"/>
                <w:color w:val="20262B"/>
              </w:rPr>
              <w:t>仅当画面里有多个主体、空间关系、系列化规格或可被拆分的约束时使用。普通首稿用完整自然语言更快，也更容易在聊天界面中修改。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05  ComfyUI 生产配方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目标是可复现和可交付：任何一张入选图，都应能追溯到工作流、参数和资产。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配方 A：Text-to-Image 方向验证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247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59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608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输入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写一个视觉主张的 prompt，设置比例与批次；不要先叠加 LoRA、ControlNet 与多张参考。</w:t>
            </w:r>
          </w:p>
        </w:tc>
        <w:tc>
          <w:tcPr>
            <w:tcW w:type="dxa" w:w="260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方向板：每个方向 4–8 张</w:t>
            </w:r>
          </w:p>
        </w:tc>
      </w:tr>
      <w:tr>
        <w:tc>
          <w:tcPr>
            <w:tcW w:type="dxa" w:w="1247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筛选</w:t>
            </w:r>
          </w:p>
        </w:tc>
        <w:tc>
          <w:tcPr>
            <w:tcW w:type="dxa" w:w="515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按主体、构图、品牌气质三项打分，只留 1–2 条链路继续。</w:t>
            </w:r>
          </w:p>
        </w:tc>
        <w:tc>
          <w:tcPr>
            <w:tcW w:type="dxa" w:w="260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入选图 + 失败原因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锁定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记录 checkpoint、VAE、采样器、steps、CFG、seed、尺寸和 prompt。</w:t>
            </w:r>
          </w:p>
        </w:tc>
        <w:tc>
          <w:tcPr>
            <w:tcW w:type="dxa" w:w="260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可复现首稿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配方 B：Image-to-Image 保留原图</w:t>
      </w:r>
    </w:p>
    <w:p>
      <w:r>
        <w:rPr>
          <w:rFonts w:ascii="Arial" w:hAnsi="Arial" w:eastAsia="Hiragino Sans GB"/>
          <w:b/>
          <w:color w:val="147D79"/>
        </w:rPr>
        <w:t>适用：</w:t>
      </w:r>
      <w:r>
        <w:rPr>
          <w:rFonts w:ascii="Arial" w:hAnsi="Arial" w:eastAsia="Hiragino Sans GB"/>
          <w:b w:val="0"/>
        </w:rPr>
        <w:t>已有产品、构图或实拍底图，需要换氛围、材质或背景。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低 denoise：更接近原图，适合只改色调、小道具或质感。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中 denoise：保留构图但允许重做背景、光线和局部风格。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高 denoise：接近重新生成。仅当原图骨架已经不重要时使用。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7F5F1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官方提示  </w:t>
            </w:r>
            <w:r>
              <w:rPr>
                <w:rFonts w:ascii="Arial" w:hAnsi="Arial" w:eastAsia="Hiragino Sans GB"/>
                <w:b w:val="0"/>
                <w:color w:val="20262B"/>
              </w:rPr>
              <w:t>ComfyUI 的 image-to-image 教程明确说明：denoise 越低，结果越贴近输入图；数值越高，改动越大。具体阈值需按模型和目标测试，不把固定数字当成通用真理。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配方 C：ControlNet 控制构图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你要锁什么</w:t>
            </w:r>
          </w:p>
        </w:tc>
        <w:tc>
          <w:tcPr>
            <w:tcW w:type="dxa" w:w="2268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常用输入</w:t>
            </w:r>
          </w:p>
        </w:tc>
        <w:tc>
          <w:tcPr>
            <w:tcW w:type="dxa" w:w="5046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注意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人物姿态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OpenPose 骨架</w:t>
            </w:r>
          </w:p>
        </w:tc>
        <w:tc>
          <w:tcPr>
            <w:tcW w:type="dxa" w:w="504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先确认骨架识别正确；手部和遮挡仍需局部修。</w:t>
            </w:r>
          </w:p>
        </w:tc>
      </w:tr>
      <w:tr>
        <w:tc>
          <w:tcPr>
            <w:tcW w:type="dxa" w:w="170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构图轮廓</w:t>
            </w:r>
          </w:p>
        </w:tc>
        <w:tc>
          <w:tcPr>
            <w:tcW w:type="dxa" w:w="226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Canny / lineart</w:t>
            </w:r>
          </w:p>
        </w:tc>
        <w:tc>
          <w:tcPr>
            <w:tcW w:type="dxa" w:w="5046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边缘图太复杂会限制风格，先简化。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空间体积与镜头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Depth</w:t>
            </w:r>
          </w:p>
        </w:tc>
        <w:tc>
          <w:tcPr>
            <w:tcW w:type="dxa" w:w="504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深度图负责前后关系，材质和风格仍由 prompt / 模型决定。</w:t>
            </w:r>
          </w:p>
        </w:tc>
      </w:tr>
      <w:tr>
        <w:tc>
          <w:tcPr>
            <w:tcW w:type="dxa" w:w="170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表面与细节结构</w:t>
            </w:r>
          </w:p>
        </w:tc>
        <w:tc>
          <w:tcPr>
            <w:tcW w:type="dxa" w:w="2268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Normal / Tile 等控制图</w:t>
            </w:r>
          </w:p>
        </w:tc>
        <w:tc>
          <w:tcPr>
            <w:tcW w:type="dxa" w:w="5046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需要匹配所用 ControlNet 的预处理器与模型。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生产归档最小集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workflow.json（ComfyUI 通常可从生成图的 metadata 还原；同时独立保存一份）。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prompt.txt：正向 / 负向（若适用）、修改记录、输入资产说明。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assets/：产品图、身份图、风格图、控制图，文件名标记角色和版本。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output/：入选图与低清预览；命名包含项目、日期、模型链路和版本。</w:t>
      </w: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06  排错与交付检查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生成失败通常是控制路径不对，不是 Prompt 不够长。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56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2920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先排查</w:t>
            </w:r>
          </w:p>
        </w:tc>
        <w:tc>
          <w:tcPr>
            <w:tcW w:type="dxa" w:w="4139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优先修复动作</w:t>
            </w:r>
          </w:p>
        </w:tc>
      </w:tr>
      <w:tr>
        <w:tc>
          <w:tcPr>
            <w:tcW w:type="dxa" w:w="19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产品外形或标签变了</w:t>
            </w:r>
          </w:p>
        </w:tc>
        <w:tc>
          <w:tcPr>
            <w:tcW w:type="dxa" w:w="292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产品参考是否清晰；是否与多张风格图冲突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先做无场景 product packshot；改用局部编辑或真实资产合成</w:t>
            </w:r>
          </w:p>
        </w:tc>
      </w:tr>
      <w:tr>
        <w:tc>
          <w:tcPr>
            <w:tcW w:type="dxa" w:w="1956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人物不一致</w:t>
            </w:r>
          </w:p>
        </w:tc>
        <w:tc>
          <w:tcPr>
            <w:tcW w:type="dxa" w:w="2920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是否混用了多人、多角度或不同风格身份图</w:t>
            </w:r>
          </w:p>
        </w:tc>
        <w:tc>
          <w:tcPr>
            <w:tcW w:type="dxa" w:w="413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只用一组授权身份参考；每轮只改变服装、背景或姿态之一</w:t>
            </w:r>
          </w:p>
        </w:tc>
      </w:tr>
      <w:tr>
        <w:tc>
          <w:tcPr>
            <w:tcW w:type="dxa" w:w="19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构图永远不对</w:t>
            </w:r>
          </w:p>
        </w:tc>
        <w:tc>
          <w:tcPr>
            <w:tcW w:type="dxa" w:w="292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是否把布局、姿态、风格同时交给文字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先画草图或使用 pose / depth / canny；文字只描述视觉意图</w:t>
            </w:r>
          </w:p>
        </w:tc>
      </w:tr>
      <w:tr>
        <w:tc>
          <w:tcPr>
            <w:tcW w:type="dxa" w:w="1956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画面很“AI”且杂</w:t>
            </w:r>
          </w:p>
        </w:tc>
        <w:tc>
          <w:tcPr>
            <w:tcW w:type="dxa" w:w="2920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视觉主张是否超过一个；道具是否过多</w:t>
            </w:r>
          </w:p>
        </w:tc>
        <w:tc>
          <w:tcPr>
            <w:tcW w:type="dxa" w:w="413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删到一个主体、一个动作、一个场景关系；控制三种以下材质</w:t>
            </w:r>
          </w:p>
        </w:tc>
      </w:tr>
      <w:tr>
        <w:tc>
          <w:tcPr>
            <w:tcW w:type="dxa" w:w="19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文字乱码或价格错误</w:t>
            </w:r>
          </w:p>
        </w:tc>
        <w:tc>
          <w:tcPr>
            <w:tcW w:type="dxa" w:w="292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是否让模型生成长文本 / 复杂表格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只保留短占位词；所有可读文本后期排版</w:t>
            </w:r>
          </w:p>
        </w:tc>
      </w:tr>
      <w:tr>
        <w:tc>
          <w:tcPr>
            <w:tcW w:type="dxa" w:w="1956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多图系列不统一</w:t>
            </w:r>
          </w:p>
        </w:tc>
        <w:tc>
          <w:tcPr>
            <w:tcW w:type="dxa" w:w="2920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首图是否已锁定色彩、镜头、人物、产品</w:t>
            </w:r>
          </w:p>
        </w:tc>
        <w:tc>
          <w:tcPr>
            <w:tcW w:type="dxa" w:w="413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建立母版，只有一个变量发生变化；保存 seed / workflow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交付前 12 项检查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01  </w:t>
      </w:r>
      <w:r>
        <w:rPr>
          <w:rFonts w:ascii="Arial" w:hAnsi="Arial" w:eastAsia="Hiragino Sans GB"/>
          <w:b w:val="0"/>
        </w:rPr>
        <w:t>主视觉焦点在 1 秒内可识别，主体没有被背景抢走。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02  </w:t>
      </w:r>
      <w:r>
        <w:rPr>
          <w:rFonts w:ascii="Arial" w:hAnsi="Arial" w:eastAsia="Hiragino Sans GB"/>
          <w:b w:val="0"/>
        </w:rPr>
        <w:t>产品轮廓、包装结构、Logo 比例和真实资产一致。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03  </w:t>
      </w:r>
      <w:r>
        <w:rPr>
          <w:rFonts w:ascii="Arial" w:hAnsi="Arial" w:eastAsia="Hiragino Sans GB"/>
          <w:b w:val="0"/>
        </w:rPr>
        <w:t>人物手、牙齿、首饰、衣物结构和接触阴影无明显错误。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04  </w:t>
      </w:r>
      <w:r>
        <w:rPr>
          <w:rFonts w:ascii="Arial" w:hAnsi="Arial" w:eastAsia="Hiragino Sans GB"/>
          <w:b w:val="0"/>
        </w:rPr>
        <w:t>空间透视、镜面反射、光向与物体尺度成立。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05  </w:t>
      </w:r>
      <w:r>
        <w:rPr>
          <w:rFonts w:ascii="Arial" w:hAnsi="Arial" w:eastAsia="Hiragino Sans GB"/>
          <w:b w:val="0"/>
        </w:rPr>
        <w:t>所有文字、数据、日期、价格、按钮文案已在设计工具中复核。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06  </w:t>
      </w:r>
      <w:r>
        <w:rPr>
          <w:rFonts w:ascii="Arial" w:hAnsi="Arial" w:eastAsia="Hiragino Sans GB"/>
          <w:b w:val="0"/>
        </w:rPr>
        <w:t>系列图的色彩、镜头、材质和版式留白符合品牌系统。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07  </w:t>
      </w:r>
      <w:r>
        <w:rPr>
          <w:rFonts w:ascii="Arial" w:hAnsi="Arial" w:eastAsia="Hiragino Sans GB"/>
          <w:b w:val="0"/>
        </w:rPr>
        <w:t>已检查渠道尺寸、裁切安全区、压缩后清晰度和文件命名。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08  </w:t>
      </w:r>
      <w:r>
        <w:rPr>
          <w:rFonts w:ascii="Arial" w:hAnsi="Arial" w:eastAsia="Hiragino Sans GB"/>
          <w:b w:val="0"/>
        </w:rPr>
        <w:t>已保存源文件、prompt、seed、workflow 和关键输入资产。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09  </w:t>
      </w:r>
      <w:r>
        <w:rPr>
          <w:rFonts w:ascii="Arial" w:hAnsi="Arial" w:eastAsia="Hiragino Sans GB"/>
          <w:b w:val="0"/>
        </w:rPr>
        <w:t>参考图、人物、商品、Logo、字体与素材具有适当授权。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10  </w:t>
      </w:r>
      <w:r>
        <w:rPr>
          <w:rFonts w:ascii="Arial" w:hAnsi="Arial" w:eastAsia="Hiragino Sans GB"/>
          <w:b w:val="0"/>
        </w:rPr>
        <w:t>没有把生成图包装成真实新闻、真实用户反馈或真实平台截图。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11  </w:t>
      </w:r>
      <w:r>
        <w:rPr>
          <w:rFonts w:ascii="Arial" w:hAnsi="Arial" w:eastAsia="Hiragino Sans GB"/>
          <w:b w:val="0"/>
        </w:rPr>
        <w:t>没有未经许可模仿在世艺术家、名人或受保护 IP。</w:t>
      </w:r>
    </w:p>
    <w:p>
      <w:pPr>
        <w:spacing w:after="60"/>
      </w:pPr>
      <w:r>
        <w:rPr>
          <w:rFonts w:ascii="Arial" w:hAnsi="Arial" w:eastAsia="Hiragino Sans GB"/>
          <w:b/>
          <w:color w:val="147D79"/>
        </w:rPr>
        <w:t xml:space="preserve">□ 12  </w:t>
      </w:r>
      <w:r>
        <w:rPr>
          <w:rFonts w:ascii="Arial" w:hAnsi="Arial" w:eastAsia="Hiragino Sans GB"/>
          <w:b w:val="0"/>
        </w:rPr>
        <w:t>输出符合项目所在平台与当地市场的广告、隐私及文化要求。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BEF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商业边界  </w:t>
            </w:r>
            <w:r>
              <w:rPr>
                <w:rFonts w:ascii="Arial" w:hAnsi="Arial" w:eastAsia="Hiragino Sans GB"/>
                <w:b w:val="0"/>
                <w:color w:val="20262B"/>
              </w:rPr>
              <w:t>把生成图当作“创意生产资产”，而不是事实证据。涉及人物、商标、版权角色、医疗功效、价格折扣、客户评价和平台界面时，要按真实商业内容的标准审核。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Arial" w:hAnsi="Arial" w:eastAsia="Hiragino Sans GB"/>
          <w:b w:val="0"/>
          <w:color w:val="20262B"/>
        </w:rPr>
        <w:t>07  旧库迁移与资料索引</w:t>
      </w:r>
    </w:p>
    <w:p>
      <w:pPr>
        <w:spacing w:after="320"/>
      </w:pPr>
      <w:r>
        <w:rPr>
          <w:rFonts w:ascii="Arial" w:hAnsi="Arial" w:eastAsia="Hiragino Sans GB"/>
          <w:b w:val="0"/>
          <w:color w:val="5C6873"/>
          <w:sz w:val="22"/>
        </w:rPr>
        <w:t>原始库有大量灵感价值；更新后的关键，是给每个案例补上“任务、控制方式和交付标准”。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如何迁移原有 Prompt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旧库中的内容类型</w:t>
            </w:r>
          </w:p>
        </w:tc>
        <w:tc>
          <w:tcPr>
            <w:tcW w:type="dxa" w:w="2551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迁移到新版的位置</w:t>
            </w:r>
          </w:p>
        </w:tc>
        <w:tc>
          <w:tcPr>
            <w:tcW w:type="dxa" w:w="4139"/>
            <w:shd w:fill="17324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</w:tcPr>
          <w:p>
            <w:pPr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需要补的字段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海报 / 品牌 KV / 艺术风格案例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04 模板 01、03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使用场景、主体优先级、文字留白、品牌约束</w:t>
            </w:r>
          </w:p>
        </w:tc>
      </w:tr>
      <w:tr>
        <w:tc>
          <w:tcPr>
            <w:tcW w:type="dxa" w:w="2324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商品静物 / 电商主图 / 包装</w:t>
            </w:r>
          </w:p>
        </w:tc>
        <w:tc>
          <w:tcPr>
            <w:tcW w:type="dxa" w:w="255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04 模板 02、10</w:t>
            </w:r>
          </w:p>
        </w:tc>
        <w:tc>
          <w:tcPr>
            <w:tcW w:type="dxa" w:w="413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真实产品参考、不可改变部位、合成路径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人物 / 穿搭 / 角色案例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03 参考图、04 模板 04、07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身份授权、单一人物参考、系列一致性</w:t>
            </w:r>
          </w:p>
        </w:tc>
      </w:tr>
      <w:tr>
        <w:tc>
          <w:tcPr>
            <w:tcW w:type="dxa" w:w="2324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UI / 社媒截图 / 信息图</w:t>
            </w:r>
          </w:p>
        </w:tc>
        <w:tc>
          <w:tcPr>
            <w:tcW w:type="dxa" w:w="2551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04 模板 05、06</w:t>
            </w:r>
          </w:p>
        </w:tc>
        <w:tc>
          <w:tcPr>
            <w:tcW w:type="dxa" w:w="4139"/>
            <w:shd w:fill="F4F6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哪些元素仅作概念，哪些文字需后期排版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场景 / 建筑 / 室内案例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04 模板 08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20262B"/>
                <w:sz w:val="16"/>
              </w:rPr>
              <w:t>功能需求、视角、空间关系、真实落地边界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建议从旧库退休或重写的写法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依赖真实名人、公众人物、在世艺术家姓名或未经许可品牌的示例：改为原创人物与可描述的视觉特征。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要求生成大段准确文案、复杂表格、精确价格或 UI 信息的示例：改为空白排版区和短占位标签，转入 Figma 完成。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把生成图伪装成真实社媒帖子、直播截图、新闻画面或真实客户背书的示例：改为明确的“概念 mockup”，不冒充真实事实。</w:t>
      </w:r>
    </w:p>
    <w:p>
      <w:pPr>
        <w:pStyle w:val="ListBullet"/>
        <w:spacing w:after="80"/>
      </w:pPr>
      <w:r>
        <w:rPr>
          <w:rFonts w:ascii="Arial" w:hAnsi="Arial" w:eastAsia="Hiragino Sans GB"/>
          <w:b w:val="0"/>
        </w:rPr>
        <w:t>一个 Prompt 里同时塞入十种风格、多个主体和复杂叙事：拆为方向、骨架、精修三轮。</w:t>
      </w:r>
    </w:p>
    <w:p>
      <w:pPr>
        <w:pStyle w:val="Heading2"/>
        <w:spacing w:before="200" w:after="120"/>
        <w:keepNext/>
      </w:pPr>
      <w:r>
        <w:rPr>
          <w:rFonts w:ascii="Arial" w:hAnsi="Arial" w:eastAsia="Hiragino Sans GB"/>
          <w:b w:val="0"/>
          <w:color w:val="20262B"/>
        </w:rPr>
        <w:t>本次整理引用与延伸阅读（检索于 2026-09）</w:t>
      </w:r>
    </w:p>
    <w:p>
      <w:pPr>
        <w:spacing w:after="60"/>
      </w:pPr>
      <w:hyperlink r:id="rId11">
        <w:r>
          <w:rPr>
            <w:color w:val="2576B9"/>
            <w:u w:val="single"/>
          </w:rPr>
          <w:t>OpenAI Academy · Creating images with ChatGPT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明确目的、主体、动作、环境、风格、构图与约束；少量高质量参考图更易控制。</w:t>
      </w:r>
    </w:p>
    <w:p>
      <w:pPr>
        <w:spacing w:after="60"/>
      </w:pPr>
      <w:hyperlink r:id="rId12">
        <w:r>
          <w:rPr>
            <w:color w:val="2576B9"/>
            <w:u w:val="single"/>
          </w:rPr>
          <w:t>OpenAI Help · Images in ChatGPT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ChatGPT Images 的生成与编辑能力说明。</w:t>
      </w:r>
    </w:p>
    <w:p>
      <w:pPr>
        <w:spacing w:after="60"/>
      </w:pPr>
      <w:hyperlink r:id="rId13">
        <w:r>
          <w:rPr>
            <w:color w:val="2576B9"/>
            <w:u w:val="single"/>
          </w:rPr>
          <w:t>Black Forest Labs · FLUX prompting summary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FLUX 系列提示词建议。</w:t>
      </w:r>
    </w:p>
    <w:p>
      <w:pPr>
        <w:spacing w:after="60"/>
      </w:pPr>
      <w:hyperlink r:id="rId14">
        <w:r>
          <w:rPr>
            <w:color w:val="2576B9"/>
            <w:u w:val="single"/>
          </w:rPr>
          <w:t>Black Forest Labs · FLUX.2 prompting guide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Subject + Action + Style + Context、JSON 结构化提示词与不使用 negative prompt 的说明。</w:t>
      </w:r>
    </w:p>
    <w:p>
      <w:pPr>
        <w:spacing w:after="60"/>
      </w:pPr>
      <w:hyperlink r:id="rId15">
        <w:r>
          <w:rPr>
            <w:color w:val="2576B9"/>
            <w:u w:val="single"/>
          </w:rPr>
          <w:t>Midjourney · Style Reference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SREF 风格参考与减少 prompt 冲突的建议。</w:t>
      </w:r>
    </w:p>
    <w:p>
      <w:pPr>
        <w:spacing w:after="60"/>
      </w:pPr>
      <w:hyperlink r:id="rId16">
        <w:r>
          <w:rPr>
            <w:color w:val="2576B9"/>
            <w:u w:val="single"/>
          </w:rPr>
          <w:t>Midjourney · Omni Reference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参考主体的控制方式与版本差异。</w:t>
      </w:r>
    </w:p>
    <w:p>
      <w:pPr>
        <w:spacing w:after="60"/>
      </w:pPr>
      <w:hyperlink r:id="rId17">
        <w:r>
          <w:rPr>
            <w:color w:val="2576B9"/>
            <w:u w:val="single"/>
          </w:rPr>
          <w:t>Ideogram · Prompting Fundamentals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文本、标题、logo 等画面文字的提示词基础。</w:t>
      </w:r>
    </w:p>
    <w:p>
      <w:pPr>
        <w:spacing w:after="60"/>
      </w:pPr>
      <w:hyperlink r:id="rId18">
        <w:r>
          <w:rPr>
            <w:color w:val="2576B9"/>
            <w:u w:val="single"/>
          </w:rPr>
          <w:t>ComfyUI Docs · Text-to-Image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基础工作流与节点职责。</w:t>
      </w:r>
    </w:p>
    <w:p>
      <w:pPr>
        <w:spacing w:after="60"/>
      </w:pPr>
      <w:hyperlink r:id="rId19">
        <w:r>
          <w:rPr>
            <w:color w:val="2576B9"/>
            <w:u w:val="single"/>
          </w:rPr>
          <w:t>ComfyUI Docs · Image-to-Image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denoise 对保留程度的影响。</w:t>
      </w:r>
    </w:p>
    <w:p>
      <w:pPr>
        <w:spacing w:after="60"/>
      </w:pPr>
      <w:hyperlink r:id="rId20">
        <w:r>
          <w:rPr>
            <w:color w:val="2576B9"/>
            <w:u w:val="single"/>
          </w:rPr>
          <w:t>ComfyUI Docs · ControlNet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ControlNet 与预处理器的基础用法。</w:t>
      </w:r>
    </w:p>
    <w:p>
      <w:pPr>
        <w:spacing w:after="60"/>
      </w:pPr>
      <w:hyperlink r:id="rId21">
        <w:r>
          <w:rPr>
            <w:color w:val="2576B9"/>
            <w:u w:val="single"/>
          </w:rPr>
          <w:t>GitHub · black-forest-labs/flux2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FLUX.2 官方开源推理与工作流参考。</w:t>
      </w:r>
    </w:p>
    <w:p>
      <w:pPr>
        <w:spacing w:after="60"/>
      </w:pPr>
      <w:hyperlink r:id="rId22">
        <w:r>
          <w:rPr>
            <w:color w:val="2576B9"/>
            <w:u w:val="single"/>
          </w:rPr>
          <w:t>GitHub · ComfyUI examples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可加载 workflow metadata 的案例参考。</w:t>
      </w:r>
    </w:p>
    <w:p>
      <w:pPr>
        <w:spacing w:after="60"/>
      </w:pPr>
      <w:hyperlink r:id="rId23">
        <w:r>
          <w:rPr>
            <w:color w:val="2576B9"/>
            <w:u w:val="single"/>
          </w:rPr>
          <w:t>GitHub · awesome-gpt-image-2-5-prompts</w:t>
        </w:r>
      </w:hyperlink>
      <w:r>
        <w:rPr>
          <w:rFonts w:ascii="Arial" w:hAnsi="Arial" w:eastAsia="Hiragino Sans GB"/>
          <w:b w:val="0"/>
          <w:color w:val="5C6873"/>
          <w:sz w:val="17"/>
        </w:rPr>
        <w:t xml:space="preserve">  ·  社区维护的 Prompt 案例集合，仅作灵感而非官方规范。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324D"/>
              </w:rPr>
              <w:t xml:space="preserve">版本说明  </w:t>
            </w:r>
            <w:r>
              <w:rPr>
                <w:rFonts w:ascii="Arial" w:hAnsi="Arial" w:eastAsia="Hiragino Sans GB"/>
                <w:b w:val="0"/>
                <w:color w:val="20262B"/>
              </w:rPr>
              <w:t>模型版本、产品入口与功能会快速变化。本手册优先保留可迁移的方法：明确规格、参考图分工、分阶段控制、可复现归档与商业审核。具体按钮和参数以各平台官方文档为准。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79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5C6873"/>
        <w:sz w:val="16"/>
      </w:rPr>
      <w:t xml:space="preserve">更新：2026-09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Hiragino Sans GB"/>
        <w:b w:val="0"/>
        <w:color w:val="5C6873"/>
        <w:sz w:val="16"/>
      </w:rPr>
      <w:t>生图 Skill 2026 | 设计师实战手册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5" w:lineRule="auto" w:after="100"/>
    </w:pPr>
    <w:rPr>
      <w:rFonts w:ascii="Arial" w:hAnsi="Arial" w:eastAsia="PingFang SC"/>
      <w:color w:val="20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02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026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2026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b/>
      <w:color w:val="2026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98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567" w:hanging="198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academy/image-generation/" TargetMode="External"/><Relationship Id="rId12" Type="http://schemas.openxmlformats.org/officeDocument/2006/relationships/hyperlink" Target="https://help.openai.com/en/articles/11084440-images-in-chatgpt" TargetMode="External"/><Relationship Id="rId13" Type="http://schemas.openxmlformats.org/officeDocument/2006/relationships/hyperlink" Target="https://docs.bfl.ai/guides/prompting_summary" TargetMode="External"/><Relationship Id="rId14" Type="http://schemas.openxmlformats.org/officeDocument/2006/relationships/hyperlink" Target="https://docs.bfl.ai/guides/prompting_guide_flux2" TargetMode="External"/><Relationship Id="rId15" Type="http://schemas.openxmlformats.org/officeDocument/2006/relationships/hyperlink" Target="https://docs.midjourney.com/hc/en-us/articles/32180011136653-Style-Reference" TargetMode="External"/><Relationship Id="rId16" Type="http://schemas.openxmlformats.org/officeDocument/2006/relationships/hyperlink" Target="https://docs.midjourney.com/hc/en-us/articles/36285124473997-Omni-Reference" TargetMode="External"/><Relationship Id="rId17" Type="http://schemas.openxmlformats.org/officeDocument/2006/relationships/hyperlink" Target="https://docs.ideogram.ai/using-ideogram/prompting-guide/2-prompting-fundamentals" TargetMode="External"/><Relationship Id="rId18" Type="http://schemas.openxmlformats.org/officeDocument/2006/relationships/hyperlink" Target="https://docs.comfy.org/tutorials/basic/text-to-image" TargetMode="External"/><Relationship Id="rId19" Type="http://schemas.openxmlformats.org/officeDocument/2006/relationships/hyperlink" Target="https://docs.comfy.org/tutorials/basic/image-to-image" TargetMode="External"/><Relationship Id="rId20" Type="http://schemas.openxmlformats.org/officeDocument/2006/relationships/hyperlink" Target="https://docs.comfy.org/tutorials/controlnet/controlnet" TargetMode="External"/><Relationship Id="rId21" Type="http://schemas.openxmlformats.org/officeDocument/2006/relationships/hyperlink" Target="https://github.com/black-forest-labs/flux2" TargetMode="External"/><Relationship Id="rId22" Type="http://schemas.openxmlformats.org/officeDocument/2006/relationships/hyperlink" Target="https://github.com/comfyanonymous/ComfyUI_examples" TargetMode="External"/><Relationship Id="rId23" Type="http://schemas.openxmlformats.org/officeDocument/2006/relationships/hyperlink" Target="https://github.com/magiccreator-ai/awesome-gpt-image-2-5-prom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生图 Skill 2026 更新整理版</dc:title>
  <dc:subject>AI image generation workflow, prompting, reference control and production QA</dc:subject>
  <dc:creator>朱悦晗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