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办公主任兼工会主席详细业务流程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黄主任办公室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黄亚宇主任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负责人事部、学历部、后勤部工作的安排、监管、审核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根据学校需求作相应的资源采购，采购顺序：首先寻找商家进行报价，根据商家的价格制作出价格表，然后从中选举最优惠最合适的进行采购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每周一组织其所管部门主任进行周会议，大概一个月参加一次食堂的会议</w:t>
            </w:r>
          </w:p>
          <w:p>
            <w:pPr>
              <w:ind w:firstLine="420" w:firstLineChars="200"/>
            </w:pPr>
            <w:bookmarkStart w:id="0" w:name="_GoBack"/>
            <w:bookmarkEnd w:id="0"/>
            <w:r>
              <w:rPr>
                <w:rFonts w:hint="eastAsia"/>
              </w:rPr>
              <w:t>接待外来同行院校领导、对外来业务进行洽谈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12794"/>
    <w:rsid w:val="19C1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2019-05-24T03:32:00Z</dcterms:created>
  <dc:creator>ding</dc:creator>
  <cp:lastModifiedBy>ding</cp:lastModifiedBy>
  <dcterms:modified xsi:type="dcterms:W3CDTF">2019-05-24T03:35:12Z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