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32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32"/>
        </w:rPr>
        <w:t>山东省儿童青少年近视筛查防控健康档案</w:t>
      </w:r>
      <w:r>
        <w:rPr>
          <w:rFonts w:hint="eastAsia" w:ascii="宋体" w:hAnsi="宋体" w:eastAsia="宋体"/>
          <w:b/>
          <w:color w:val="auto"/>
          <w:sz w:val="32"/>
          <w:lang w:val="zh-CN" w:eastAsia="zh-CN"/>
        </w:rPr>
        <w:t xml:space="preserve"> </w:t>
      </w:r>
    </w:p>
    <w:p/>
    <w:p/>
    <w:p>
      <w:pPr>
        <w:spacing w:line="360" w:lineRule="auto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>学校: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${school}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年级: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${grade}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班级: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${studentClass}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</w:t>
      </w:r>
    </w:p>
    <w:p>
      <w:pPr>
        <w:rPr>
          <w:rFonts w:hint="eastAsia" w:ascii="宋体" w:hAnsi="宋体" w:eastAsia="宋体"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>姓名: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${studentName}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性别: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${studentSex}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检查时间: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${lastCheckTime}</w:t>
      </w:r>
    </w:p>
    <w:p>
      <w:pPr>
        <w:rPr>
          <w:rFonts w:hint="eastAsia" w:ascii="宋体" w:hAnsi="宋体" w:eastAsia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eastAsia="宋体"/>
          <w:color w:val="auto"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宋体" w:hAnsi="宋体" w:eastAsia="宋体"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b/>
          <w:color w:val="auto"/>
          <w:sz w:val="24"/>
          <w:lang w:val="zh-CN" w:eastAsia="zh-CN"/>
        </w:rPr>
        <w:t>视力检查结果</w:t>
      </w:r>
    </w:p>
    <w:tbl>
      <w:tblPr>
        <w:tblStyle w:val="2"/>
        <w:tblpPr w:leftFromText="180" w:rightFromText="180" w:vertAnchor="text" w:horzAnchor="page" w:tblpX="1920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685"/>
        <w:gridCol w:w="4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眼别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裸眼视力</w:t>
            </w:r>
          </w:p>
        </w:tc>
        <w:tc>
          <w:tcPr>
            <w:tcW w:w="4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戴镜视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右眼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bookmarkStart w:id="0" w:name="luoyanyuanshili_CheckItem_2018112313593641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nakedFarvisionOd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0"/>
        </w:tc>
        <w:tc>
          <w:tcPr>
            <w:tcW w:w="4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ind w:firstLine="720" w:firstLineChars="30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correctionFarvisionOd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左眼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ind w:firstLine="240" w:firstLineChars="10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nakedFarvisionOs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  <w:tc>
          <w:tcPr>
            <w:tcW w:w="4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  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correctionFarvisionOs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</w:tr>
    </w:tbl>
    <w:p>
      <w:pPr>
        <w:jc w:val="center"/>
        <w:rPr>
          <w:rFonts w:hint="eastAsia" w:ascii="宋体" w:hAnsi="宋体" w:eastAsia="宋体"/>
          <w:b/>
          <w:sz w:val="24"/>
          <w:lang w:val="zh-CN" w:eastAsia="zh-CN"/>
        </w:rPr>
      </w:pPr>
    </w:p>
    <w:p>
      <w:pPr>
        <w:jc w:val="center"/>
        <w:rPr>
          <w:rFonts w:hint="eastAsia" w:ascii="宋体" w:hAnsi="宋体" w:eastAsia="宋体"/>
          <w:b/>
          <w:color w:val="auto"/>
          <w:sz w:val="24"/>
          <w:lang w:val="zh-CN" w:eastAsia="zh-CN"/>
        </w:rPr>
      </w:pPr>
    </w:p>
    <w:p>
      <w:pPr>
        <w:jc w:val="center"/>
        <w:rPr>
          <w:rFonts w:hint="eastAsia" w:ascii="宋体" w:hAnsi="宋体" w:eastAsia="宋体"/>
          <w:b/>
          <w:sz w:val="16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4"/>
          <w:lang w:val="zh-CN" w:eastAsia="zh-CN"/>
        </w:rPr>
        <w:t>自动电脑验光结果</w:t>
      </w:r>
    </w:p>
    <w:tbl>
      <w:tblPr>
        <w:tblStyle w:val="2"/>
        <w:tblpPr w:leftFromText="180" w:rightFromText="180" w:vertAnchor="text" w:horzAnchor="page" w:tblpX="1905" w:tblpY="2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335"/>
        <w:gridCol w:w="2175"/>
        <w:gridCol w:w="2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2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球镜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柱镜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右眼</w:t>
            </w:r>
          </w:p>
        </w:tc>
        <w:tc>
          <w:tcPr>
            <w:tcW w:w="2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bookmarkStart w:id="1" w:name="diannaoyanguang_CheckItem_2018112314000970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${diopterSR}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${diopterCR}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${diopterAR}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左眼</w:t>
            </w:r>
          </w:p>
        </w:tc>
        <w:tc>
          <w:tcPr>
            <w:tcW w:w="2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2" w:name="diannaoyanguang_CheckItem_20181123140016441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${diopterSL}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${diopterCL}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${diopterAL}</w:t>
            </w:r>
          </w:p>
        </w:tc>
      </w:tr>
      <w:bookmarkEnd w:id="2"/>
    </w:tbl>
    <w:p>
      <w:pPr>
        <w:rPr>
          <w:rFonts w:hint="eastAsia" w:ascii="宋体" w:hAnsi="宋体" w:eastAsia="宋体"/>
          <w:color w:val="auto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</w:t>
      </w:r>
    </w:p>
    <w:p>
      <w:pPr>
        <w:pStyle w:val="4"/>
        <w:tabs>
          <w:tab w:val="left" w:pos="795"/>
        </w:tabs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 xml:space="preserve"> </w:t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  <w:t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  <w:t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  <w:t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  <w:t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  <w:t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  <w:t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</w: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>医生诊断及建议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1、 医生的初步诊断：</w:t>
      </w:r>
    </w:p>
    <w:tbl>
      <w:tblPr>
        <w:tblStyle w:val="2"/>
        <w:tblW w:w="0" w:type="auto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</w:tr>
    </w:tbl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2、医生的特别建议：</w:t>
      </w:r>
    </w:p>
    <w:tbl>
      <w:tblPr>
        <w:tblStyle w:val="2"/>
        <w:tblW w:w="0" w:type="auto"/>
        <w:tblInd w:w="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3" w:name="jianyi_CheckItem_20181025142218427"/>
          </w:p>
        </w:tc>
      </w:tr>
      <w:bookmarkEnd w:id="3"/>
    </w:tbl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3、日常生活注意事项：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sz w:val="24"/>
          <w:lang w:val="zh-CN" w:eastAsia="zh-CN"/>
        </w:rPr>
      </w:pPr>
    </w:p>
    <w:p>
      <w:pPr>
        <w:pStyle w:val="4"/>
        <w:ind w:firstLine="0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</w:t>
      </w:r>
      <w:bookmarkStart w:id="4" w:name="_GoBack"/>
      <w:bookmarkEnd w:id="4"/>
      <w:r>
        <w:rPr>
          <w:rFonts w:hint="eastAsia" w:ascii="宋体" w:hAnsi="宋体" w:eastAsia="宋体"/>
          <w:color w:val="auto"/>
          <w:sz w:val="24"/>
          <w:lang w:val="zh-CN" w:eastAsia="zh-CN"/>
        </w:rPr>
        <w:t>1）定期进行眼底检查。佩戴眼镜或近视屈光手术可以矫正视力，但并不能阻止眼底变的进展。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color w:val="auto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2）养成良好的生活习惯：减少近距离用眼时间，每40分钟放松休息5到10分钟（特别针对青少年：多进行户外活动，注意保持良好的读写姿势）。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color w:val="auto"/>
          <w:sz w:val="24"/>
          <w:lang w:val="zh-CN" w:eastAsia="zh-CN"/>
        </w:rPr>
      </w:pPr>
    </w:p>
    <w:p>
      <w:pPr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2"/>
          <w:lang w:val="zh-CN" w:eastAsia="zh-CN"/>
        </w:rPr>
        <w:t xml:space="preserve"> 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>山东省卫生健康委员会</w:t>
      </w:r>
    </w:p>
    <w:p>
      <w:pPr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        山东省教育厅监制</w:t>
      </w:r>
    </w:p>
    <w:p>
      <w:pPr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         山东省青少年视力低下防治中心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color w:val="auto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             联系电话：0531-58859678</w:t>
      </w:r>
      <w:r>
        <w:rPr>
          <w:rFonts w:hint="eastAsia" w:ascii="宋体" w:hAnsi="宋体" w:eastAsia="宋体"/>
          <w:color w:val="auto"/>
          <w:sz w:val="22"/>
          <w:lang w:val="zh-CN" w:eastAsia="zh-CN"/>
        </w:rPr>
        <w:t xml:space="preserve">   </w:t>
      </w:r>
    </w:p>
    <w:p>
      <w:pPr>
        <w:rPr>
          <w:rFonts w:hint="eastAsia" w:ascii="宋体" w:hAnsi="宋体" w:eastAsia="宋体"/>
          <w:color w:val="auto"/>
          <w:sz w:val="24"/>
          <w:lang w:val="zh-CN" w:eastAsia="zh-CN"/>
        </w:rPr>
      </w:pPr>
    </w:p>
    <w:p>
      <w:pPr>
        <w:rPr>
          <w:rFonts w:hint="eastAsia" w:ascii="宋体" w:hAnsi="宋体" w:eastAsia="宋体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31108"/>
    <w:rsid w:val="28BE1A55"/>
    <w:rsid w:val="3D286FF6"/>
    <w:rsid w:val="594D76FA"/>
    <w:rsid w:val="7847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</w:pPr>
    <w:rPr>
      <w:rFonts w:hint="default" w:ascii="Times New Roman" w:hAnsi="Times New Roman" w:eastAsia="宋体" w:cs="Times New Roman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firstLine="420"/>
    </w:pPr>
    <w:rPr>
      <w:rFonts w:hint="eastAsia" w:ascii="Times New Roman" w:hAnsi="Times New Roman" w:eastAsia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2019-11-20T11:15:01Z</dcterms:created>
  <dc:creator>EDZ</dc:creator>
  <cp:lastModifiedBy>EDZ</cp:lastModifiedBy>
  <dcterms:modified xsi:type="dcterms:W3CDTF">2019-11-20T11:27:29Z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