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Dissertatsiya bobi va ilmiy maqola yozish bo‘yicha universal qo‘llanma (AI va muallif uchun)</w:t>
      </w:r>
    </w:p>
    <w:p>
      <w:pPr/>
      <w:r>
        <w:rPr>
          <w:i/>
        </w:rPr>
        <w:t xml:space="preserve">Maqsad: har qanday fan yo‘nalishidagi (tabiiy, texnik, tibbiy, ijtimoiy, huquqiy, gumanitar va boshqa) dissertatsiya bobi yoki ilmiy maqolani xatosiz, tekshiriladigan va muallifning o‘zi mas’ul bo‘la oladigan tarzda yozish. Qo‘llanma universal ilmiy yozuv tamoyillariga va iqtisodiy yo‘nalishdagi bir maqola ustidagi ishda uchragan aniq xatolarga tayanadi; fanga xos talablar 7-1 bo‘limda.</w:t>
      </w:r>
    </w:p>
    <w:p>
      <w:pPr>
        <w:pStyle w:val="Heading2"/>
      </w:pPr>
      <w:r>
        <w:t xml:space="preserve">1. Bu qo‘llanmadan qanday foydalaniladi</w:t>
      </w:r>
    </w:p>
    <w:p>
      <w:pPr/>
      <w:r>
        <w:t xml:space="preserve">AI yangi maqola yozishdan oldin shu hujjatni to‘liq o‘qiydi, 3-bo‘lim bo‘yicha muallifdan kerakli ma’lumotni so‘raydi, yozadi, so‘ng 10-bo‘limdagi o‘z-o‘zini tekshirish ro‘yxatidan o‘tkazadi va faqat shundan keyin matnni topshiradi. Muallif esa 11-bo‘limdagi so‘rov shablonidan boshlashi mumkin.</w:t>
      </w:r>
    </w:p>
    <w:p>
      <w:pPr>
        <w:pStyle w:val="Heading2"/>
      </w:pPr>
      <w:r>
        <w:t xml:space="preserve">2. Besh asosiy qoida</w:t>
      </w:r>
    </w:p>
    <w:p>
      <w:pPr>
        <w:pStyle w:val="ListParagraph"/>
        <w:numPr>
          <w:ilvl w:val="0"/>
          <w:numId w:val="2"/>
        </w:numPr>
      </w:pPr>
      <w:r>
        <w:rPr>
          <w:b/>
        </w:rPr>
        <w:t xml:space="preserve">Har bir raqam va da’vo manbaga ega bo‘lishi shart.</w:t>
      </w:r>
      <w:r>
        <w:t xml:space="preserve"> Manbasi topilmasa, yozilmaydi. Xotiradan raqam yozish taqiqlanadi.</w:t>
      </w:r>
    </w:p>
    <w:p>
      <w:pPr>
        <w:pStyle w:val="ListParagraph"/>
        <w:numPr>
          <w:ilvl w:val="0"/>
          <w:numId w:val="2"/>
        </w:numPr>
      </w:pPr>
      <w:r>
        <w:rPr>
          <w:b/>
        </w:rPr>
        <w:t xml:space="preserve">Manbani ochib tekshirmay turib havola berilmaydi.</w:t>
      </w:r>
      <w:r>
        <w:t xml:space="preserve"> Rasmiy sayt, qonun matni, statistika relizi ochilib, raqam solishtiriladi.</w:t>
      </w:r>
    </w:p>
    <w:p>
      <w:pPr>
        <w:pStyle w:val="ListParagraph"/>
        <w:numPr>
          <w:ilvl w:val="0"/>
          <w:numId w:val="2"/>
        </w:numPr>
      </w:pPr>
      <w:r>
        <w:rPr>
          <w:b/>
        </w:rPr>
        <w:t xml:space="preserve">Faktni talqindan ajrating.</w:t>
      </w:r>
      <w:r>
        <w:t xml:space="preserve"> «Statistikaga ko‘ra X» va «bundan Y kelib chiqadi» ikki xil gap, ikkinchisi muallif xulosasi sifatida belgilanadi.</w:t>
      </w:r>
    </w:p>
    <w:p>
      <w:pPr>
        <w:pStyle w:val="ListParagraph"/>
        <w:numPr>
          <w:ilvl w:val="0"/>
          <w:numId w:val="2"/>
        </w:numPr>
      </w:pPr>
      <w:r>
        <w:rPr>
          <w:b/>
        </w:rPr>
        <w:t xml:space="preserve">Cheklovlarni yashirmang.</w:t>
      </w:r>
      <w:r>
        <w:t xml:space="preserve"> Ma’lumot qaysi sana va hududga tegishli, nima ma’lum emas — matnda yoziladi.</w:t>
      </w:r>
    </w:p>
    <w:p>
      <w:pPr>
        <w:pStyle w:val="ListParagraph"/>
        <w:numPr>
          <w:ilvl w:val="0"/>
          <w:numId w:val="2"/>
        </w:numPr>
      </w:pPr>
      <w:r>
        <w:rPr>
          <w:b/>
        </w:rPr>
        <w:t xml:space="preserve">Matn muallifniki.</w:t>
      </w:r>
      <w:r>
        <w:t xml:space="preserve"> AI qoralama va tahlil beradi, lekin muallif har bir raqam, havola va xulosani tekshirib, o‘z nuqtayi nazari bilan tahrir qiladi. Universitet yoki jurnal AI yordamini ma’lum qilishni talab qilsa, shunga rioya qilinadi. Maqsad tekshiruv dasturlarini aldash emas, sifatli va halol ish.</w:t>
      </w:r>
    </w:p>
    <w:p>
      <w:pPr>
        <w:pStyle w:val="Heading2"/>
      </w:pPr>
      <w:r>
        <w:t xml:space="preserve">3. Yozishdan oldin AI muallifdan nimalarni talab qiladi</w:t>
      </w:r>
    </w:p>
    <w:p>
      <w:pPr/>
      <w:r>
        <w:t xml:space="preserve">Quyidagilar bo‘lmasa, AI taxmin qilmaydi, so‘raydi:</w:t>
      </w:r>
    </w:p>
    <w:p>
      <w:pPr>
        <w:pStyle w:val="ListParagraph"/>
        <w:numPr>
          <w:ilvl w:val="0"/>
          <w:numId w:val="3"/>
        </w:numPr>
      </w:pPr>
      <w:r>
        <w:t xml:space="preserve">Fan sohasi va yo‘nalish; mavzu, tadqiqot savoli va ishchi faraz (bitta jumlada)</w:t>
      </w:r>
    </w:p>
    <w:p>
      <w:pPr>
        <w:pStyle w:val="ListParagraph"/>
        <w:numPr>
          <w:ilvl w:val="0"/>
          <w:numId w:val="3"/>
        </w:numPr>
      </w:pPr>
      <w:r>
        <w:t xml:space="preserve">Nashr turi: dissertatsiya bobi, jurnal maqolasi yoki konferensiya tezisi, so‘z soni, til</w:t>
      </w:r>
    </w:p>
    <w:p>
      <w:pPr>
        <w:pStyle w:val="ListParagraph"/>
        <w:numPr>
          <w:ilvl w:val="0"/>
          <w:numId w:val="3"/>
        </w:numPr>
      </w:pPr>
      <w:r>
        <w:t xml:space="preserve">Jurnal yoki universitetning shakli: bo‘limlar tartibi, havola uslubi (GOST, APA va h.k.), annotatsiya tillari</w:t>
      </w:r>
    </w:p>
    <w:p>
      <w:pPr>
        <w:pStyle w:val="ListParagraph"/>
        <w:numPr>
          <w:ilvl w:val="0"/>
          <w:numId w:val="3"/>
        </w:numPr>
      </w:pPr>
      <w:r>
        <w:t xml:space="preserve">Obyekt va davr (qaysi mamlakat, qaysi yillar)</w:t>
      </w:r>
    </w:p>
    <w:p>
      <w:pPr>
        <w:pStyle w:val="ListParagraph"/>
        <w:numPr>
          <w:ilvl w:val="0"/>
          <w:numId w:val="3"/>
        </w:numPr>
      </w:pPr>
      <w:r>
        <w:t xml:space="preserve">Muallifning o‘z ma’lumotlari: so‘rov, intervyu, tajriba, o‘lchov, kuzatuv, hisob-kitob yoki kod (agar bo‘lsa)</w:t>
      </w:r>
    </w:p>
    <w:p>
      <w:pPr>
        <w:pStyle w:val="ListParagraph"/>
        <w:numPr>
          <w:ilvl w:val="0"/>
          <w:numId w:val="3"/>
        </w:numPr>
      </w:pPr>
      <w:r>
        <w:t xml:space="preserve">Yuklangan manbalar ro‘yxati va ularning qaysi biri ishonchli ekani</w:t>
      </w:r>
    </w:p>
    <w:p>
      <w:pPr>
        <w:pStyle w:val="ListParagraph"/>
        <w:numPr>
          <w:ilvl w:val="0"/>
          <w:numId w:val="3"/>
        </w:numPr>
      </w:pPr>
      <w:r>
        <w:t xml:space="preserve">Rahbarning talablari yoki oldingi izohlari</w:t>
      </w:r>
    </w:p>
    <w:p>
      <w:pPr>
        <w:pStyle w:val="ListParagraph"/>
        <w:numPr>
          <w:ilvl w:val="0"/>
          <w:numId w:val="3"/>
        </w:numPr>
      </w:pPr>
      <w:r>
        <w:t xml:space="preserve">Muallif nimani o‘zi yozmoqchi (masalan, xulosa va takliflar) va nimani AI tayyorlashi</w:t>
      </w:r>
    </w:p>
    <w:p>
      <w:pPr/>
      <w:r>
        <w:t xml:space="preserve">Ma’lumot yetishmasa, AI «taxminiy» to‘ldirmaydi; yetishmayotgan joyni ochiq belgilaydi.</w:t>
      </w:r>
    </w:p>
    <w:p>
      <w:pPr>
        <w:pStyle w:val="Heading2"/>
      </w:pPr>
      <w:r>
        <w:t xml:space="preserve">4. Maqola tuzilmasi: har bo‘limda nima yoziladi va nima yozilmaydi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Bo‘lim</w:t>
            </w:r>
          </w:p>
        </w:tc>
        <w:tc>
          <w:tcPr>
            <w:tcW w:w="3120" w:type="dxa"/>
            <w:shd w:val="clear" w:color="auto" w:fill="F2F2F2"/>
          </w:tcPr>
          <w:p>
            <w:pPr/>
            <w:r>
              <w:t xml:space="preserve">Yoziladi</w:t>
            </w:r>
          </w:p>
        </w:tc>
        <w:tc>
          <w:tcPr>
            <w:tcW w:w="3120" w:type="dxa"/>
            <w:shd w:val="clear" w:color="auto" w:fill="F2F2F2"/>
          </w:tcPr>
          <w:p>
            <w:pPr/>
            <w:r>
              <w:t xml:space="preserve">Yozilmaydi</w:t>
            </w:r>
          </w:p>
        </w:tc>
      </w:tr>
      <w:tr>
        <w:tc>
          <w:tcPr>
            <w:tcW w:w="3120" w:type="dxa"/>
          </w:tcPr>
          <w:p>
            <w:pPr/>
            <w:r>
              <w:t xml:space="preserve">Annotatsiya</w:t>
            </w:r>
          </w:p>
        </w:tc>
        <w:tc>
          <w:tcPr>
            <w:tcW w:w="3120" w:type="dxa"/>
          </w:tcPr>
          <w:p>
            <w:pPr/>
            <w:r>
              <w:t xml:space="preserve">Muammo, maqsad, usul, 1–2 asosiy raqamli natija, taklif</w:t>
            </w:r>
          </w:p>
        </w:tc>
        <w:tc>
          <w:tcPr>
            <w:tcW w:w="3120" w:type="dxa"/>
          </w:tcPr>
          <w:p>
            <w:pPr/>
            <w:r>
              <w:t xml:space="preserve">Umumiy gaplar, «dolzarb» so‘zi, manbasiz raqam</w:t>
            </w:r>
          </w:p>
        </w:tc>
      </w:tr>
      <w:tr>
        <w:tc>
          <w:tcPr>
            <w:tcW w:w="3120" w:type="dxa"/>
          </w:tcPr>
          <w:p>
            <w:pPr/>
            <w:r>
              <w:t xml:space="preserve">Kirish</w:t>
            </w:r>
          </w:p>
        </w:tc>
        <w:tc>
          <w:tcPr>
            <w:tcW w:w="3120" w:type="dxa"/>
          </w:tcPr>
          <w:p>
            <w:pPr/>
            <w:r>
              <w:t xml:space="preserve">Muammo, 2–3 aniq statistik dalil, bo‘shliq, savol, faraz, maqsad</w:t>
            </w:r>
          </w:p>
        </w:tc>
        <w:tc>
          <w:tcPr>
            <w:tcW w:w="3120" w:type="dxa"/>
          </w:tcPr>
          <w:p>
            <w:pPr/>
            <w:r>
              <w:t xml:space="preserve">Darslik ta’riflarini ko‘chirish, uch bandlik shablon reja</w:t>
            </w:r>
          </w:p>
        </w:tc>
      </w:tr>
      <w:tr>
        <w:tc>
          <w:tcPr>
            <w:tcW w:w="3120" w:type="dxa"/>
          </w:tcPr>
          <w:p>
            <w:pPr/>
            <w:r>
              <w:t xml:space="preserve">Metodologiya</w:t>
            </w:r>
          </w:p>
        </w:tc>
        <w:tc>
          <w:tcPr>
            <w:tcW w:w="3120" w:type="dxa"/>
          </w:tcPr>
          <w:p>
            <w:pPr/>
            <w:r>
              <w:t xml:space="preserve">Nazariya, ma’lumot manbalari, hisob usuli, cheklovlar</w:t>
            </w:r>
          </w:p>
        </w:tc>
        <w:tc>
          <w:tcPr>
            <w:tcW w:w="3120" w:type="dxa"/>
          </w:tcPr>
          <w:p>
            <w:pPr/>
            <w:r>
              <w:t xml:space="preserve">Qo‘llanilmagan usullarni sanash, «tizimli tahlil» kabi mazmunsiz iboralar</w:t>
            </w:r>
          </w:p>
        </w:tc>
      </w:tr>
      <w:tr>
        <w:tc>
          <w:tcPr>
            <w:tcW w:w="3120" w:type="dxa"/>
          </w:tcPr>
          <w:p>
            <w:pPr/>
            <w:r>
              <w:t xml:space="preserve">Nazariy qism</w:t>
            </w:r>
          </w:p>
        </w:tc>
        <w:tc>
          <w:tcPr>
            <w:tcW w:w="3120" w:type="dxa"/>
          </w:tcPr>
          <w:p>
            <w:pPr/>
            <w:r>
              <w:t xml:space="preserve">Nazariyalar to‘g‘ri atributsiya bilan, ular tahlilga qanday bog‘lanishi</w:t>
            </w:r>
          </w:p>
        </w:tc>
        <w:tc>
          <w:tcPr>
            <w:tcW w:w="3120" w:type="dxa"/>
          </w:tcPr>
          <w:p>
            <w:pPr/>
            <w:r>
              <w:t xml:space="preserve">Nazariyani sanab o‘tib keyin foydalanmaslik</w:t>
            </w:r>
          </w:p>
        </w:tc>
      </w:tr>
      <w:tr>
        <w:tc>
          <w:tcPr>
            <w:tcW w:w="3120" w:type="dxa"/>
          </w:tcPr>
          <w:p>
            <w:pPr/>
            <w:r>
              <w:t xml:space="preserve">Empirik qism / natijalar</w:t>
            </w:r>
          </w:p>
        </w:tc>
        <w:tc>
          <w:tcPr>
            <w:tcW w:w="3120" w:type="dxa"/>
          </w:tcPr>
          <w:p>
            <w:pPr/>
            <w:r>
              <w:t xml:space="preserve">Rasmiy ma’lumot, jadval, o‘z hisoblari, kuzatuvlar</w:t>
            </w:r>
          </w:p>
        </w:tc>
        <w:tc>
          <w:tcPr>
            <w:tcW w:w="3120" w:type="dxa"/>
          </w:tcPr>
          <w:p>
            <w:pPr/>
            <w:r>
              <w:t xml:space="preserve">Raqamsiz «ko‘rinadiki», noaniq umumlashtirish</w:t>
            </w:r>
          </w:p>
        </w:tc>
      </w:tr>
      <w:tr>
        <w:tc>
          <w:tcPr>
            <w:tcW w:w="3120" w:type="dxa"/>
          </w:tcPr>
          <w:p>
            <w:pPr/>
            <w:r>
              <w:t xml:space="preserve">Xorijiy tajriba</w:t>
            </w:r>
          </w:p>
        </w:tc>
        <w:tc>
          <w:tcPr>
            <w:tcW w:w="3120" w:type="dxa"/>
          </w:tcPr>
          <w:p>
            <w:pPr/>
            <w:r>
              <w:t xml:space="preserve">Aniq mamlakat, qonun/dastur nomi, yil, natija, birlamchi manba</w:t>
            </w:r>
          </w:p>
        </w:tc>
        <w:tc>
          <w:tcPr>
            <w:tcW w:w="3120" w:type="dxa"/>
          </w:tcPr>
          <w:p>
            <w:pPr/>
            <w:r>
              <w:t xml:space="preserve">«Rivojlangan davlatlarda» kabi umumiy gaplar; qo‘shni sohaga tegishli misolni asosiy mavzu misoli deb berish</w:t>
            </w:r>
          </w:p>
        </w:tc>
      </w:tr>
      <w:tr>
        <w:tc>
          <w:tcPr>
            <w:tcW w:w="3120" w:type="dxa"/>
          </w:tcPr>
          <w:p>
            <w:pPr/>
            <w:r>
              <w:t xml:space="preserve">Muhokama</w:t>
            </w:r>
          </w:p>
        </w:tc>
        <w:tc>
          <w:tcPr>
            <w:tcW w:w="3120" w:type="dxa"/>
          </w:tcPr>
          <w:p>
            <w:pPr/>
            <w:r>
              <w:t xml:space="preserve">Natijalar farazga mosligi, to‘siqlar, cheklovlar</w:t>
            </w:r>
          </w:p>
        </w:tc>
        <w:tc>
          <w:tcPr>
            <w:tcW w:w="3120" w:type="dxa"/>
          </w:tcPr>
          <w:p>
            <w:pPr/>
            <w:r>
              <w:t xml:space="preserve">Yangi raqam kiritish</w:t>
            </w:r>
          </w:p>
        </w:tc>
      </w:tr>
      <w:tr>
        <w:tc>
          <w:tcPr>
            <w:tcW w:w="3120" w:type="dxa"/>
          </w:tcPr>
          <w:p>
            <w:pPr/>
            <w:r>
              <w:t xml:space="preserve">Xulosa</w:t>
            </w:r>
          </w:p>
        </w:tc>
        <w:tc>
          <w:tcPr>
            <w:tcW w:w="3120" w:type="dxa"/>
          </w:tcPr>
          <w:p>
            <w:pPr/>
            <w:r>
              <w:t xml:space="preserve">Raqamli natijalar, muallifning aniq takliflari, keyingi tadqiqot</w:t>
            </w:r>
          </w:p>
        </w:tc>
        <w:tc>
          <w:tcPr>
            <w:tcW w:w="3120" w:type="dxa"/>
          </w:tcPr>
          <w:p>
            <w:pPr/>
            <w:r>
              <w:t xml:space="preserve">Annotatsiyani takrorlash, yangi dalil, «dissertatsiyaning keyingi bobida» kabi ichki havolalar (mustaqil maqolada)</w:t>
            </w:r>
          </w:p>
        </w:tc>
      </w:tr>
      <w:tr>
        <w:tc>
          <w:tcPr>
            <w:tcW w:w="3120" w:type="dxa"/>
          </w:tcPr>
          <w:p>
            <w:pPr/>
            <w:r>
              <w:t xml:space="preserve">Adabiyotlar</w:t>
            </w:r>
          </w:p>
        </w:tc>
        <w:tc>
          <w:tcPr>
            <w:tcW w:w="3120" w:type="dxa"/>
          </w:tcPr>
          <w:p>
            <w:pPr/>
            <w:r>
              <w:t xml:space="preserve">Matnda ishlatilgan va tekshirilgan manbalar</w:t>
            </w:r>
          </w:p>
        </w:tc>
        <w:tc>
          <w:tcPr>
            <w:tcW w:w="3120" w:type="dxa"/>
          </w:tcPr>
          <w:p>
            <w:pPr/>
            <w:r>
              <w:t xml:space="preserve">Matnda ishlatilmagan, mavzuga aloqasiz yoki tasdiqlanmagan manba</w:t>
            </w:r>
          </w:p>
        </w:tc>
      </w:tr>
    </w:tbl>
    <w:p>
      <w:pPr>
        <w:pStyle w:val="Heading2"/>
      </w:pPr>
      <w:r>
        <w:t xml:space="preserve">5. Manba va raqam bilan ishlash tartibi</w:t>
      </w:r>
    </w:p>
    <w:p>
      <w:pPr/>
      <w:r>
        <w:t xml:space="preserve">Har bir raqam uchun AI quyidagini bajaradi:</w:t>
      </w:r>
    </w:p>
    <w:p>
      <w:pPr>
        <w:pStyle w:val="ListParagraph"/>
        <w:numPr>
          <w:ilvl w:val="0"/>
          <w:numId w:val="4"/>
        </w:numPr>
      </w:pPr>
      <w:r>
        <w:t xml:space="preserve">Birlamchi manbani ochadi (statistika qo‘mitasi, vazirlik, qonun matni, xalqaro tashkilotning o‘z sayti). Yangiliklar saytidagi bayon faqat ko‘rsatma, tasdiq emas.</w:t>
      </w:r>
    </w:p>
    <w:p>
      <w:pPr>
        <w:pStyle w:val="ListParagraph"/>
        <w:numPr>
          <w:ilvl w:val="0"/>
          <w:numId w:val="4"/>
        </w:numPr>
      </w:pPr>
      <w:r>
        <w:t xml:space="preserve">Raqamning </w:t>
      </w:r>
      <w:r>
        <w:rPr>
          <w:b/>
        </w:rPr>
        <w:t xml:space="preserve">sanasini va qamrovini</w:t>
      </w:r>
      <w:r>
        <w:t xml:space="preserve"> yozib oladi: qaysi yil, «holatiga» yoki «davr uchun», butun mamlakat yoki ikki hudud.</w:t>
      </w:r>
    </w:p>
    <w:p>
      <w:pPr>
        <w:pStyle w:val="ListParagraph"/>
        <w:numPr>
          <w:ilvl w:val="0"/>
          <w:numId w:val="4"/>
        </w:numPr>
      </w:pPr>
      <w:r>
        <w:t xml:space="preserve">Qiymatni manba bilan so‘zma-so‘z solishtiradi (birliklar, ming/mln/mlrd, foiz).</w:t>
      </w:r>
    </w:p>
    <w:p>
      <w:pPr>
        <w:pStyle w:val="ListParagraph"/>
        <w:numPr>
          <w:ilvl w:val="0"/>
          <w:numId w:val="4"/>
        </w:numPr>
      </w:pPr>
      <w:r>
        <w:t xml:space="preserve">O‘zi hisoblagan ko‘rsatkichni «muallif hisobi» deb belgilaydi va formulani yozadi, natijani tekshiradi (masalan, jami yig‘indi qismlar yig‘indisiga teng kelishi).</w:t>
      </w:r>
    </w:p>
    <w:p>
      <w:pPr>
        <w:pStyle w:val="ListParagraph"/>
        <w:numPr>
          <w:ilvl w:val="0"/>
          <w:numId w:val="4"/>
        </w:numPr>
      </w:pPr>
      <w:r>
        <w:t xml:space="preserve">Tasdiqlay olmasa, raqamni matnga kiritmaydi va muallifga «tasdiqlanmadi» ro‘yxatida ko‘rsatadi.</w:t>
      </w:r>
    </w:p>
    <w:p>
      <w:pPr/>
      <w:r>
        <w:t xml:space="preserve">Havolalar: har bir manba uchun muallif, nom, nashriyot yoki sayt, sana, to‘liq URL yoki DOI. Havolalar tartibi matndagi birinchi uchrash tartibida. Buzilgan yoki «removed» belgisi qolgan havola qabul qilinmaydi.</w:t>
      </w:r>
    </w:p>
    <w:p>
      <w:pPr>
        <w:pStyle w:val="Heading2"/>
      </w:pPr>
      <w:r>
        <w:t xml:space="preserve">6. Normativ-huquqiy matnlar bo‘yicha qoidalar</w:t>
      </w:r>
    </w:p>
    <w:p>
      <w:pPr>
        <w:pStyle w:val="ListParagraph"/>
        <w:numPr>
          <w:ilvl w:val="0"/>
          <w:numId w:val="5"/>
        </w:numPr>
      </w:pPr>
      <w:r>
        <w:t xml:space="preserve">Qonun yoki qaror nomi, raqami, sanasi to‘liq ko‘rsatiladi va lex.uz kabi rasmiy bazadan tekshiriladi.</w:t>
      </w:r>
    </w:p>
    <w:p>
      <w:pPr>
        <w:pStyle w:val="ListParagraph"/>
        <w:numPr>
          <w:ilvl w:val="0"/>
          <w:numId w:val="5"/>
        </w:numPr>
      </w:pPr>
      <w:r>
        <w:t xml:space="preserve">Keyingi o‘zgartirishlar tekshiriladi (masalan, qonunga kiritilgan tahrirlar). Faqat eski tahrirga tayanish xato.</w:t>
      </w:r>
    </w:p>
    <w:p>
      <w:pPr>
        <w:pStyle w:val="ListParagraph"/>
        <w:numPr>
          <w:ilvl w:val="0"/>
          <w:numId w:val="5"/>
        </w:numPr>
      </w:pPr>
      <w:r>
        <w:t xml:space="preserve">Qaror kim tomonidan va qaysi masalada qabul qilinganini aralashtirmang (bir tashkilotni tashkil etgan hujjat bilan tartibni tasdiqlagan hujjat farq qiladi).</w:t>
      </w:r>
    </w:p>
    <w:p>
      <w:pPr>
        <w:pStyle w:val="ListParagraph"/>
        <w:numPr>
          <w:ilvl w:val="0"/>
          <w:numId w:val="5"/>
        </w:numPr>
      </w:pPr>
      <w:r>
        <w:t xml:space="preserve">Jadval yoki tasnifdagi muddat, summa va chegaralar qonundagi talablarga mos kelishi kerak. Mos kelmasa, tasnifdagi atama qonuniy atamadan farqlanishi matnda aniq yoziladi.</w:t>
      </w:r>
    </w:p>
    <w:p>
      <w:pPr>
        <w:pStyle w:val="ListParagraph"/>
        <w:numPr>
          <w:ilvl w:val="0"/>
          <w:numId w:val="5"/>
        </w:numPr>
      </w:pPr>
      <w:r>
        <w:t xml:space="preserve">Har sohaning atamalari tarjimada aralashtirilmaydi (masalan, huquqda ijara va lizing, tibbiyotda belgi va sindrom).</w:t>
      </w:r>
    </w:p>
    <w:p>
      <w:pPr>
        <w:pStyle w:val="Heading2"/>
      </w:pPr>
      <w:r>
        <w:t xml:space="preserve">7. Nazariy qism va adabiyot sharhi: tez-tez uchraydigan xatolar</w:t>
      </w:r>
    </w:p>
    <w:p>
      <w:pPr>
        <w:pStyle w:val="ListParagraph"/>
        <w:numPr>
          <w:ilvl w:val="0"/>
          <w:numId w:val="6"/>
        </w:numPr>
      </w:pPr>
      <w:r>
        <w:rPr>
          <w:b/>
        </w:rPr>
        <w:t xml:space="preserve">Noto‘g‘ri atributsiya.</w:t>
      </w:r>
      <w:r>
        <w:t xml:space="preserve"> G‘oyani noto‘g‘ri olimga berish. Masalan, tadbirkorning xavf tashuvchi ekani Kantilon an’anasiga bog‘lanadi; Shumpeterga «kichik firmalar innovatsiyani tezroq kiritadi» degan fikrni berish bahsli. Shubha bo‘lsa, birlamchi asar yoki ishonchli sharhga havola qilinadi yoki fikr «umumiy kuzatuv» deb yumshatiladi.</w:t>
      </w:r>
    </w:p>
    <w:p>
      <w:pPr>
        <w:pStyle w:val="ListParagraph"/>
        <w:numPr>
          <w:ilvl w:val="0"/>
          <w:numId w:val="6"/>
        </w:numPr>
      </w:pPr>
      <w:r>
        <w:rPr>
          <w:b/>
        </w:rPr>
        <w:t xml:space="preserve">Nazariyani sanab qo‘yish.</w:t>
      </w:r>
      <w:r>
        <w:t xml:space="preserve"> Metodologiyada nomi tilga olingan nazariya tahlilda ham ishlatilishi kerak (masalan, tranzaksiya xarajatlari nazariyasi aniq mulohazaga aylantirilishi).</w:t>
      </w:r>
    </w:p>
    <w:p>
      <w:pPr>
        <w:pStyle w:val="ListParagraph"/>
        <w:numPr>
          <w:ilvl w:val="0"/>
          <w:numId w:val="6"/>
        </w:numPr>
      </w:pPr>
      <w:r>
        <w:rPr>
          <w:b/>
        </w:rPr>
        <w:t xml:space="preserve">Eskirgan yoki bevosita aloqasiz manba.</w:t>
      </w:r>
      <w:r>
        <w:t xml:space="preserve"> Mavzuga oid so‘nggi 3–5 yillik ilmiy va rasmiy manbalar kerak; umumiy investitsiya darsliklari faqat tegishli joyda keltiriladi.</w:t>
      </w:r>
    </w:p>
    <w:p>
      <w:pPr>
        <w:pStyle w:val="ListParagraph"/>
        <w:numPr>
          <w:ilvl w:val="0"/>
          <w:numId w:val="6"/>
        </w:numPr>
      </w:pPr>
      <w:r>
        <w:rPr>
          <w:b/>
        </w:rPr>
        <w:t xml:space="preserve">Tarjima manbalar.</w:t>
      </w:r>
      <w:r>
        <w:t xml:space="preserve"> Ruscha yoki o‘zbekcha tarjima nashrning chiqish ma’lumoti tekshirilmaguncha original asarga (yili bilan) havola qilinadi.</w:t>
      </w:r>
    </w:p>
    <w:p>
      <w:pPr>
        <w:pStyle w:val="Heading2"/>
      </w:pPr>
      <w:r>
        <w:t xml:space="preserve">7-1. Fan sohasiga qarab qo‘shimcha talablar</w:t>
      </w:r>
    </w:p>
    <w:p>
      <w:pPr/>
      <w:r>
        <w:t xml:space="preserve">Umumiy qoidalarga quyidagilar qo‘shiladi. Aniq talabni jurnal, kafedra va rahbardan tasdiqlang.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Soha</w:t>
            </w:r>
          </w:p>
        </w:tc>
        <w:tc>
          <w:tcPr>
            <w:tcW w:w="3120" w:type="dxa"/>
            <w:shd w:val="clear" w:color="auto" w:fill="F2F2F2"/>
          </w:tcPr>
          <w:p>
            <w:pPr/>
            <w:r>
              <w:t xml:space="preserve">Albatta ko‘rsatiladi</w:t>
            </w:r>
          </w:p>
        </w:tc>
        <w:tc>
          <w:tcPr>
            <w:tcW w:w="3120" w:type="dxa"/>
            <w:shd w:val="clear" w:color="auto" w:fill="F2F2F2"/>
          </w:tcPr>
          <w:p>
            <w:pPr/>
            <w:r>
              <w:t xml:space="preserve">Tez-tez uchraydigan xato</w:t>
            </w:r>
          </w:p>
        </w:tc>
      </w:tr>
      <w:tr>
        <w:tc>
          <w:tcPr>
            <w:tcW w:w="3120" w:type="dxa"/>
          </w:tcPr>
          <w:p>
            <w:pPr/>
            <w:r>
              <w:t xml:space="preserve">Tabiiy va texnik fanlar</w:t>
            </w:r>
          </w:p>
        </w:tc>
        <w:tc>
          <w:tcPr>
            <w:tcW w:w="3120" w:type="dxa"/>
          </w:tcPr>
          <w:p>
            <w:pPr/>
            <w:r>
              <w:t xml:space="preserve">Usul, uskuna va material, o‘lchov birliklari, tanlama hajmi, statistik test va ishonch darajasi, takrorlash yo‘li; xom ma’lumot va kodning joyi</w:t>
            </w:r>
          </w:p>
        </w:tc>
        <w:tc>
          <w:tcPr>
            <w:tcW w:w="3120" w:type="dxa"/>
          </w:tcPr>
          <w:p>
            <w:pPr/>
            <w:r>
              <w:t xml:space="preserve">Natijani xato oralig‘isiz berish, usulni takrorlab bo‘lmaydigan darajada qisqa yozish</w:t>
            </w:r>
          </w:p>
        </w:tc>
      </w:tr>
      <w:tr>
        <w:tc>
          <w:tcPr>
            <w:tcW w:w="3120" w:type="dxa"/>
          </w:tcPr>
          <w:p>
            <w:pPr/>
            <w:r>
              <w:t xml:space="preserve">Tibbiyot va sog‘liqni saqlash</w:t>
            </w:r>
          </w:p>
        </w:tc>
        <w:tc>
          <w:tcPr>
            <w:tcW w:w="3120" w:type="dxa"/>
          </w:tcPr>
          <w:p>
            <w:pPr/>
            <w:r>
              <w:t xml:space="preserve">Etika qo‘mitasi ruxsati, bemorning rozilik va anonimligi, tanlash mezonlari, klinik ro‘yxatga olish (agar kerak bo‘lsa)</w:t>
            </w:r>
          </w:p>
        </w:tc>
        <w:tc>
          <w:tcPr>
            <w:tcW w:w="3120" w:type="dxa"/>
          </w:tcPr>
          <w:p>
            <w:pPr/>
            <w:r>
              <w:t xml:space="preserve">Tibbiy xulosani kichik tanlamadan umumlashtirish, ruxsatni yozmaslik</w:t>
            </w:r>
          </w:p>
        </w:tc>
      </w:tr>
      <w:tr>
        <w:tc>
          <w:tcPr>
            <w:tcW w:w="3120" w:type="dxa"/>
          </w:tcPr>
          <w:p>
            <w:pPr/>
            <w:r>
              <w:t xml:space="preserve">Ijtimoiy fanlar</w:t>
            </w:r>
          </w:p>
        </w:tc>
        <w:tc>
          <w:tcPr>
            <w:tcW w:w="3120" w:type="dxa"/>
          </w:tcPr>
          <w:p>
            <w:pPr/>
            <w:r>
              <w:t xml:space="preserve">Tanlama va uni tanlash usuli, so‘rovnoma, javob berish darajasi, tahlil usuli, cheklovlar</w:t>
            </w:r>
          </w:p>
        </w:tc>
        <w:tc>
          <w:tcPr>
            <w:tcW w:w="3120" w:type="dxa"/>
          </w:tcPr>
          <w:p>
            <w:pPr/>
            <w:r>
              <w:t xml:space="preserve">Tanlama kichik yoki noxolis bo‘lsa ham umumiy xulosa chiqarish</w:t>
            </w:r>
          </w:p>
        </w:tc>
      </w:tr>
      <w:tr>
        <w:tc>
          <w:tcPr>
            <w:tcW w:w="3120" w:type="dxa"/>
          </w:tcPr>
          <w:p>
            <w:pPr/>
            <w:r>
              <w:t xml:space="preserve">Huquq</w:t>
            </w:r>
          </w:p>
        </w:tc>
        <w:tc>
          <w:tcPr>
            <w:tcW w:w="3120" w:type="dxa"/>
          </w:tcPr>
          <w:p>
            <w:pPr/>
            <w:r>
              <w:t xml:space="preserve">Normativ hujjatning aniq moddasi va tahriri, sud amaliyoti, huquqiy atamaning to‘g‘ri qo‘llanishi</w:t>
            </w:r>
          </w:p>
        </w:tc>
        <w:tc>
          <w:tcPr>
            <w:tcW w:w="3120" w:type="dxa"/>
          </w:tcPr>
          <w:p>
            <w:pPr/>
            <w:r>
              <w:t xml:space="preserve">Bekor qilingan yoki o‘zgargan normaga tayanish</w:t>
            </w:r>
          </w:p>
        </w:tc>
      </w:tr>
      <w:tr>
        <w:tc>
          <w:tcPr>
            <w:tcW w:w="3120" w:type="dxa"/>
          </w:tcPr>
          <w:p>
            <w:pPr/>
            <w:r>
              <w:t xml:space="preserve">Gumanitar fanlar</w:t>
            </w:r>
          </w:p>
        </w:tc>
        <w:tc>
          <w:tcPr>
            <w:tcW w:w="3120" w:type="dxa"/>
          </w:tcPr>
          <w:p>
            <w:pPr/>
            <w:r>
              <w:t xml:space="preserve">Birlamchi matn va ikkilamchi sharh farqi, tarjima manbai, iqtibos sahifasi, talqinning asosi</w:t>
            </w:r>
          </w:p>
        </w:tc>
        <w:tc>
          <w:tcPr>
            <w:tcW w:w="3120" w:type="dxa"/>
          </w:tcPr>
          <w:p>
            <w:pPr/>
            <w:r>
              <w:t xml:space="preserve">Tarjimani asl matn deb ko‘rsatish, iqtibosni sahifasiz berish</w:t>
            </w:r>
          </w:p>
        </w:tc>
      </w:tr>
      <w:tr>
        <w:tc>
          <w:tcPr>
            <w:tcW w:w="3120" w:type="dxa"/>
          </w:tcPr>
          <w:p>
            <w:pPr/>
            <w:r>
              <w:t xml:space="preserve">Texnika va dasturiy ta’minot</w:t>
            </w:r>
          </w:p>
        </w:tc>
        <w:tc>
          <w:tcPr>
            <w:tcW w:w="3120" w:type="dxa"/>
          </w:tcPr>
          <w:p>
            <w:pPr/>
            <w:r>
              <w:t xml:space="preserve">Model va parametrlar, ma’lumotlar to‘plami, baholash mezoni, solishtiriladigan boshlang‘ich model, kod va versiya</w:t>
            </w:r>
          </w:p>
        </w:tc>
        <w:tc>
          <w:tcPr>
            <w:tcW w:w="3120" w:type="dxa"/>
          </w:tcPr>
          <w:p>
            <w:pPr/>
            <w:r>
              <w:t xml:space="preserve">Faqat o‘z usulining ma’qul natijasini ko‘rsatish, solishtirmaslik</w:t>
            </w:r>
          </w:p>
        </w:tc>
      </w:tr>
      <w:tr>
        <w:tc>
          <w:tcPr>
            <w:tcW w:w="3120" w:type="dxa"/>
          </w:tcPr>
          <w:p>
            <w:pPr/>
            <w:r>
              <w:t xml:space="preserve">Iqtisod</w:t>
            </w:r>
          </w:p>
        </w:tc>
        <w:tc>
          <w:tcPr>
            <w:tcW w:w="3120" w:type="dxa"/>
          </w:tcPr>
          <w:p>
            <w:pPr/>
            <w:r>
              <w:t xml:space="preserve">Ma’lumot manbasi, sana, birlik, hisob usuli, cheklov</w:t>
            </w:r>
          </w:p>
        </w:tc>
        <w:tc>
          <w:tcPr>
            <w:tcW w:w="3120" w:type="dxa"/>
          </w:tcPr>
          <w:p>
            <w:pPr/>
            <w:r>
              <w:t xml:space="preserve">Bir-biriga mos kelmaydigan sanalarni birlashtirish</w:t>
            </w:r>
          </w:p>
        </w:tc>
      </w:tr>
    </w:tbl>
    <w:p>
      <w:pPr/>
      <w:r>
        <w:t xml:space="preserve">Har sohada ma’lumot va kodni ochiq saqlash, tekshirishga imkon beruvchi tarzda yozish va etik talablarga rioya qilish umumiy qoida.</w:t>
      </w:r>
    </w:p>
    <w:p>
      <w:pPr>
        <w:pStyle w:val="Heading2"/>
      </w:pPr>
      <w:r>
        <w:t xml:space="preserve">8. Uslub va originallik</w:t>
      </w:r>
    </w:p>
    <w:p>
      <w:pPr/>
      <w:r>
        <w:rPr>
          <w:b/>
        </w:rPr>
        <w:t xml:space="preserve">Yoziladi:</w:t>
      </w:r>
      <w:r>
        <w:t xml:space="preserve"> aniq subyekt, aniq raqam va manba, qisqa va ravon jumla, muallifning mulohazasi («bundan kelib chiqadi», «bu faraz»), farazni ochiq aytish.</w:t>
      </w:r>
    </w:p>
    <w:p>
      <w:pPr/>
      <w:r>
        <w:rPr>
          <w:b/>
        </w:rPr>
        <w:t xml:space="preserve">Yozilmaydi (shablon belgilari):</w:t>
      </w:r>
    </w:p>
    <w:p>
      <w:pPr>
        <w:pStyle w:val="ListParagraph"/>
        <w:numPr>
          <w:ilvl w:val="0"/>
          <w:numId w:val="7"/>
        </w:numPr>
      </w:pPr>
      <w:r>
        <w:t xml:space="preserve">Hamma narsani «uchta» qilib guruhlash (uch bosqich, uch funksiya, uch xulosa), faqat mazmun shuni talab qilsa bo‘ladi</w:t>
      </w:r>
    </w:p>
    <w:p>
      <w:pPr>
        <w:pStyle w:val="ListParagraph"/>
        <w:numPr>
          <w:ilvl w:val="0"/>
          <w:numId w:val="7"/>
        </w:numPr>
      </w:pPr>
      <w:r>
        <w:t xml:space="preserve">Har bandni bir xil kursiv sarlavha va ikki jumla bilan qurish</w:t>
      </w:r>
    </w:p>
    <w:p>
      <w:pPr>
        <w:pStyle w:val="ListParagraph"/>
        <w:numPr>
          <w:ilvl w:val="0"/>
          <w:numId w:val="7"/>
        </w:numPr>
      </w:pPr>
      <w:r>
        <w:t xml:space="preserve">Bir iborani qayta-qayta takrorlash (masalan, «dissertatsiya bobi doirasida»)</w:t>
      </w:r>
    </w:p>
    <w:p>
      <w:pPr>
        <w:pStyle w:val="ListParagraph"/>
        <w:numPr>
          <w:ilvl w:val="0"/>
          <w:numId w:val="7"/>
        </w:numPr>
      </w:pPr>
      <w:r>
        <w:t xml:space="preserve">Raqamsiz mubolag‘a: «keskin», «juda katta», «hal qiluvchi rol», «tabiiy zanjir»</w:t>
      </w:r>
    </w:p>
    <w:p>
      <w:pPr>
        <w:pStyle w:val="ListParagraph"/>
        <w:numPr>
          <w:ilvl w:val="0"/>
          <w:numId w:val="7"/>
        </w:numPr>
      </w:pPr>
      <w:r>
        <w:t xml:space="preserve">Darslikdan ko‘chirilgan ta’riflar va umumiy xulosalar</w:t>
      </w:r>
    </w:p>
    <w:p>
      <w:pPr>
        <w:pStyle w:val="ListParagraph"/>
        <w:numPr>
          <w:ilvl w:val="0"/>
          <w:numId w:val="7"/>
        </w:numPr>
      </w:pPr>
      <w:r>
        <w:t xml:space="preserve">Boshqa matnga yaqin parafraz: manba g‘oyasi qisqa o‘z so‘zlar bilan beriladi va havola qilinadi, 15 so‘zdan uzun so‘zma-so‘z ko‘chirma qo‘yilmaydi</w:t>
      </w:r>
    </w:p>
    <w:p>
      <w:pPr/>
      <w:r>
        <w:rPr>
          <w:b/>
        </w:rPr>
        <w:t xml:space="preserve">Originallik manbasi.</w:t>
      </w:r>
      <w:r>
        <w:t xml:space="preserve"> Haqiqiy originallik jumlalarni o‘zgartirishdan emas, muallifning o‘z hisoblari, tasnifi, ma’lumotlar kombinatsiyasi va takliflaridan keladi. Har maqolada kamida bitta muallif hisobi yoki tasnifi bo‘lishi kerak (ulush, o‘rtacha qiymat, indeks, guruhlash, solishtirma jadval, tajriba natijasi, model, kod, matn yoki hujjat tahlili).</w:t>
      </w:r>
    </w:p>
    <w:p>
      <w:pPr>
        <w:pStyle w:val="Heading2"/>
      </w:pPr>
      <w:r>
        <w:t xml:space="preserve">9. Jadval, grafik va raqamlar</w:t>
      </w:r>
    </w:p>
    <w:p>
      <w:pPr>
        <w:pStyle w:val="ListParagraph"/>
        <w:numPr>
          <w:ilvl w:val="0"/>
          <w:numId w:val="8"/>
        </w:numPr>
      </w:pPr>
      <w:r>
        <w:t xml:space="preserve">Har jadval matnda eslatiladi va tahlil qilinadi, o‘zicha qoldirilmaydi.</w:t>
      </w:r>
    </w:p>
    <w:p>
      <w:pPr>
        <w:pStyle w:val="ListParagraph"/>
        <w:numPr>
          <w:ilvl w:val="0"/>
          <w:numId w:val="8"/>
        </w:numPr>
      </w:pPr>
      <w:r>
        <w:t xml:space="preserve">Jadval ostida manba: «Muallif hisobi» yoki aniq havola, «Ilmiy manbalar asosida» kabi noaniq yozuv yozilmaydi.</w:t>
      </w:r>
    </w:p>
    <w:p>
      <w:pPr>
        <w:pStyle w:val="ListParagraph"/>
        <w:numPr>
          <w:ilvl w:val="0"/>
          <w:numId w:val="8"/>
        </w:numPr>
      </w:pPr>
      <w:r>
        <w:t xml:space="preserve">Birliklar, davr va hudud ustun nomida ko‘rsatiladi. Foizlar yig‘indisi 100 ga yaqin bo‘lishi tekshiriladi.</w:t>
      </w:r>
    </w:p>
    <w:p>
      <w:pPr>
        <w:pStyle w:val="ListParagraph"/>
        <w:numPr>
          <w:ilvl w:val="0"/>
          <w:numId w:val="8"/>
        </w:numPr>
      </w:pPr>
      <w:r>
        <w:t xml:space="preserve">Raqamlar matn va jadvalda bir xil. O‘rtacha qiymat aralash (juda katta va juda kichik) ma’lumotda chalg‘itishi mumkin; shunda guruhlar bo‘yicha berish yaxshiroq.</w:t>
      </w:r>
    </w:p>
    <w:p>
      <w:pPr>
        <w:pStyle w:val="ListParagraph"/>
        <w:numPr>
          <w:ilvl w:val="0"/>
          <w:numId w:val="8"/>
        </w:numPr>
      </w:pPr>
      <w:r>
        <w:t xml:space="preserve">Namuna kichik yoki bir hududga tegishli bo‘lsa, umumlashtirish qilinmaydi.</w:t>
      </w:r>
    </w:p>
    <w:p>
      <w:pPr>
        <w:pStyle w:val="Heading2"/>
      </w:pPr>
      <w:r>
        <w:t xml:space="preserve">10. Xulosa va takliflar qanday yoziladi</w:t>
      </w:r>
    </w:p>
    <w:p>
      <w:pPr>
        <w:pStyle w:val="ListParagraph"/>
        <w:numPr>
          <w:ilvl w:val="0"/>
          <w:numId w:val="9"/>
        </w:numPr>
      </w:pPr>
      <w:r>
        <w:t xml:space="preserve">Xulosa tahlilda ko‘rsatilgan raqamlarga tayanadi va yangi dalil qo‘shmaydi.</w:t>
      </w:r>
    </w:p>
    <w:p>
      <w:pPr>
        <w:pStyle w:val="ListParagraph"/>
        <w:numPr>
          <w:ilvl w:val="0"/>
          <w:numId w:val="9"/>
        </w:numPr>
      </w:pPr>
      <w:r>
        <w:t xml:space="preserve">Har xulosa tadqiqot savoliga va farazga javob beradi (tasdiqlandi, qisman tasdiqlandi, tasdiqlanmadi).</w:t>
      </w:r>
    </w:p>
    <w:p>
      <w:pPr>
        <w:pStyle w:val="ListParagraph"/>
        <w:numPr>
          <w:ilvl w:val="0"/>
          <w:numId w:val="9"/>
        </w:numPr>
      </w:pPr>
      <w:r>
        <w:t xml:space="preserve">Takliflar aniq bo‘lishi kerak: kim, nima qiladi, qaysi hujjat yoki tartibga o‘zgartirish kiritiladi. «Rivojlantirish zarur» kabi umumiy tavsiya yozilmaydi.</w:t>
      </w:r>
    </w:p>
    <w:p>
      <w:pPr>
        <w:pStyle w:val="ListParagraph"/>
        <w:numPr>
          <w:ilvl w:val="0"/>
          <w:numId w:val="9"/>
        </w:numPr>
      </w:pPr>
      <w:r>
        <w:t xml:space="preserve">Xulosada cheklovlar va keyingi tadqiqot yo‘nalishi bir-ikki jumlada aytiladi.</w:t>
      </w:r>
    </w:p>
    <w:p>
      <w:pPr>
        <w:pStyle w:val="ListParagraph"/>
        <w:numPr>
          <w:ilvl w:val="0"/>
          <w:numId w:val="9"/>
        </w:numPr>
      </w:pPr>
      <w:r>
        <w:t xml:space="preserve">Mustaqil maqolada «ikkinchi bobda» kabi ichki havolalar qoldirilmaydi.</w:t>
      </w:r>
    </w:p>
    <w:p>
      <w:pPr>
        <w:pStyle w:val="Heading2"/>
      </w:pPr>
      <w:r>
        <w:t xml:space="preserve">11. AI uchun o‘z-o‘zini tekshirish ro‘yxati (yozishdan oldin va keyin)</w:t>
      </w:r>
    </w:p>
    <w:p>
      <w:pPr/>
      <w:r>
        <w:rPr>
          <w:b/>
        </w:rPr>
        <w:t xml:space="preserve">Yozishdan oldin:</w:t>
      </w:r>
    </w:p>
    <w:p>
      <w:pPr>
        <w:pStyle w:val="ListParagraph"/>
        <w:numPr>
          <w:ilvl w:val="0"/>
          <w:numId w:val="10"/>
        </w:numPr>
      </w:pPr>
      <w:r>
        <w:t xml:space="preserve">☐ 3-bo‘limdagi barcha ma’lumot olingan yoki yetishmayotgani muallifga aytilgan</w:t>
      </w:r>
    </w:p>
    <w:p>
      <w:pPr>
        <w:pStyle w:val="ListParagraph"/>
        <w:numPr>
          <w:ilvl w:val="0"/>
          <w:numId w:val="10"/>
        </w:numPr>
      </w:pPr>
      <w:r>
        <w:t xml:space="preserve">☐ Tadqiqot savoli, faraz va maqsad bitta ma’noda; bo‘limlar shularga xizmat qiladi</w:t>
      </w:r>
    </w:p>
    <w:p>
      <w:pPr>
        <w:pStyle w:val="ListParagraph"/>
        <w:numPr>
          <w:ilvl w:val="0"/>
          <w:numId w:val="10"/>
        </w:numPr>
      </w:pPr>
      <w:r>
        <w:t xml:space="preserve">☐ Qaysi raqamlarga birlamchi manba kerakligi ro‘yxatlangan</w:t>
      </w:r>
    </w:p>
    <w:p>
      <w:pPr>
        <w:pStyle w:val="ListParagraph"/>
        <w:numPr>
          <w:ilvl w:val="0"/>
          <w:numId w:val="10"/>
        </w:numPr>
      </w:pPr>
      <w:r>
        <w:t xml:space="preserve">☐ Muallifning o‘z hissasi (hisob, tasnif, taklif) rejalashtirilgan</w:t>
      </w:r>
    </w:p>
    <w:p>
      <w:pPr/>
      <w:r>
        <w:rPr>
          <w:b/>
        </w:rPr>
        <w:t xml:space="preserve">Yozgandan keyin:</w:t>
      </w:r>
    </w:p>
    <w:p>
      <w:pPr>
        <w:pStyle w:val="ListParagraph"/>
        <w:numPr>
          <w:ilvl w:val="0"/>
          <w:numId w:val="11"/>
        </w:numPr>
      </w:pPr>
      <w:r>
        <w:t xml:space="preserve">☐ Har raqamning manbasi, sanasi va qamrovi tekshirilgan; hisoblar qayta hisoblangan</w:t>
      </w:r>
    </w:p>
    <w:p>
      <w:pPr>
        <w:pStyle w:val="ListParagraph"/>
        <w:numPr>
          <w:ilvl w:val="0"/>
          <w:numId w:val="11"/>
        </w:numPr>
      </w:pPr>
      <w:r>
        <w:t xml:space="preserve">☐ Matndagi har da’vo havolaga ega yoki «muallif fikri» deb belgilangan</w:t>
      </w:r>
    </w:p>
    <w:p>
      <w:pPr>
        <w:pStyle w:val="ListParagraph"/>
        <w:numPr>
          <w:ilvl w:val="0"/>
          <w:numId w:val="11"/>
        </w:numPr>
      </w:pPr>
      <w:r>
        <w:t xml:space="preserve">☐ Havolalar ro‘yxatidagi har manba matnda ishlatilgan va aksincha</w:t>
      </w:r>
    </w:p>
    <w:p>
      <w:pPr>
        <w:pStyle w:val="ListParagraph"/>
        <w:numPr>
          <w:ilvl w:val="0"/>
          <w:numId w:val="11"/>
        </w:numPr>
      </w:pPr>
      <w:r>
        <w:t xml:space="preserve">☐ Qonun va qarorlar rasmiy bazadan tekshirilgan, keyingi tahrirlar hisobga olingan</w:t>
      </w:r>
    </w:p>
    <w:p>
      <w:pPr>
        <w:pStyle w:val="ListParagraph"/>
        <w:numPr>
          <w:ilvl w:val="0"/>
          <w:numId w:val="11"/>
        </w:numPr>
      </w:pPr>
      <w:r>
        <w:t xml:space="preserve">☐ Jadvaldagi muddat va chegaralar qonunga mos</w:t>
      </w:r>
    </w:p>
    <w:p>
      <w:pPr>
        <w:pStyle w:val="ListParagraph"/>
        <w:numPr>
          <w:ilvl w:val="0"/>
          <w:numId w:val="11"/>
        </w:numPr>
      </w:pPr>
      <w:r>
        <w:t xml:space="preserve">☐ Atributsiya (kim aytgan) shubhali joylar yumshatilgan yoki tekshirilgan</w:t>
      </w:r>
    </w:p>
    <w:p>
      <w:pPr>
        <w:pStyle w:val="ListParagraph"/>
        <w:numPr>
          <w:ilvl w:val="0"/>
          <w:numId w:val="11"/>
        </w:numPr>
      </w:pPr>
      <w:r>
        <w:t xml:space="preserve">☐ Taqqoslash yoki o‘xshash tadqiqotlar aynan shu mavzuga tegishli, qo‘shni sohadan emas</w:t>
      </w:r>
    </w:p>
    <w:p>
      <w:pPr>
        <w:pStyle w:val="ListParagraph"/>
        <w:numPr>
          <w:ilvl w:val="0"/>
          <w:numId w:val="11"/>
        </w:numPr>
      </w:pPr>
      <w:r>
        <w:t xml:space="preserve">☐ Shablon belgilari tekshirilgan (uchlik tuzilma, bir xil band shakli, takrorlar, mubolag‘a)</w:t>
      </w:r>
    </w:p>
    <w:p>
      <w:pPr>
        <w:pStyle w:val="ListParagraph"/>
        <w:numPr>
          <w:ilvl w:val="0"/>
          <w:numId w:val="11"/>
        </w:numPr>
      </w:pPr>
      <w:r>
        <w:t xml:space="preserve">☐ Kamida bitta original hisob yoki tasnif bor</w:t>
      </w:r>
    </w:p>
    <w:p>
      <w:pPr>
        <w:pStyle w:val="ListParagraph"/>
        <w:numPr>
          <w:ilvl w:val="0"/>
          <w:numId w:val="11"/>
        </w:numPr>
      </w:pPr>
      <w:r>
        <w:t xml:space="preserve">☐ Cheklovlar ochiq yozilgan</w:t>
      </w:r>
    </w:p>
    <w:p>
      <w:pPr>
        <w:pStyle w:val="ListParagraph"/>
        <w:numPr>
          <w:ilvl w:val="0"/>
          <w:numId w:val="11"/>
        </w:numPr>
      </w:pPr>
      <w:r>
        <w:t xml:space="preserve">☐ Xulosa yangi dalil kiritmaydi va savolga javob beradi</w:t>
      </w:r>
    </w:p>
    <w:p>
      <w:pPr>
        <w:pStyle w:val="ListParagraph"/>
        <w:numPr>
          <w:ilvl w:val="0"/>
          <w:numId w:val="11"/>
        </w:numPr>
      </w:pPr>
      <w:r>
        <w:t xml:space="preserve">☐ Ichki «bob» havolalari olib tashlangan (mustaqil maqolada)</w:t>
      </w:r>
    </w:p>
    <w:p>
      <w:pPr>
        <w:pStyle w:val="ListParagraph"/>
        <w:numPr>
          <w:ilvl w:val="0"/>
          <w:numId w:val="11"/>
        </w:numPr>
      </w:pPr>
      <w:r>
        <w:t xml:space="preserve">☐ Tasdiqlanmagan va kiritilmagan da’volar ro‘yxati muallifga berilgan</w:t>
      </w:r>
    </w:p>
    <w:p>
      <w:pPr>
        <w:pStyle w:val="ListParagraph"/>
        <w:numPr>
          <w:ilvl w:val="0"/>
          <w:numId w:val="11"/>
        </w:numPr>
      </w:pPr>
      <w:r>
        <w:t xml:space="preserve">☐ Muallifga: raqam va havolalarni o‘zi qayta tekshirishi, matnni o‘z so‘zlari bilan tahrir qilishi va rasmiy antiplagiat tekshiruvidan o‘tkazishi eslatilgan</w:t>
      </w:r>
    </w:p>
    <w:p>
      <w:pPr>
        <w:pStyle w:val="Heading2"/>
      </w:pPr>
      <w:r>
        <w:t xml:space="preserve">12. Oldingi ishdan olingan saboqlar (iqtisodiy maqola misolida; tamoyillari barcha fanlarga tegishli)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Xato</w:t>
            </w:r>
          </w:p>
        </w:tc>
        <w:tc>
          <w:tcPr>
            <w:tcW w:w="4680" w:type="dxa"/>
            <w:shd w:val="clear" w:color="auto" w:fill="F2F2F2"/>
          </w:tcPr>
          <w:p>
            <w:pPr/>
            <w:r>
              <w:t xml:space="preserve">Qanday bo‘lishi kerak edi</w:t>
            </w:r>
          </w:p>
        </w:tc>
      </w:tr>
      <w:tr>
        <w:tc>
          <w:tcPr>
            <w:tcW w:w="4680" w:type="dxa"/>
          </w:tcPr>
          <w:p>
            <w:pPr/>
            <w:r>
              <w:t xml:space="preserve">Matnda umuman havola bo‘lmagan</w:t>
            </w:r>
          </w:p>
        </w:tc>
        <w:tc>
          <w:tcPr>
            <w:tcW w:w="4680" w:type="dxa"/>
          </w:tcPr>
          <w:p>
            <w:pPr/>
            <w:r>
              <w:t xml:space="preserve">Har da’vo yonida [raqam] bilan havola</w:t>
            </w:r>
          </w:p>
        </w:tc>
      </w:tr>
      <w:tr>
        <w:tc>
          <w:tcPr>
            <w:tcW w:w="4680" w:type="dxa"/>
          </w:tcPr>
          <w:p>
            <w:pPr/>
            <w:r>
              <w:t xml:space="preserve">Jadvalda 1–3 yillik xizmat shartnomasi DXSh deb berilgan, Qonunda esa muddat kamida 3 yil</w:t>
            </w:r>
          </w:p>
        </w:tc>
        <w:tc>
          <w:tcPr>
            <w:tcW w:w="4680" w:type="dxa"/>
          </w:tcPr>
          <w:p>
            <w:pPr/>
            <w:r>
              <w:t xml:space="preserve">Muddatni qonun bilan solishtirib, «yaqin shakl» deb belgilash</w:t>
            </w:r>
          </w:p>
        </w:tc>
      </w:tr>
      <w:tr>
        <w:tc>
          <w:tcPr>
            <w:tcW w:w="4680" w:type="dxa"/>
          </w:tcPr>
          <w:p>
            <w:pPr/>
            <w:r>
              <w:t xml:space="preserve">Ijara va lizing bitta qatorda</w:t>
            </w:r>
          </w:p>
        </w:tc>
        <w:tc>
          <w:tcPr>
            <w:tcW w:w="4680" w:type="dxa"/>
          </w:tcPr>
          <w:p>
            <w:pPr/>
            <w:r>
              <w:t xml:space="preserve">Alohida shakl sifatida</w:t>
            </w:r>
          </w:p>
        </w:tc>
      </w:tr>
      <w:tr>
        <w:tc>
          <w:tcPr>
            <w:tcW w:w="4680" w:type="dxa"/>
          </w:tcPr>
          <w:p>
            <w:pPr/>
            <w:r>
              <w:t xml:space="preserve">Dalillar fayldagi turli sanalar bitta sanaga bog‘langan (2023 va 2024)</w:t>
            </w:r>
          </w:p>
        </w:tc>
        <w:tc>
          <w:tcPr>
            <w:tcW w:w="4680" w:type="dxa"/>
          </w:tcPr>
          <w:p>
            <w:pPr/>
            <w:r>
              <w:t xml:space="preserve">Har raqam yonida sana</w:t>
            </w:r>
          </w:p>
        </w:tc>
      </w:tr>
      <w:tr>
        <w:tc>
          <w:tcPr>
            <w:tcW w:w="4680" w:type="dxa"/>
          </w:tcPr>
          <w:p>
            <w:pPr/>
            <w:r>
              <w:t xml:space="preserve">Monitoring natijasi ikki hudud uchun bo‘lib, butun mamlakatga tegishli deb berilgan</w:t>
            </w:r>
          </w:p>
        </w:tc>
        <w:tc>
          <w:tcPr>
            <w:tcW w:w="4680" w:type="dxa"/>
          </w:tcPr>
          <w:p>
            <w:pPr/>
            <w:r>
              <w:t xml:space="preserve">Namuna qamrovini yozish</w:t>
            </w:r>
          </w:p>
        </w:tc>
      </w:tr>
      <w:tr>
        <w:tc>
          <w:tcPr>
            <w:tcW w:w="4680" w:type="dxa"/>
          </w:tcPr>
          <w:p>
            <w:pPr/>
            <w:r>
              <w:t xml:space="preserve">Markaz boshqa qaror bilan tashkil etilgani aralashtirilgan</w:t>
            </w:r>
          </w:p>
        </w:tc>
        <w:tc>
          <w:tcPr>
            <w:tcW w:w="4680" w:type="dxa"/>
          </w:tcPr>
          <w:p>
            <w:pPr/>
            <w:r>
              <w:t xml:space="preserve">Hujjat raqami va mazmunini tekshirish</w:t>
            </w:r>
          </w:p>
        </w:tc>
      </w:tr>
      <w:tr>
        <w:tc>
          <w:tcPr>
            <w:tcW w:w="4680" w:type="dxa"/>
          </w:tcPr>
          <w:p>
            <w:pPr/>
            <w:r>
              <w:t xml:space="preserve">Taxminiy yoki tasdiqlanmagan statistika (1–3% va 3–4% xarajat, 12–18 oydan 3–4 oy)</w:t>
            </w:r>
          </w:p>
        </w:tc>
        <w:tc>
          <w:tcPr>
            <w:tcW w:w="4680" w:type="dxa"/>
          </w:tcPr>
          <w:p>
            <w:pPr/>
            <w:r>
              <w:t xml:space="preserve">Birlamchi manbada topilmasa kiritmaslik</w:t>
            </w:r>
          </w:p>
        </w:tc>
      </w:tr>
      <w:tr>
        <w:tc>
          <w:tcPr>
            <w:tcW w:w="4680" w:type="dxa"/>
          </w:tcPr>
          <w:p>
            <w:pPr/>
            <w:r>
              <w:t xml:space="preserve">Davlat xaridlari yoki KOB moliyalashtirishi misoli DXSh tajribasi sifatida berilgan</w:t>
            </w:r>
          </w:p>
        </w:tc>
        <w:tc>
          <w:tcPr>
            <w:tcW w:w="4680" w:type="dxa"/>
          </w:tcPr>
          <w:p>
            <w:pPr/>
            <w:r>
              <w:t xml:space="preserve">Soha chegarasini aniq ko‘rsatish</w:t>
            </w:r>
          </w:p>
        </w:tc>
      </w:tr>
      <w:tr>
        <w:tc>
          <w:tcPr>
            <w:tcW w:w="4680" w:type="dxa"/>
          </w:tcPr>
          <w:p>
            <w:pPr/>
            <w:r>
              <w:t xml:space="preserve">«Metodologiya»da sanalgan nazariyalar tahlilda ishlatilmagan</w:t>
            </w:r>
          </w:p>
        </w:tc>
        <w:tc>
          <w:tcPr>
            <w:tcW w:w="4680" w:type="dxa"/>
          </w:tcPr>
          <w:p>
            <w:pPr/>
            <w:r>
              <w:t xml:space="preserve">Nazariyani aniq mulohazaga bog‘lash</w:t>
            </w:r>
          </w:p>
        </w:tc>
      </w:tr>
      <w:tr>
        <w:tc>
          <w:tcPr>
            <w:tcW w:w="4680" w:type="dxa"/>
          </w:tcPr>
          <w:p>
            <w:pPr/>
            <w:r>
              <w:t xml:space="preserve">Xulosa dissertatsiyaning keyingi bobiga havola qilgan</w:t>
            </w:r>
          </w:p>
        </w:tc>
        <w:tc>
          <w:tcPr>
            <w:tcW w:w="4680" w:type="dxa"/>
          </w:tcPr>
          <w:p>
            <w:pPr/>
            <w:r>
              <w:t xml:space="preserve">Mustaqil maqola uchun yopiq xulosa</w:t>
            </w:r>
          </w:p>
        </w:tc>
      </w:tr>
      <w:tr>
        <w:tc>
          <w:tcPr>
            <w:tcW w:w="4680" w:type="dxa"/>
          </w:tcPr>
          <w:p>
            <w:pPr/>
            <w:r>
              <w:t xml:space="preserve">Havola ro‘yxatida mavzuga aloqasiz yoki tasdiqlanmagan manbalar</w:t>
            </w:r>
          </w:p>
        </w:tc>
        <w:tc>
          <w:tcPr>
            <w:tcW w:w="4680" w:type="dxa"/>
          </w:tcPr>
          <w:p>
            <w:pPr/>
            <w:r>
              <w:t xml:space="preserve">Faqat ishlatilgan va tekshirilgan manbalar</w:t>
            </w:r>
          </w:p>
        </w:tc>
      </w:tr>
    </w:tbl>
    <w:p>
      <w:pPr>
        <w:pStyle w:val="Heading2"/>
      </w:pPr>
      <w:r>
        <w:t xml:space="preserve">13. Muallif uchun so‘rov shabloni (AI ga berish uchun)</w:t>
      </w:r>
    </w:p>
    <w:p>
      <w:pPr>
        <w:pStyle w:val="Quote"/>
      </w:pPr>
      <w:r>
        <w:t xml:space="preserve">Quyidagi qo‘llanmaga amal qilib dissertatsiya maqolasini yoz. Avval yetishmayotgan ma’lumotni so‘ra. Raqamlarni faqat birlamchi manbadan tekshirib kirit, har biriga sana va havola ber. Tasdiqlay olmagan da’volarni alohida ro‘yxat qil. Maqolada kamida bitta o‘z hisobing yoki tasnifing bo‘lsin va u «muallif hisobi» deb belgilansin. Yozgach o‘z-o‘zini tekshirish ro‘yxatidan o‘tkaz va natijani qisqa yoz.</w:t>
      </w:r>
    </w:p>
    <w:p>
      <w:pPr>
        <w:pStyle w:val="Quote"/>
      </w:pPr>
      <w:r>
        <w:rPr>
          <w:b/>
        </w:rPr>
        <w:t xml:space="preserve">Mavzu:</w:t>
      </w:r>
      <w:r>
        <w:t xml:space="preserve"> ... </w:t>
      </w:r>
      <w:r>
        <w:rPr>
          <w:b/>
        </w:rPr>
        <w:t xml:space="preserve">Tadqiqot savoli va faraz:</w:t>
      </w:r>
      <w:r>
        <w:t xml:space="preserve"> ... </w:t>
      </w:r>
      <w:r>
        <w:rPr>
          <w:b/>
        </w:rPr>
        <w:t xml:space="preserve">Nashr turi, til va so‘z soni:</w:t>
      </w:r>
      <w:r>
        <w:t xml:space="preserve"> ... </w:t>
      </w:r>
      <w:r>
        <w:rPr>
          <w:b/>
        </w:rPr>
        <w:t xml:space="preserve">Havola uslubi va jurnal talablari:</w:t>
      </w:r>
      <w:r>
        <w:t xml:space="preserve"> ... </w:t>
      </w:r>
      <w:r>
        <w:rPr>
          <w:b/>
        </w:rPr>
        <w:t xml:space="preserve">Obyekt va davr:</w:t>
      </w:r>
      <w:r>
        <w:t xml:space="preserve"> ... </w:t>
      </w:r>
      <w:r>
        <w:rPr>
          <w:b/>
        </w:rPr>
        <w:t xml:space="preserve">Mening ma’lumotlarim va manbalarim:</w:t>
      </w:r>
      <w:r>
        <w:t xml:space="preserve"> ... </w:t>
      </w:r>
      <w:r>
        <w:rPr>
          <w:b/>
        </w:rPr>
        <w:t xml:space="preserve">Rahbar talablari:</w:t>
      </w:r>
      <w:r>
        <w:t xml:space="preserve"> ...</w:t>
      </w:r>
    </w:p>
    <w:p>
      <w:pPr>
        <w:pStyle w:val="Heading2"/>
      </w:pPr>
      <w:r>
        <w:t xml:space="preserve">14. Halollik va chegaralar</w:t>
      </w:r>
    </w:p>
    <w:p>
      <w:pPr>
        <w:pStyle w:val="ListParagraph"/>
        <w:numPr>
          <w:ilvl w:val="0"/>
          <w:numId w:val="12"/>
        </w:numPr>
      </w:pPr>
      <w:r>
        <w:t xml:space="preserve">AI tekshiruvdan o‘tkazib yuborish maqsadida emas, sifat uchun yozadi. Detektor yoki antiplagiat natijasini kafolatlamaydi va shunday va’da bermaydi.</w:t>
      </w:r>
    </w:p>
    <w:p>
      <w:pPr>
        <w:pStyle w:val="ListParagraph"/>
        <w:numPr>
          <w:ilvl w:val="0"/>
          <w:numId w:val="12"/>
        </w:numPr>
      </w:pPr>
      <w:r>
        <w:t xml:space="preserve">AI yordami qaysi darajada ishlatilgani muallif tomonidan universitet yoki jurnal qoidalariga muvofiq ma’lum qilinadi.</w:t>
      </w:r>
    </w:p>
    <w:p>
      <w:pPr>
        <w:pStyle w:val="ListParagraph"/>
        <w:numPr>
          <w:ilvl w:val="0"/>
          <w:numId w:val="12"/>
        </w:numPr>
      </w:pPr>
      <w:r>
        <w:t xml:space="preserve">Yakuniy javobgarlik muallifda: raqamlar, havolalar, xulosalar va taklif muallif tomonidan tekshirilib, o‘ziniki sifatida qabul qilinadi.</w:t>
      </w:r>
    </w:p>
    <w:p>
      <w:pPr>
        <w:pStyle w:val="ListParagraph"/>
        <w:numPr>
          <w:ilvl w:val="0"/>
          <w:numId w:val="12"/>
        </w:numPr>
      </w:pPr>
      <w:r>
        <w:t xml:space="preserve">Rasmiy antiplagiat tekshiruvi universitet yoki jurnal tizimida o‘tkaziladi.</w:t>
      </w:r>
    </w:p>
    <w:p>
      <w:pPr>
        <w:pStyle w:val="Heading2"/>
      </w:pPr>
      <w:r>
        <w:t xml:space="preserve">15. Antiplagiat va AI-tekshiruvga to‘g‘ri yondashuv</w:t>
      </w:r>
    </w:p>
    <w:p>
      <w:pPr/>
      <w:r>
        <w:t xml:space="preserve">AI-detektorlardan «sezdirmaslik» yoki antiplagiatdan «o‘tkazish» maqsadida matn yozilmaydi va bunday natija kafolatlanmaydi. Matnni sun’iy buzish, sinonimlar bilan almashtirish, belgilarni o‘zgartirish va avtomatik «humanizer» vositalari mazmunni yomonlashtiradi, xato kiritadi va akademik halollikni buzadi. Asosiy yo‘l esa tekshiruvda haqiqatan ham xavf tug‘diradigan sabablarni bartaraf etishdir.</w:t>
      </w:r>
    </w:p>
    <w:p>
      <w:pPr>
        <w:pStyle w:val="ListParagraph"/>
        <w:numPr>
          <w:ilvl w:val="0"/>
          <w:numId w:val="13"/>
        </w:numPr>
      </w:pPr>
      <w:r>
        <w:rPr>
          <w:b/>
        </w:rPr>
        <w:t xml:space="preserve">Antiplagiat tizimi nimani ushlaydi:</w:t>
      </w:r>
      <w:r>
        <w:t xml:space="preserve"> boshqa matnga yaqin jumlalar, ko‘chirma va parafraz, ro‘yxatdagi umumiy ibora va ta’riflar. Kamaytirish yo‘li: o‘z so‘zingiz bilan qisqa bayon, aniq iqtibos va havola, ta’riflarni minimal darajada berish, o‘z ma’lumot va tahlilingizni qo‘shish.</w:t>
      </w:r>
    </w:p>
    <w:p>
      <w:pPr>
        <w:pStyle w:val="ListParagraph"/>
        <w:numPr>
          <w:ilvl w:val="0"/>
          <w:numId w:val="13"/>
        </w:numPr>
      </w:pPr>
      <w:r>
        <w:rPr>
          <w:b/>
        </w:rPr>
        <w:t xml:space="preserve">Iqtibos qoidasi:</w:t>
      </w:r>
      <w:r>
        <w:t xml:space="preserve"> so‘zma-so‘z ko‘chirma qisqa bo‘ladi, qo‘shtirnoqda va havola bilan; uzun bayon manbaga havola qilingan holda o‘z tilingizda qayta aytiladi.</w:t>
      </w:r>
    </w:p>
    <w:p>
      <w:pPr>
        <w:pStyle w:val="ListParagraph"/>
        <w:numPr>
          <w:ilvl w:val="0"/>
          <w:numId w:val="13"/>
        </w:numPr>
      </w:pPr>
      <w:r>
        <w:rPr>
          <w:b/>
        </w:rPr>
        <w:t xml:space="preserve">Hisobotni to‘g‘ri o‘qing:</w:t>
      </w:r>
      <w:r>
        <w:t xml:space="preserve"> o‘xshashlik foizi o‘zi bilan ayb emas. Manba ro‘yxati, qonun matni va standart ibora ham o‘xshashlik beradi. Qaysi bo‘laklar belgilanganini ko‘rib, haqiqiy muammoni rahbar bilan baholang.</w:t>
      </w:r>
    </w:p>
    <w:p>
      <w:pPr>
        <w:pStyle w:val="ListParagraph"/>
        <w:numPr>
          <w:ilvl w:val="0"/>
          <w:numId w:val="13"/>
        </w:numPr>
      </w:pPr>
      <w:r>
        <w:rPr>
          <w:b/>
        </w:rPr>
        <w:t xml:space="preserve">AI-detektor ishonchsiz:</w:t>
      </w:r>
      <w:r>
        <w:t xml:space="preserve"> u noto‘g‘ri musbat natija berishi mumkin (ayniqsa ikkinchi tilda yozilgan yoki rasmiy uslubdagi matnlarda). Shu sababli uni dalil emas, ishora deb qarang.</w:t>
      </w:r>
    </w:p>
    <w:p>
      <w:pPr>
        <w:pStyle w:val="ListParagraph"/>
        <w:numPr>
          <w:ilvl w:val="0"/>
          <w:numId w:val="13"/>
        </w:numPr>
      </w:pPr>
      <w:r>
        <w:rPr>
          <w:b/>
        </w:rPr>
        <w:t xml:space="preserve">Mualliflikni tasdiqlovchi izlar:</w:t>
      </w:r>
      <w:r>
        <w:t xml:space="preserve"> qoralamalar, versiya tarixi, xom ma’lumot, hisoblar, kod va manbalardan qilingan qaydlar saqlanadi. Muallif matnning har bir qismini tushuntira olishi kerak.</w:t>
      </w:r>
    </w:p>
    <w:p>
      <w:pPr>
        <w:pStyle w:val="ListParagraph"/>
        <w:numPr>
          <w:ilvl w:val="0"/>
          <w:numId w:val="13"/>
        </w:numPr>
      </w:pPr>
      <w:r>
        <w:rPr>
          <w:b/>
        </w:rPr>
        <w:t xml:space="preserve">Erta tekshiring:</w:t>
      </w:r>
      <w:r>
        <w:t xml:space="preserve"> yakuniy topshirishdan oldin rasmiy tizimda tekshiruv o‘tkazing, natijani rahbar bilan muhokama qiling va kerak bo‘lsa mazmunan qayta ishlang.</w:t>
      </w:r>
    </w:p>
    <w:p>
      <w:pPr>
        <w:pStyle w:val="ListParagraph"/>
        <w:numPr>
          <w:ilvl w:val="0"/>
          <w:numId w:val="13"/>
        </w:numPr>
      </w:pPr>
      <w:r>
        <w:rPr>
          <w:b/>
        </w:rPr>
        <w:t xml:space="preserve">Ochiq ma’lum qiling:</w:t>
      </w:r>
      <w:r>
        <w:t xml:space="preserve"> AI vositasidan foydalanilgan bo‘lsa, universitet yoki jurnal qoidalariga muvofiq qaysi qismlarda va qanday ishlatilgani yoziladi.</w:t>
      </w:r>
    </w:p>
    <w:p>
      <w:pPr>
        <w:pStyle w:val="ListParagraph"/>
        <w:numPr>
          <w:ilvl w:val="0"/>
          <w:numId w:val="13"/>
        </w:numPr>
      </w:pPr>
      <w:r>
        <w:rPr>
          <w:b/>
        </w:rPr>
        <w:t xml:space="preserve">Yagona to‘g‘ri yo‘l:</w:t>
      </w:r>
      <w:r>
        <w:t xml:space="preserve"> matnga muallifning o‘z tadqiqoti, hisobi yoki tahlilini qo‘shish. Haqiqiy originallik tekshiruvdan o‘tishning eng ishonchli ham, eng halol ham yo‘li.</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Dissertatsiya bobi va ilmiy maqola yozish bo‘yicha universal qo‘llanma (AI va mu</dc:title>
  <dc:description>Claude Docs node/26018c78-de93@16 docx-w6</dc:description>
  <cp:revision>16</cp:revision>
</cp:coreProperties>
</file>