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F4E79"/>
          <w:sz w:val="32"/>
        </w:rPr>
        <w:t>KICHIK VA O‘RTA TADBIRKORLIKDA DAVLAT-XUSUSIY SHERIKLIK (DXSh):</w:t>
        <w:br/>
        <w:t>EMPIRIK DALILLAR, STATISTIKA VA XALQARO TAJRIBA TAHLILI</w:t>
      </w:r>
    </w:p>
    <w:p>
      <w:pPr>
        <w:spacing w:after="360"/>
        <w:jc w:val="center"/>
      </w:pPr>
      <w:r>
        <w:rPr>
          <w:i/>
          <w:color w:val="646464"/>
          <w:sz w:val="21"/>
        </w:rPr>
        <w:t>(Z.Tangriyeva dissertatsiyasi 1-bobi tadqiqotini asoslash va dalillash uchun tayyorlangan material)</w:t>
      </w:r>
    </w:p>
    <w:tbl>
      <w:tblPr>
        <w:tblW w:type="auto" w:w="0"/>
        <w:jc w:val="center"/>
        <w:tblLook w:firstColumn="1" w:firstRow="1" w:lastColumn="0" w:lastRow="0" w:noHBand="0" w:noVBand="1" w:val="04A0"/>
      </w:tblPr>
      <w:tblGrid>
        <w:gridCol w:w="9360"/>
      </w:tblGrid>
      <w:tr>
        <w:tc>
          <w:tcPr>
            <w:tcW w:type="dxa" w:w="9360"/>
            <w:shd w:fill="F2F5F8" w:val="clear"/>
            <w:tcMar>
              <w:top w:w="140" w:type="dxa"/>
              <w:bottom w:w="140" w:type="dxa"/>
              <w:left w:w="200" w:type="dxa"/>
              <w:right w:w="200" w:type="dxa"/>
            </w:tcMar>
          </w:tcPr>
          <w:p>
            <w:pPr>
              <w:spacing w:after="0"/>
            </w:pPr>
            <w:r>
              <w:rPr>
                <w:b/>
                <w:color w:val="1F4E79"/>
              </w:rPr>
              <w:t xml:space="preserve">Hujjatning qisqacha maqsadi: </w:t>
            </w:r>
            <w:r>
              <w:t>Ushbu material magistrlik dissertatsiyasining 1-bobida keltirilgan g‘oyalarni internet va xalqaro moliya tashkilotlari (Jahon banki, OECD, Osiyo taraqqiyot banki, XVF va O‘zbekiston Iqtisodiyot va moliya vazirligi) rasmiy ma’lumotlari hamda empirik raqamlari bilan to‘liq asoslab berish uchun tuzilgan.</w:t>
            </w:r>
          </w:p>
        </w:tc>
      </w:tr>
    </w:tbl>
    <w:p>
      <w:pPr>
        <w:spacing w:after="240"/>
      </w:pPr>
    </w:p>
    <w:p>
      <w:pPr>
        <w:spacing w:before="280" w:after="120"/>
      </w:pPr>
      <w:r>
        <w:rPr>
          <w:b/>
          <w:color w:val="1F4E79"/>
          <w:sz w:val="27"/>
        </w:rPr>
        <w:t>1. O‘zbekistonda DXSh Tizimi va KOB Subyektlarining Ishtiroki: Rasmiy Ko‘rsatkichlar va Tizimli Tengsizlik</w:t>
      </w:r>
    </w:p>
    <w:p>
      <w:r>
        <w:rPr>
          <w:sz w:val="22"/>
        </w:rPr>
        <w:t xml:space="preserve">O‘zbekiston Respublikasi Milliy statistika qo‘mitasi ma’lumotlariga ko‘ra (2026-yil 1-yanvar holatiga), respublikada faoliyat ko‘rsatayotgan kichik tadbirkorlik subyektlarining umumiy soni </w:t>
      </w:r>
      <w:r>
        <w:rPr>
          <w:b/>
        </w:rPr>
        <w:t>1 201,6 mingtani</w:t>
      </w:r>
      <w:r>
        <w:t xml:space="preserve"> tashkil etadi. Shundan 493,0 mingtasini kichik korxonalar va mikrofirmalar, 284,4 mingtasini yakka tartibdagi tadbirkorlar va 395,6 mingtasini dehqon xo‘jaliklari tashkil qiladi. KOB sektori mamlakatda ish bilan band aholining 80% dan ortig‘ini va YaIMning salmoqli qismini ta’minlaydi. Biroq ushbu ulkan salohiyat DXSh mexanizmlariga hali to‘liq jalb etilmagan.</w:t>
      </w:r>
    </w:p>
    <w:p>
      <w:r>
        <w:rPr>
          <w:sz w:val="22"/>
        </w:rPr>
        <w:t xml:space="preserve">Xalqaro Valyuta Jamg‘armasi (XVF / IMF, 2025-yil iyul) e’lon qilgan hisobotga ko‘ra, O‘zbekistonda DXSh loyihalari portfeli 2021-yildagi </w:t>
      </w:r>
      <w:r>
        <w:rPr>
          <w:b/>
        </w:rPr>
        <w:t>6,2 milliard dollardan 2024-yilda 31,0 milliard dollargacha</w:t>
      </w:r>
      <w:r>
        <w:t xml:space="preserve"> tezkor ravishda kengaygan. Biroq ushbu portfelning tarmoqlar bo‘yicha taqsimlanishi o‘ta keskin nomutanosiblikni ko‘rsatadi:</w:t>
      </w:r>
    </w:p>
    <w:p>
      <w:pPr>
        <w:pStyle w:val="ListBullet"/>
      </w:pPr>
      <w:r>
        <w:rPr>
          <w:b/>
        </w:rPr>
        <w:t xml:space="preserve">Energetika sohasi: </w:t>
      </w:r>
      <w:r>
        <w:t xml:space="preserve">Barcha DXSh loyihalarining </w:t>
      </w:r>
      <w:r>
        <w:rPr>
          <w:b/>
        </w:rPr>
        <w:t>93% qismini</w:t>
      </w:r>
      <w:r>
        <w:t xml:space="preserve"> tashkil etadi (yirik quyosh, shamol va issiqlik elektr stansiyalari).</w:t>
      </w:r>
    </w:p>
    <w:p>
      <w:pPr>
        <w:pStyle w:val="ListBullet"/>
      </w:pPr>
      <w:r>
        <w:rPr>
          <w:b/>
        </w:rPr>
        <w:t xml:space="preserve">Kommunal xizmatlar: </w:t>
      </w:r>
      <w:r>
        <w:t xml:space="preserve">Loyihalarning </w:t>
      </w:r>
      <w:r>
        <w:rPr>
          <w:b/>
        </w:rPr>
        <w:t>5% qismi</w:t>
      </w:r>
      <w:r>
        <w:t xml:space="preserve"> (shahar issiqlik va suv ta’minoti tizimlarini modernizatsiya qilish).</w:t>
      </w:r>
    </w:p>
    <w:p>
      <w:pPr>
        <w:pStyle w:val="ListBullet"/>
      </w:pPr>
      <w:r>
        <w:rPr>
          <w:b/>
        </w:rPr>
        <w:t xml:space="preserve">Ijtimoiy soha va ta’lim: </w:t>
      </w:r>
      <w:r>
        <w:t xml:space="preserve">Atigi </w:t>
      </w:r>
      <w:r>
        <w:rPr>
          <w:b/>
        </w:rPr>
        <w:t>0,8% qismini</w:t>
      </w:r>
      <w:r>
        <w:t xml:space="preserve"> tashkil qiladi.</w:t>
      </w:r>
    </w:p>
    <w:p>
      <w:r>
        <w:t>Ushbu statistik ko‘rsatkich dissertatsiyaning 1-bobida ilgari surilgan asosiy g‘oyani — ya’ni amaldagi DXSh amaliyoti asosan yirik infratuzilma kompaniyalariga va energetika sektoriga yo‘naltirilgani, KOB subyektlari mos keladigan ijtimoiy va mahalliy ob’yektlar esa tizimdan chetda qolayotganini rad etib bo‘lmas dalil sifatida tasdiqlaydi.</w:t>
      </w:r>
    </w:p>
    <w:p>
      <w:pPr>
        <w:spacing w:after="80"/>
      </w:pPr>
    </w:p>
    <w:p>
      <w:r>
        <w:rPr>
          <w:b/>
          <w:color w:val="1F4E79"/>
          <w:sz w:val="21"/>
        </w:rPr>
        <w:t>1-jadval. O‘zbekistonda 2026-yil 1-choragida imzolangan DXSh loyihalarining tarmoqlar kesimidagi tahlili</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1F4E79" w:val="clear"/>
            <w:tcMar>
              <w:top w:w="100" w:type="dxa"/>
              <w:bottom w:w="100" w:type="dxa"/>
              <w:left w:w="120" w:type="dxa"/>
              <w:right w:w="120" w:type="dxa"/>
            </w:tcMar>
          </w:tcPr>
          <w:p>
            <w:pPr>
              <w:jc w:val="left"/>
            </w:pPr>
            <w:r>
              <w:rPr>
                <w:b/>
                <w:color w:val="FFFFFF"/>
                <w:sz w:val="20"/>
              </w:rPr>
              <w:t>Soha / Tarmoq</w:t>
            </w:r>
          </w:p>
        </w:tc>
        <w:tc>
          <w:tcPr>
            <w:tcW w:type="dxa" w:w="1728"/>
            <w:shd w:fill="1F4E79" w:val="clear"/>
            <w:tcMar>
              <w:top w:w="100" w:type="dxa"/>
              <w:bottom w:w="100" w:type="dxa"/>
              <w:left w:w="120" w:type="dxa"/>
              <w:right w:w="120" w:type="dxa"/>
            </w:tcMar>
          </w:tcPr>
          <w:p>
            <w:pPr>
              <w:jc w:val="left"/>
            </w:pPr>
            <w:r>
              <w:rPr>
                <w:b/>
                <w:color w:val="FFFFFF"/>
                <w:sz w:val="20"/>
              </w:rPr>
              <w:t>Loyihalar soni</w:t>
            </w:r>
          </w:p>
        </w:tc>
        <w:tc>
          <w:tcPr>
            <w:tcW w:type="dxa" w:w="2160"/>
            <w:shd w:fill="1F4E79" w:val="clear"/>
            <w:tcMar>
              <w:top w:w="100" w:type="dxa"/>
              <w:bottom w:w="100" w:type="dxa"/>
              <w:left w:w="120" w:type="dxa"/>
              <w:right w:w="120" w:type="dxa"/>
            </w:tcMar>
          </w:tcPr>
          <w:p>
            <w:pPr>
              <w:jc w:val="left"/>
            </w:pPr>
            <w:r>
              <w:rPr>
                <w:b/>
                <w:color w:val="FFFFFF"/>
                <w:sz w:val="20"/>
              </w:rPr>
              <w:t>Umumiy qiymati</w:t>
            </w:r>
          </w:p>
        </w:tc>
        <w:tc>
          <w:tcPr>
            <w:tcW w:type="dxa" w:w="2880"/>
            <w:shd w:fill="1F4E79" w:val="clear"/>
            <w:tcMar>
              <w:top w:w="100" w:type="dxa"/>
              <w:bottom w:w="100" w:type="dxa"/>
              <w:left w:w="120" w:type="dxa"/>
              <w:right w:w="120" w:type="dxa"/>
            </w:tcMar>
          </w:tcPr>
          <w:p>
            <w:pPr>
              <w:jc w:val="left"/>
            </w:pPr>
            <w:r>
              <w:rPr>
                <w:b/>
                <w:color w:val="FFFFFF"/>
                <w:sz w:val="20"/>
              </w:rPr>
              <w:t>KOB uchun ahamiyati</w:t>
            </w:r>
          </w:p>
        </w:tc>
      </w:tr>
      <w:tr>
        <w:tc>
          <w:tcPr>
            <w:tcW w:type="dxa" w:w="2592"/>
            <w:shd w:fill="F9FAFC" w:val="clear"/>
            <w:tcMar>
              <w:top w:w="80" w:type="dxa"/>
              <w:bottom w:w="80" w:type="dxa"/>
              <w:left w:w="120" w:type="dxa"/>
              <w:right w:w="120" w:type="dxa"/>
            </w:tcMar>
          </w:tcPr>
          <w:p>
            <w:pPr>
              <w:jc w:val="left"/>
            </w:pPr>
            <w:r>
              <w:rPr>
                <w:sz w:val="19"/>
              </w:rPr>
              <w:t>Ta’lim sohasi</w:t>
            </w:r>
          </w:p>
        </w:tc>
        <w:tc>
          <w:tcPr>
            <w:tcW w:type="dxa" w:w="1728"/>
            <w:shd w:fill="F9FAFC" w:val="clear"/>
            <w:tcMar>
              <w:top w:w="80" w:type="dxa"/>
              <w:bottom w:w="80" w:type="dxa"/>
              <w:left w:w="120" w:type="dxa"/>
              <w:right w:w="120" w:type="dxa"/>
            </w:tcMar>
          </w:tcPr>
          <w:p>
            <w:pPr>
              <w:jc w:val="left"/>
            </w:pPr>
            <w:r>
              <w:rPr>
                <w:sz w:val="19"/>
              </w:rPr>
              <w:t>33 ta loyiha</w:t>
            </w:r>
          </w:p>
        </w:tc>
        <w:tc>
          <w:tcPr>
            <w:tcW w:type="dxa" w:w="2160"/>
            <w:shd w:fill="F9FAFC" w:val="clear"/>
            <w:tcMar>
              <w:top w:w="80" w:type="dxa"/>
              <w:bottom w:w="80" w:type="dxa"/>
              <w:left w:w="120" w:type="dxa"/>
              <w:right w:w="120" w:type="dxa"/>
            </w:tcMar>
          </w:tcPr>
          <w:p>
            <w:pPr>
              <w:jc w:val="left"/>
            </w:pPr>
            <w:r>
              <w:rPr>
                <w:sz w:val="19"/>
              </w:rPr>
              <w:t>24,8 mln USD</w:t>
            </w:r>
          </w:p>
        </w:tc>
        <w:tc>
          <w:tcPr>
            <w:tcW w:type="dxa" w:w="2880"/>
            <w:shd w:fill="F9FAFC" w:val="clear"/>
            <w:tcMar>
              <w:top w:w="80" w:type="dxa"/>
              <w:bottom w:w="80" w:type="dxa"/>
              <w:left w:w="120" w:type="dxa"/>
              <w:right w:w="120" w:type="dxa"/>
            </w:tcMar>
          </w:tcPr>
          <w:p>
            <w:pPr>
              <w:jc w:val="left"/>
            </w:pPr>
            <w:r>
              <w:rPr>
                <w:sz w:val="19"/>
              </w:rPr>
              <w:t>O‘rtacha loyiha $0.75M — KOB uchun mos boshqaruv va servis shartnomalari</w:t>
            </w:r>
          </w:p>
        </w:tc>
      </w:tr>
      <w:tr>
        <w:tc>
          <w:tcPr>
            <w:tcW w:type="dxa" w:w="2592"/>
            <w:shd w:fill="FFFFFF" w:val="clear"/>
            <w:tcMar>
              <w:top w:w="80" w:type="dxa"/>
              <w:bottom w:w="80" w:type="dxa"/>
              <w:left w:w="120" w:type="dxa"/>
              <w:right w:w="120" w:type="dxa"/>
            </w:tcMar>
          </w:tcPr>
          <w:p>
            <w:pPr>
              <w:jc w:val="left"/>
            </w:pPr>
            <w:r>
              <w:rPr>
                <w:sz w:val="19"/>
              </w:rPr>
              <w:t>Qishloq xo‘jaligi</w:t>
            </w:r>
          </w:p>
        </w:tc>
        <w:tc>
          <w:tcPr>
            <w:tcW w:type="dxa" w:w="1728"/>
            <w:shd w:fill="FFFFFF" w:val="clear"/>
            <w:tcMar>
              <w:top w:w="80" w:type="dxa"/>
              <w:bottom w:w="80" w:type="dxa"/>
              <w:left w:w="120" w:type="dxa"/>
              <w:right w:w="120" w:type="dxa"/>
            </w:tcMar>
          </w:tcPr>
          <w:p>
            <w:pPr>
              <w:jc w:val="left"/>
            </w:pPr>
            <w:r>
              <w:rPr>
                <w:sz w:val="19"/>
              </w:rPr>
              <w:t>8 ta loyiha</w:t>
            </w:r>
          </w:p>
        </w:tc>
        <w:tc>
          <w:tcPr>
            <w:tcW w:type="dxa" w:w="2160"/>
            <w:shd w:fill="FFFFFF" w:val="clear"/>
            <w:tcMar>
              <w:top w:w="80" w:type="dxa"/>
              <w:bottom w:w="80" w:type="dxa"/>
              <w:left w:w="120" w:type="dxa"/>
              <w:right w:w="120" w:type="dxa"/>
            </w:tcMar>
          </w:tcPr>
          <w:p>
            <w:pPr>
              <w:jc w:val="left"/>
            </w:pPr>
            <w:r>
              <w:rPr>
                <w:sz w:val="19"/>
              </w:rPr>
              <w:t>0,3 mln USD</w:t>
            </w:r>
          </w:p>
        </w:tc>
        <w:tc>
          <w:tcPr>
            <w:tcW w:type="dxa" w:w="2880"/>
            <w:shd w:fill="FFFFFF" w:val="clear"/>
            <w:tcMar>
              <w:top w:w="80" w:type="dxa"/>
              <w:bottom w:w="80" w:type="dxa"/>
              <w:left w:w="120" w:type="dxa"/>
              <w:right w:w="120" w:type="dxa"/>
            </w:tcMar>
          </w:tcPr>
          <w:p>
            <w:pPr>
              <w:jc w:val="left"/>
            </w:pPr>
            <w:r>
              <w:rPr>
                <w:sz w:val="19"/>
              </w:rPr>
              <w:t>Kichik agro-servis va qayta ishlash obyektlari</w:t>
            </w:r>
          </w:p>
        </w:tc>
      </w:tr>
      <w:tr>
        <w:tc>
          <w:tcPr>
            <w:tcW w:type="dxa" w:w="2592"/>
            <w:shd w:fill="F9FAFC" w:val="clear"/>
            <w:tcMar>
              <w:top w:w="80" w:type="dxa"/>
              <w:bottom w:w="80" w:type="dxa"/>
              <w:left w:w="120" w:type="dxa"/>
              <w:right w:w="120" w:type="dxa"/>
            </w:tcMar>
          </w:tcPr>
          <w:p>
            <w:pPr>
              <w:jc w:val="left"/>
            </w:pPr>
            <w:r>
              <w:rPr>
                <w:sz w:val="19"/>
              </w:rPr>
              <w:t>Sport va madaniyat</w:t>
            </w:r>
          </w:p>
        </w:tc>
        <w:tc>
          <w:tcPr>
            <w:tcW w:type="dxa" w:w="1728"/>
            <w:shd w:fill="F9FAFC" w:val="clear"/>
            <w:tcMar>
              <w:top w:w="80" w:type="dxa"/>
              <w:bottom w:w="80" w:type="dxa"/>
              <w:left w:w="120" w:type="dxa"/>
              <w:right w:w="120" w:type="dxa"/>
            </w:tcMar>
          </w:tcPr>
          <w:p>
            <w:pPr>
              <w:jc w:val="left"/>
            </w:pPr>
            <w:r>
              <w:rPr>
                <w:sz w:val="19"/>
              </w:rPr>
              <w:t>9 ta loyiha</w:t>
            </w:r>
          </w:p>
        </w:tc>
        <w:tc>
          <w:tcPr>
            <w:tcW w:type="dxa" w:w="2160"/>
            <w:shd w:fill="F9FAFC" w:val="clear"/>
            <w:tcMar>
              <w:top w:w="80" w:type="dxa"/>
              <w:bottom w:w="80" w:type="dxa"/>
              <w:left w:w="120" w:type="dxa"/>
              <w:right w:w="120" w:type="dxa"/>
            </w:tcMar>
          </w:tcPr>
          <w:p>
            <w:pPr>
              <w:jc w:val="left"/>
            </w:pPr>
            <w:r>
              <w:rPr>
                <w:sz w:val="19"/>
              </w:rPr>
              <w:t>3,9 mln USD</w:t>
            </w:r>
          </w:p>
        </w:tc>
        <w:tc>
          <w:tcPr>
            <w:tcW w:type="dxa" w:w="2880"/>
            <w:shd w:fill="F9FAFC" w:val="clear"/>
            <w:tcMar>
              <w:top w:w="80" w:type="dxa"/>
              <w:bottom w:w="80" w:type="dxa"/>
              <w:left w:w="120" w:type="dxa"/>
              <w:right w:w="120" w:type="dxa"/>
            </w:tcMar>
          </w:tcPr>
          <w:p>
            <w:pPr>
              <w:jc w:val="left"/>
            </w:pPr>
            <w:r>
              <w:rPr>
                <w:sz w:val="19"/>
              </w:rPr>
              <w:t>Mahalliy sport va madaniyat maskanlarini ijara/boshqaruvga berish</w:t>
            </w:r>
          </w:p>
        </w:tc>
      </w:tr>
      <w:tr>
        <w:tc>
          <w:tcPr>
            <w:tcW w:type="dxa" w:w="2592"/>
            <w:shd w:fill="FFFFFF" w:val="clear"/>
            <w:tcMar>
              <w:top w:w="80" w:type="dxa"/>
              <w:bottom w:w="80" w:type="dxa"/>
              <w:left w:w="120" w:type="dxa"/>
              <w:right w:w="120" w:type="dxa"/>
            </w:tcMar>
          </w:tcPr>
          <w:p>
            <w:pPr>
              <w:jc w:val="left"/>
            </w:pPr>
            <w:r>
              <w:rPr>
                <w:sz w:val="19"/>
              </w:rPr>
              <w:t>Sog‘liqni saqlash</w:t>
            </w:r>
          </w:p>
        </w:tc>
        <w:tc>
          <w:tcPr>
            <w:tcW w:type="dxa" w:w="1728"/>
            <w:shd w:fill="FFFFFF" w:val="clear"/>
            <w:tcMar>
              <w:top w:w="80" w:type="dxa"/>
              <w:bottom w:w="80" w:type="dxa"/>
              <w:left w:w="120" w:type="dxa"/>
              <w:right w:w="120" w:type="dxa"/>
            </w:tcMar>
          </w:tcPr>
          <w:p>
            <w:pPr>
              <w:jc w:val="left"/>
            </w:pPr>
            <w:r>
              <w:rPr>
                <w:sz w:val="19"/>
              </w:rPr>
              <w:t>3 ta loyiha</w:t>
            </w:r>
          </w:p>
        </w:tc>
        <w:tc>
          <w:tcPr>
            <w:tcW w:type="dxa" w:w="2160"/>
            <w:shd w:fill="FFFFFF" w:val="clear"/>
            <w:tcMar>
              <w:top w:w="80" w:type="dxa"/>
              <w:bottom w:w="80" w:type="dxa"/>
              <w:left w:w="120" w:type="dxa"/>
              <w:right w:w="120" w:type="dxa"/>
            </w:tcMar>
          </w:tcPr>
          <w:p>
            <w:pPr>
              <w:jc w:val="left"/>
            </w:pPr>
            <w:r>
              <w:rPr>
                <w:sz w:val="19"/>
              </w:rPr>
              <w:t>1,4 mln USD</w:t>
            </w:r>
          </w:p>
        </w:tc>
        <w:tc>
          <w:tcPr>
            <w:tcW w:type="dxa" w:w="2880"/>
            <w:shd w:fill="FFFFFF" w:val="clear"/>
            <w:tcMar>
              <w:top w:w="80" w:type="dxa"/>
              <w:bottom w:w="80" w:type="dxa"/>
              <w:left w:w="120" w:type="dxa"/>
              <w:right w:w="120" w:type="dxa"/>
            </w:tcMar>
          </w:tcPr>
          <w:p>
            <w:pPr>
              <w:jc w:val="left"/>
            </w:pPr>
            <w:r>
              <w:rPr>
                <w:sz w:val="19"/>
              </w:rPr>
              <w:t>Tibbiy servis, gemodializ va laboratoriya xizmatlarini autsorsing qilish</w:t>
            </w:r>
          </w:p>
        </w:tc>
      </w:tr>
      <w:tr>
        <w:tc>
          <w:tcPr>
            <w:tcW w:type="dxa" w:w="2592"/>
            <w:shd w:fill="F9FAFC" w:val="clear"/>
            <w:tcMar>
              <w:top w:w="80" w:type="dxa"/>
              <w:bottom w:w="80" w:type="dxa"/>
              <w:left w:w="120" w:type="dxa"/>
              <w:right w:w="120" w:type="dxa"/>
            </w:tcMar>
          </w:tcPr>
          <w:p>
            <w:pPr>
              <w:jc w:val="left"/>
            </w:pPr>
            <w:r>
              <w:rPr>
                <w:sz w:val="19"/>
              </w:rPr>
              <w:t>Energetika va Transport</w:t>
            </w:r>
          </w:p>
        </w:tc>
        <w:tc>
          <w:tcPr>
            <w:tcW w:type="dxa" w:w="1728"/>
            <w:shd w:fill="F9FAFC" w:val="clear"/>
            <w:tcMar>
              <w:top w:w="80" w:type="dxa"/>
              <w:bottom w:w="80" w:type="dxa"/>
              <w:left w:w="120" w:type="dxa"/>
              <w:right w:w="120" w:type="dxa"/>
            </w:tcMar>
          </w:tcPr>
          <w:p>
            <w:pPr>
              <w:jc w:val="left"/>
            </w:pPr>
            <w:r>
              <w:rPr>
                <w:sz w:val="19"/>
              </w:rPr>
              <w:t>12 ta loyiha</w:t>
            </w:r>
          </w:p>
        </w:tc>
        <w:tc>
          <w:tcPr>
            <w:tcW w:type="dxa" w:w="2160"/>
            <w:shd w:fill="F9FAFC" w:val="clear"/>
            <w:tcMar>
              <w:top w:w="80" w:type="dxa"/>
              <w:bottom w:w="80" w:type="dxa"/>
              <w:left w:w="120" w:type="dxa"/>
              <w:right w:w="120" w:type="dxa"/>
            </w:tcMar>
          </w:tcPr>
          <w:p>
            <w:pPr>
              <w:jc w:val="left"/>
            </w:pPr>
            <w:r>
              <w:rPr>
                <w:sz w:val="19"/>
              </w:rPr>
              <w:t>491,0 mln USD</w:t>
            </w:r>
          </w:p>
        </w:tc>
        <w:tc>
          <w:tcPr>
            <w:tcW w:type="dxa" w:w="2880"/>
            <w:shd w:fill="F9FAFC" w:val="clear"/>
            <w:tcMar>
              <w:top w:w="80" w:type="dxa"/>
              <w:bottom w:w="80" w:type="dxa"/>
              <w:left w:w="120" w:type="dxa"/>
              <w:right w:w="120" w:type="dxa"/>
            </w:tcMar>
          </w:tcPr>
          <w:p>
            <w:pPr>
              <w:jc w:val="left"/>
            </w:pPr>
            <w:r>
              <w:rPr>
                <w:sz w:val="19"/>
              </w:rPr>
              <w:t>Yirik xalqaro konsorsiumlar va korporatsiyalar monopoliyasi</w:t>
            </w:r>
          </w:p>
        </w:tc>
      </w:tr>
    </w:tbl>
    <w:p>
      <w:pPr>
        <w:spacing w:after="240"/>
      </w:pPr>
      <w:r>
        <w:rPr>
          <w:i/>
          <w:sz w:val="18"/>
        </w:rPr>
        <w:t>Manba: O‘zbekiston Respublikasi Iqtisodiyot va moliya vazirligi rasmiy axboroti asosida tuzildi (2026-yil mart).</w:t>
      </w:r>
    </w:p>
    <w:p>
      <w:pPr>
        <w:spacing w:before="280" w:after="120"/>
      </w:pPr>
      <w:r>
        <w:rPr>
          <w:b/>
          <w:color w:val="1F4E79"/>
          <w:sz w:val="27"/>
        </w:rPr>
        <w:t>2. Rivojlangan Mamlakatlarda KOB va DXSh Integratsiyasining Empirik Modellari</w:t>
      </w:r>
    </w:p>
    <w:p>
      <w:r>
        <w:t>Xorijiy amaliyot shuni ko‘rsatadiki, kichik va o‘rta biznes subyektlari davlat bilan sheriklikka o‘z-o‘zidan kirib kela olmaydi. Buning uchun davlat darajasida maxsus rag‘batlantiruvchi va himoya qiluvchi mexanizmlar joriy etilgan:</w:t>
      </w:r>
    </w:p>
    <w:p>
      <w:r>
        <w:rPr>
          <w:b/>
        </w:rPr>
        <w:t xml:space="preserve">a) Germaniya tajribasi (Munitsipal loyihalarni lotlarga ajratish — Lot Splitting / Losaufteilung): </w:t>
      </w:r>
      <w:r>
        <w:t xml:space="preserve">Germaniya davlat xaridlari va DXSh to‘g‘risidagi qonunchiligiga ko‘ra (GWB § 97), munitsipal ob’yektlar (maktablar energiya auditi, yo‘llarni saqlash, mahalliy sport majmualari) loyihalari majburiy ravishda </w:t>
      </w:r>
      <w:r>
        <w:rPr>
          <w:b/>
        </w:rPr>
        <w:t>kichik funksional va hududiy lotlarga ajratiladi</w:t>
      </w:r>
      <w:r>
        <w:t>. Bu yirik xoldinglarning mayda loyihalarni egallashiga yo‘l qo‘ymaydi va mahalliy KOB subyektlarining to‘g‘ridan-to‘g‘ri tenderlarda g‘olib chiqishini ta’minlaydi.</w:t>
      </w:r>
    </w:p>
    <w:p>
      <w:r>
        <w:rPr>
          <w:b/>
        </w:rPr>
        <w:t xml:space="preserve">b) Buyuk Britaniya tajribasi (Majburiy subpudrat qoidalari va Mavjudlik to‘lovlari): </w:t>
      </w:r>
      <w:r>
        <w:t xml:space="preserve">Buyuk Britaniyada yirik DXSh (PFI/PF2) loyihalarini yutgan bosh konsorsiumlar oldiga loyiha umumiy qiymatining </w:t>
      </w:r>
      <w:r>
        <w:rPr>
          <w:b/>
        </w:rPr>
        <w:t>kamida 20-30% qismini</w:t>
      </w:r>
      <w:r>
        <w:t xml:space="preserve"> mahalliy kichik va o‘rta korxonalarga subpudrat (sub-contracting) sifatida berish sharti qo‘yiladi. Shuningdek, OECD tadqiqotlariga ko‘ra, ijtimoiy ob’yektlarda 'Mavjudlik to‘lovlari' (availability payments) mexanizmi qo‘llaniladi, bu esa KOB subyektiga foydalanuvchilar sonidan qat’i nazar, xizmat ko‘rsatish sifati uchun davlatdan barqaror daromad olish imkonini beradi.</w:t>
      </w:r>
    </w:p>
    <w:p>
      <w:r>
        <w:rPr>
          <w:b/>
        </w:rPr>
        <w:t xml:space="preserve">c) Janubiy Koreya tajribasi (Kafolat jamg‘armalari va Soddalashtirilgan baholash): </w:t>
      </w:r>
      <w:r>
        <w:t xml:space="preserve">Janubiy Koreyada (KDI va KODIT jamg‘armalari) garov ta’minoti yetishmaydigan KOB subyektlari uchun davlat kredit-kafolat mexanizmi ishlaydi. Eng muhimi, qiymati 30 mln dollargacha bo‘lgan kichik social DXSh loyihalari uchun </w:t>
      </w:r>
      <w:r>
        <w:rPr>
          <w:b/>
        </w:rPr>
        <w:t>soddalashtirilgan texnik-iqtisodiy asoslash (simplified preliminary feasibility study)</w:t>
      </w:r>
      <w:r>
        <w:t xml:space="preserve"> tartibi joriy etilgan. Bu tender va tasdiqlash jarayonini 12-18 oydan 3-4 oyga qisqartiradi.</w:t>
      </w:r>
    </w:p>
    <w:p>
      <w:pPr>
        <w:spacing w:before="280" w:after="120"/>
      </w:pPr>
      <w:r>
        <w:rPr>
          <w:b/>
          <w:color w:val="1F4E79"/>
          <w:sz w:val="27"/>
        </w:rPr>
        <w:t>3. Tranzaksiya Xarajatlari Nazariyasi va KOB uchun Moslashuvchan DXSh Shartnoma Modellari</w:t>
      </w:r>
    </w:p>
    <w:p>
      <w:r>
        <w:t xml:space="preserve">R. Kouz va O. Uilyamsonning tranzaksiya xarajatlari nazariyasi ile E. Yescombe va Jahon banki tahlillariga ko‘ra, loyihani tayyorlash va tender o‘tkazish bo‘yicha tranzaksiya xarajatlari yirik loyihalarda ($100M+) umumiy qiymatning </w:t>
      </w:r>
      <w:r>
        <w:rPr>
          <w:b/>
        </w:rPr>
        <w:t>1-3% qismini</w:t>
      </w:r>
      <w:r>
        <w:t xml:space="preserve"> tashkil etsa, kichik loyihalarda bu ko‘rsatkich </w:t>
      </w:r>
      <w:r>
        <w:rPr>
          <w:b/>
        </w:rPr>
        <w:t>3-4% va undan yuqorini</w:t>
      </w:r>
      <w:r>
        <w:t xml:space="preserve"> tashkil etadi. Shuning uchun an’anaviy og‘ir BOT (Build-Operate-Transfer) va BOO modellari KOB uchun iqtisodiy jihatdan o‘zini oqlamaydi.</w:t>
      </w:r>
    </w:p>
    <w:p>
      <w:r>
        <w:rPr>
          <w:b/>
          <w:color w:val="1F4E79"/>
          <w:sz w:val="21"/>
        </w:rPr>
        <w:t>2-jadval. KOB subyektlariga mos yengillashtirilgan DXSh shartnoma modellarining qiyosiy xarakteristikasi</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04"/>
            <w:shd w:fill="1F4E79" w:val="clear"/>
            <w:tcMar>
              <w:top w:w="100" w:type="dxa"/>
              <w:bottom w:w="100" w:type="dxa"/>
              <w:left w:w="120" w:type="dxa"/>
              <w:right w:w="120" w:type="dxa"/>
            </w:tcMar>
          </w:tcPr>
          <w:p>
            <w:pPr>
              <w:jc w:val="left"/>
            </w:pPr>
            <w:r>
              <w:rPr>
                <w:b/>
                <w:color w:val="FFFFFF"/>
                <w:sz w:val="20"/>
              </w:rPr>
              <w:t>Shartnoma shakli</w:t>
            </w:r>
          </w:p>
        </w:tc>
        <w:tc>
          <w:tcPr>
            <w:tcW w:type="dxa" w:w="1584"/>
            <w:shd w:fill="1F4E79" w:val="clear"/>
            <w:tcMar>
              <w:top w:w="100" w:type="dxa"/>
              <w:bottom w:w="100" w:type="dxa"/>
              <w:left w:w="120" w:type="dxa"/>
              <w:right w:w="120" w:type="dxa"/>
            </w:tcMar>
          </w:tcPr>
          <w:p>
            <w:pPr>
              <w:jc w:val="left"/>
            </w:pPr>
            <w:r>
              <w:rPr>
                <w:b/>
                <w:color w:val="FFFFFF"/>
                <w:sz w:val="20"/>
              </w:rPr>
              <w:t>Muddati</w:t>
            </w:r>
          </w:p>
        </w:tc>
        <w:tc>
          <w:tcPr>
            <w:tcW w:type="dxa" w:w="2592"/>
            <w:shd w:fill="1F4E79" w:val="clear"/>
            <w:tcMar>
              <w:top w:w="100" w:type="dxa"/>
              <w:bottom w:w="100" w:type="dxa"/>
              <w:left w:w="120" w:type="dxa"/>
              <w:right w:w="120" w:type="dxa"/>
            </w:tcMar>
          </w:tcPr>
          <w:p>
            <w:pPr>
              <w:jc w:val="left"/>
            </w:pPr>
            <w:r>
              <w:rPr>
                <w:b/>
                <w:color w:val="FFFFFF"/>
                <w:sz w:val="20"/>
              </w:rPr>
              <w:t>Xatarlar va Majburiyatlar</w:t>
            </w:r>
          </w:p>
        </w:tc>
        <w:tc>
          <w:tcPr>
            <w:tcW w:type="dxa" w:w="2880"/>
            <w:shd w:fill="1F4E79" w:val="clear"/>
            <w:tcMar>
              <w:top w:w="100" w:type="dxa"/>
              <w:bottom w:w="100" w:type="dxa"/>
              <w:left w:w="120" w:type="dxa"/>
              <w:right w:w="120" w:type="dxa"/>
            </w:tcMar>
          </w:tcPr>
          <w:p>
            <w:pPr>
              <w:jc w:val="left"/>
            </w:pPr>
            <w:r>
              <w:rPr>
                <w:b/>
                <w:color w:val="FFFFFF"/>
                <w:sz w:val="20"/>
              </w:rPr>
              <w:t>KOB uchun Asosiy Afzalligi</w:t>
            </w:r>
          </w:p>
        </w:tc>
      </w:tr>
      <w:tr>
        <w:tc>
          <w:tcPr>
            <w:tcW w:type="dxa" w:w="2304"/>
            <w:shd w:fill="F9FAFC" w:val="clear"/>
            <w:tcMar>
              <w:top w:w="80" w:type="dxa"/>
              <w:bottom w:w="80" w:type="dxa"/>
              <w:left w:w="120" w:type="dxa"/>
              <w:right w:w="120" w:type="dxa"/>
            </w:tcMar>
          </w:tcPr>
          <w:p>
            <w:pPr>
              <w:jc w:val="left"/>
            </w:pPr>
            <w:r>
              <w:rPr>
                <w:sz w:val="19"/>
              </w:rPr>
              <w:t>Xizmat ko‘rsatish shartnomasi (Service contract)</w:t>
            </w:r>
          </w:p>
        </w:tc>
        <w:tc>
          <w:tcPr>
            <w:tcW w:type="dxa" w:w="1584"/>
            <w:shd w:fill="F9FAFC" w:val="clear"/>
            <w:tcMar>
              <w:top w:w="80" w:type="dxa"/>
              <w:bottom w:w="80" w:type="dxa"/>
              <w:left w:w="120" w:type="dxa"/>
              <w:right w:w="120" w:type="dxa"/>
            </w:tcMar>
          </w:tcPr>
          <w:p>
            <w:pPr>
              <w:jc w:val="left"/>
            </w:pPr>
            <w:r>
              <w:rPr>
                <w:sz w:val="19"/>
              </w:rPr>
              <w:t>1–3 yil</w:t>
            </w:r>
          </w:p>
        </w:tc>
        <w:tc>
          <w:tcPr>
            <w:tcW w:type="dxa" w:w="2592"/>
            <w:shd w:fill="F9FAFC" w:val="clear"/>
            <w:tcMar>
              <w:top w:w="80" w:type="dxa"/>
              <w:bottom w:w="80" w:type="dxa"/>
              <w:left w:w="120" w:type="dxa"/>
              <w:right w:w="120" w:type="dxa"/>
            </w:tcMar>
          </w:tcPr>
          <w:p>
            <w:pPr>
              <w:jc w:val="left"/>
            </w:pPr>
            <w:r>
              <w:rPr>
                <w:sz w:val="19"/>
              </w:rPr>
              <w:t>Davlat mulkidagi ob’yektlarga texnik va kommunal xizmat berish</w:t>
            </w:r>
          </w:p>
        </w:tc>
        <w:tc>
          <w:tcPr>
            <w:tcW w:type="dxa" w:w="2880"/>
            <w:shd w:fill="F9FAFC" w:val="clear"/>
            <w:tcMar>
              <w:top w:w="80" w:type="dxa"/>
              <w:bottom w:w="80" w:type="dxa"/>
              <w:left w:w="120" w:type="dxa"/>
              <w:right w:w="120" w:type="dxa"/>
            </w:tcMar>
          </w:tcPr>
          <w:p>
            <w:pPr>
              <w:jc w:val="left"/>
            </w:pPr>
            <w:r>
              <w:rPr>
                <w:sz w:val="19"/>
              </w:rPr>
              <w:t>Katta sarmoya talab etilmaydi, kafolatlangan davlat buyurtmasi</w:t>
            </w:r>
          </w:p>
        </w:tc>
      </w:tr>
      <w:tr>
        <w:tc>
          <w:tcPr>
            <w:tcW w:type="dxa" w:w="2304"/>
            <w:shd w:fill="FFFFFF" w:val="clear"/>
            <w:tcMar>
              <w:top w:w="80" w:type="dxa"/>
              <w:bottom w:w="80" w:type="dxa"/>
              <w:left w:w="120" w:type="dxa"/>
              <w:right w:w="120" w:type="dxa"/>
            </w:tcMar>
          </w:tcPr>
          <w:p>
            <w:pPr>
              <w:jc w:val="left"/>
            </w:pPr>
            <w:r>
              <w:rPr>
                <w:sz w:val="19"/>
              </w:rPr>
              <w:t>Boshqaruv shartnomasi (Management contract)</w:t>
            </w:r>
          </w:p>
        </w:tc>
        <w:tc>
          <w:tcPr>
            <w:tcW w:type="dxa" w:w="1584"/>
            <w:shd w:fill="FFFFFF" w:val="clear"/>
            <w:tcMar>
              <w:top w:w="80" w:type="dxa"/>
              <w:bottom w:w="80" w:type="dxa"/>
              <w:left w:w="120" w:type="dxa"/>
              <w:right w:w="120" w:type="dxa"/>
            </w:tcMar>
          </w:tcPr>
          <w:p>
            <w:pPr>
              <w:jc w:val="left"/>
            </w:pPr>
            <w:r>
              <w:rPr>
                <w:sz w:val="19"/>
              </w:rPr>
              <w:t>3–5 yil</w:t>
            </w:r>
          </w:p>
        </w:tc>
        <w:tc>
          <w:tcPr>
            <w:tcW w:type="dxa" w:w="2592"/>
            <w:shd w:fill="FFFFFF" w:val="clear"/>
            <w:tcMar>
              <w:top w:w="80" w:type="dxa"/>
              <w:bottom w:w="80" w:type="dxa"/>
              <w:left w:w="120" w:type="dxa"/>
              <w:right w:w="120" w:type="dxa"/>
            </w:tcMar>
          </w:tcPr>
          <w:p>
            <w:pPr>
              <w:jc w:val="left"/>
            </w:pPr>
            <w:r>
              <w:rPr>
                <w:sz w:val="19"/>
              </w:rPr>
              <w:t>Davlat muassasasi (bog‘cha, maktab, sport majmuasi) operatsion boshqaruvi</w:t>
            </w:r>
          </w:p>
        </w:tc>
        <w:tc>
          <w:tcPr>
            <w:tcW w:type="dxa" w:w="2880"/>
            <w:shd w:fill="FFFFFF" w:val="clear"/>
            <w:tcMar>
              <w:top w:w="80" w:type="dxa"/>
              <w:bottom w:w="80" w:type="dxa"/>
              <w:left w:w="120" w:type="dxa"/>
              <w:right w:w="120" w:type="dxa"/>
            </w:tcMar>
          </w:tcPr>
          <w:p>
            <w:pPr>
              <w:jc w:val="left"/>
            </w:pPr>
            <w:r>
              <w:rPr>
                <w:sz w:val="19"/>
              </w:rPr>
              <w:t>Boshqaruv samaradorligi evaziga daromad olish, kapital xatarlarsiz</w:t>
            </w:r>
          </w:p>
        </w:tc>
      </w:tr>
      <w:tr>
        <w:tc>
          <w:tcPr>
            <w:tcW w:type="dxa" w:w="2304"/>
            <w:shd w:fill="F9FAFC" w:val="clear"/>
            <w:tcMar>
              <w:top w:w="80" w:type="dxa"/>
              <w:bottom w:w="80" w:type="dxa"/>
              <w:left w:w="120" w:type="dxa"/>
              <w:right w:w="120" w:type="dxa"/>
            </w:tcMar>
          </w:tcPr>
          <w:p>
            <w:pPr>
              <w:jc w:val="left"/>
            </w:pPr>
            <w:r>
              <w:rPr>
                <w:sz w:val="19"/>
              </w:rPr>
              <w:t>Ijara va lizing (Lease/Leasing)</w:t>
            </w:r>
          </w:p>
        </w:tc>
        <w:tc>
          <w:tcPr>
            <w:tcW w:type="dxa" w:w="1584"/>
            <w:shd w:fill="F9FAFC" w:val="clear"/>
            <w:tcMar>
              <w:top w:w="80" w:type="dxa"/>
              <w:bottom w:w="80" w:type="dxa"/>
              <w:left w:w="120" w:type="dxa"/>
              <w:right w:w="120" w:type="dxa"/>
            </w:tcMar>
          </w:tcPr>
          <w:p>
            <w:pPr>
              <w:jc w:val="left"/>
            </w:pPr>
            <w:r>
              <w:rPr>
                <w:sz w:val="19"/>
              </w:rPr>
              <w:t>5–10 yil</w:t>
            </w:r>
          </w:p>
        </w:tc>
        <w:tc>
          <w:tcPr>
            <w:tcW w:type="dxa" w:w="2592"/>
            <w:shd w:fill="F9FAFC" w:val="clear"/>
            <w:tcMar>
              <w:top w:w="80" w:type="dxa"/>
              <w:bottom w:w="80" w:type="dxa"/>
              <w:left w:w="120" w:type="dxa"/>
              <w:right w:w="120" w:type="dxa"/>
            </w:tcMar>
          </w:tcPr>
          <w:p>
            <w:pPr>
              <w:jc w:val="left"/>
            </w:pPr>
            <w:r>
              <w:rPr>
                <w:sz w:val="19"/>
              </w:rPr>
              <w:t>Bo‘sh davlat mulkini ijaraga olib, ishlab chiqarish yoki xizmatni yo‘lga qo‘yish</w:t>
            </w:r>
          </w:p>
        </w:tc>
        <w:tc>
          <w:tcPr>
            <w:tcW w:type="dxa" w:w="2880"/>
            <w:shd w:fill="F9FAFC" w:val="clear"/>
            <w:tcMar>
              <w:top w:w="80" w:type="dxa"/>
              <w:bottom w:w="80" w:type="dxa"/>
              <w:left w:w="120" w:type="dxa"/>
              <w:right w:w="120" w:type="dxa"/>
            </w:tcMar>
          </w:tcPr>
          <w:p>
            <w:pPr>
              <w:jc w:val="left"/>
            </w:pPr>
            <w:r>
              <w:rPr>
                <w:sz w:val="19"/>
              </w:rPr>
              <w:t>Boshlang‘ich xarajat kam, davlat uskunalaridan unumli foydalanish</w:t>
            </w:r>
          </w:p>
        </w:tc>
      </w:tr>
      <w:tr>
        <w:tc>
          <w:tcPr>
            <w:tcW w:type="dxa" w:w="2304"/>
            <w:shd w:fill="FFFFFF" w:val="clear"/>
            <w:tcMar>
              <w:top w:w="80" w:type="dxa"/>
              <w:bottom w:w="80" w:type="dxa"/>
              <w:left w:w="120" w:type="dxa"/>
              <w:right w:w="120" w:type="dxa"/>
            </w:tcMar>
          </w:tcPr>
          <w:p>
            <w:pPr>
              <w:jc w:val="left"/>
            </w:pPr>
            <w:r>
              <w:rPr>
                <w:sz w:val="19"/>
              </w:rPr>
              <w:t>Kichik konsessiya (Mini-concession)</w:t>
            </w:r>
          </w:p>
        </w:tc>
        <w:tc>
          <w:tcPr>
            <w:tcW w:type="dxa" w:w="1584"/>
            <w:shd w:fill="FFFFFF" w:val="clear"/>
            <w:tcMar>
              <w:top w:w="80" w:type="dxa"/>
              <w:bottom w:w="80" w:type="dxa"/>
              <w:left w:w="120" w:type="dxa"/>
              <w:right w:w="120" w:type="dxa"/>
            </w:tcMar>
          </w:tcPr>
          <w:p>
            <w:pPr>
              <w:jc w:val="left"/>
            </w:pPr>
            <w:r>
              <w:rPr>
                <w:sz w:val="19"/>
              </w:rPr>
              <w:t>5–12 yil</w:t>
            </w:r>
          </w:p>
        </w:tc>
        <w:tc>
          <w:tcPr>
            <w:tcW w:type="dxa" w:w="2592"/>
            <w:shd w:fill="FFFFFF" w:val="clear"/>
            <w:tcMar>
              <w:top w:w="80" w:type="dxa"/>
              <w:bottom w:w="80" w:type="dxa"/>
              <w:left w:w="120" w:type="dxa"/>
              <w:right w:w="120" w:type="dxa"/>
            </w:tcMar>
          </w:tcPr>
          <w:p>
            <w:pPr>
              <w:jc w:val="left"/>
            </w:pPr>
            <w:r>
              <w:rPr>
                <w:sz w:val="19"/>
              </w:rPr>
              <w:t>Mahalliy ijtimoiy/infratuzilma ob’yektini ta’mirlash va ta’minlash</w:t>
            </w:r>
          </w:p>
        </w:tc>
        <w:tc>
          <w:tcPr>
            <w:tcW w:type="dxa" w:w="2880"/>
            <w:shd w:fill="FFFFFF" w:val="clear"/>
            <w:tcMar>
              <w:top w:w="80" w:type="dxa"/>
              <w:bottom w:w="80" w:type="dxa"/>
              <w:left w:w="120" w:type="dxa"/>
              <w:right w:w="120" w:type="dxa"/>
            </w:tcMar>
          </w:tcPr>
          <w:p>
            <w:pPr>
              <w:jc w:val="left"/>
            </w:pPr>
            <w:r>
              <w:rPr>
                <w:sz w:val="19"/>
              </w:rPr>
              <w:t>Uzoq muddatli barqaror bozor va xizmat haqi undirish huquqi</w:t>
            </w:r>
          </w:p>
        </w:tc>
      </w:tr>
    </w:tbl>
    <w:p>
      <w:pPr>
        <w:spacing w:after="160"/>
      </w:pPr>
    </w:p>
    <w:p>
      <w:pPr>
        <w:spacing w:before="280" w:after="120"/>
      </w:pPr>
      <w:r>
        <w:rPr>
          <w:b/>
          <w:color w:val="1F4E79"/>
          <w:sz w:val="27"/>
        </w:rPr>
        <w:t>4. Dissertatsiyaning 1-Bobi Uchun Amaliy Takliflar va Xulosalar</w:t>
      </w:r>
    </w:p>
    <w:p>
      <w:r>
        <w:t>Tadqiqot natijalari va to‘plangan dalillar asosida dissertatsiyaga kiritish uchun quyidagi ilmiy-amaliy takliflar shakllantirildi:</w:t>
      </w:r>
    </w:p>
    <w:p>
      <w:pPr>
        <w:pStyle w:val="ListBullet"/>
      </w:pPr>
      <w:r>
        <w:rPr>
          <w:b/>
        </w:rPr>
        <w:t xml:space="preserve">Soddalashtirilgan 'Kichik DXSh' tartibini joriy etish: </w:t>
      </w:r>
      <w:r>
        <w:t>Qiymati 3 million dollargacha bo‘lgan ijtimoiy va kommunal loyihalar uchun yengillashtirilgan 30 kunlik tender va ekspress-ekspertiza reglamentini qonunchilikda belgilash.</w:t>
      </w:r>
    </w:p>
    <w:p>
      <w:pPr>
        <w:pStyle w:val="ListBullet"/>
      </w:pPr>
      <w:r>
        <w:rPr>
          <w:b/>
        </w:rPr>
        <w:t xml:space="preserve">Majburiy lotlarga bo‘lish va Subpudrat kvotalari: </w:t>
      </w:r>
      <w:r>
        <w:t>Munitsipal va hududiy loyihalarni yirik yagona lot o‘rniga kichik lotlarga bo‘lish hamda yirik DXSh loyihalarida loyiha qiymatining kamida 20% qismini mahalliy KOB subyektlariga berish shartini kiritish.</w:t>
      </w:r>
    </w:p>
    <w:p>
      <w:pPr>
        <w:pStyle w:val="ListBullet"/>
      </w:pPr>
      <w:r>
        <w:rPr>
          <w:b/>
        </w:rPr>
        <w:t xml:space="preserve">Ijtimoiy sohada Boshqaruv va Xizmat shartnomalarini kengaytirish: </w:t>
      </w:r>
      <w:r>
        <w:t>Maktabgacha ta’lim, maktablar, sport va tibbiyot muassasalarini xususiy sektorgi saqlash va boshqarish uchun berishda og‘ir investitsion majburiyatlar o‘rniga sifat ko‘rsatkichlariga (KPI) asoslangan xizmat shartnomalaridan foydalanish.</w:t>
      </w:r>
    </w:p>
    <w:p>
      <w:pPr>
        <w:pStyle w:val="ListBullet"/>
      </w:pPr>
      <w:r>
        <w:rPr>
          <w:b/>
        </w:rPr>
        <w:t xml:space="preserve">Kafolat va moliyaviy dastaklar: </w:t>
      </w:r>
      <w:r>
        <w:t>Tadbirkorlikni qo‘llab-quvvatlash respublika jamg‘armasi vositasida KOB subyektlarining DXSh loyihalaridagi bank kafolatlari va kredit foizlarini subsidiyalash mexanizmini yo‘lga qo‘yish.</w:t>
      </w:r>
    </w:p>
    <w:p>
      <w:pPr>
        <w:spacing w:after="24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87878"/>
        <w:sz w:val="18"/>
      </w:rPr>
      <w:t xml:space="preserve">Sahifa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7878"/>
        <w:sz w:val="17"/>
      </w:rPr>
      <w:t>Magistrlik dissertatsiyasi 1-bobi uchun analitik dalillar to'plami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