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7F378E">
      <w:pPr>
        <w:pStyle w:val="2"/>
      </w:pPr>
      <w:r>
        <w:t>Kichik va o‘rta tadbirkorlikni rivojlantirishda davlat-xususiy sheriklikning nazariy-metodologik asoslari va tasnifiy modellari</w:t>
      </w:r>
    </w:p>
    <w:p w14:paraId="56B4E003">
      <w:r>
        <w:rPr>
          <w:i/>
        </w:rPr>
        <w:t>Z. Tangriyeva</w:t>
      </w:r>
    </w:p>
    <w:p w14:paraId="01EDFAF9">
      <w:pPr>
        <w:pStyle w:val="3"/>
      </w:pPr>
      <w:r>
        <w:t>Annotatsiya</w:t>
      </w:r>
    </w:p>
    <w:p w14:paraId="44C8CB4E">
      <w:r>
        <w:t>Kichik va o‘rta biznes (KOB) 2025-yilda O‘zbekiston YaIMining 52,2 foizini yaratdi [7], biroq davlat-xususiy sheriklik (DXSh) portfeli boshqa tarmoqlarga qarab shakllangan: Xalqaro valyuta jamg‘armasi (XVF) ma’lumotiga ko‘ra 2023-yil oxirida portfelning 93 foizi energetikaga, 0,8 foizi ta’limga to‘g‘ri kelgan [5]. Maqolada KOBning iqtisodiy tabiati nazariy jihatdan ko‘rib chiqiladi, KOBga mos DXSh shakllari O‘RQ-537-son Qonun talablari bilan solishtirilib tasniflanadi va 2026-yil birinchi choragidagi rasmiy ma’lumotlar asosida ijtimoiy sohadagi kichik loyihalar tahlil qilinadi [6]. Hisob-kitoblar shuni ko‘rsatadiki, shu choraqda imzolangan 59 bitimning 53 tasi (90 foiz) ijtimoiy sohada bo‘lsa-da, ular umumiy qiymatning atigi 5,6 foizini tashkil qiladi; ikki yirik loyiha esa qiymatning 89,7 foizini egallaydi. Xulosada kichik DXSh uchun alohida toifa, standart shartnomalar va soddalashtirilgan submilliy tender tartibi taklif etiladi.</w:t>
      </w:r>
    </w:p>
    <w:p w14:paraId="5B907731">
      <w:r>
        <w:t>Kalit so‘zlar: kichik va o‘rta biznes, davlat-xususiy sheriklik, tranzaksiya xarajatlari, kichik DXSh, boshqaruv shartnomasi, submilliy DXSh, O‘zbekiston.</w:t>
      </w:r>
    </w:p>
    <w:p w14:paraId="28A29594">
      <w:pPr>
        <w:pStyle w:val="3"/>
      </w:pPr>
      <w:r>
        <w:t>Аннотация</w:t>
      </w:r>
    </w:p>
    <w:p w14:paraId="206D3492">
      <w:r>
        <w:t>В 2025 году малый и средний бизнес создал 52,2% ВВП Узбекистана [7], однако портфель государственно-частного партнерства (ГЧП) смещен в сторону энергетики: по данным МВФ, на конец 2023 года на неё приходило 93%, а на образование — 0,8% [5]. В статье рассматривается экономическая природа МСП, классифицируются формы ГЧП, доступные малому бизнесу, с учётом требований закона № ЗРУ-537, а также анализируются данные о социальных проектах за I квартал 2026 года [6]. Расчёты показывают: 53 из 59 подписанных соглашений (90%) приходятся на социальную сферу, но их доля в стоимости составляет лишь 5,6%. Предлагаются отдельная категория «малого ГЧП», типовые договоры и упрощённый порядок отбора на субнациональном уровне.</w:t>
      </w:r>
    </w:p>
    <w:p w14:paraId="4C9192D0">
      <w:r>
        <w:t>Ключевые слова: малый и средний бизнес, государственно-частное партнёрство, транзакционные издержки, малое ГЧП, субнациональное ГЧП, Узбекистан.</w:t>
      </w:r>
    </w:p>
    <w:p w14:paraId="768FA552">
      <w:pPr>
        <w:pStyle w:val="3"/>
      </w:pPr>
      <w:r>
        <w:t>Abstract</w:t>
      </w:r>
    </w:p>
    <w:p w14:paraId="27DFF9EE">
      <w:r>
        <w:t>Small and medium-sized enterprises (SMEs) generated 52.2% of Uzbekistan’s GDP in 2025 [7], yet the public-private partnership (PPP) portfolio is tilted towards other sectors: according to the IMF, 93% of it was in energy and 0.8% in education at end-2023 [5]. The paper reviews the economic nature of SMEs, classifies PPP forms accessible to small firms against the requirements of Law No. ZRU-537, and analyses official data on social-sector projects for Q1 2026 [6]. The author’s calculations show that 53 of the 59 PPP agreements signed in the quarter (90%) were in social sectors but accounted for only 5.6% of total value, while two large projects made up 89.7%. The paper proposes a separate “small PPP” category, standard contracts and a simplified subnational tender procedure.</w:t>
      </w:r>
    </w:p>
    <w:p w14:paraId="291031CC">
      <w:r>
        <w:t>Keywords: SMEs, public-private partnership, transaction costs, small PPP, subnational PPP, Uzbekistan.</w:t>
      </w:r>
    </w:p>
    <w:p w14:paraId="31BD5BD3">
      <w:pPr>
        <w:pStyle w:val="3"/>
      </w:pPr>
      <w:r>
        <w:t>1. Kirish</w:t>
      </w:r>
    </w:p>
    <w:p w14:paraId="313D8A35">
      <w:r>
        <w:t>Kichik biznes O‘zbekiston iqtisodiyotida chetda turgan sektor emas: 2026-yil 1-yanvar holatiga 1 201,6 ming faol kichik biznes subyekti ro‘yxatga olingan, 2025-yilda ular YaIMning 52,2 foizini, asosiy kapitalga kiritilgan investitsiyalarning 61,4 foizini va eksportning 36,6 foizini (12,4 mlrd dollar) ta’minladi [7]. DXSh sohasida esa manzara boshqacha. O‘RQ-537-son Qonun 2019-yil 10-mayda qabul qilingan [1], 2021-yilda konsessiya munosabatlari ham shu Qonun doirasiga kiritildi [2], 2024-yil oktyabrida esa Vazirlar Mahkamasining 720-son qarori bilan loyihalarni amalga oshirish tartibi qayta tizimlashtirildi [3]. XVF hisobiga ko‘ra, DXSh loyihalari portfeli 2021-yildagi 6,2 mlrd dollardan (YaIMning taxminan 8 foizi) 2024-yil oxirida 31 mlrd dollargacha (YaIMning 27 foizi) o‘sdi; 2023-yil oxiridagi tarmoq tuzilmasida energetika 93 foizni (28,8 mlrd dollar), kommunal xizmatlar 5 foizni (1,5 mlrd dollar), ta’lim esa 0,8 foizni (144 mln dollar) tashkil etgan [5].</w:t>
      </w:r>
    </w:p>
    <w:p w14:paraId="7EBE9B98">
      <w:r>
        <w:t>Shu ikki ko‘rsatkich yonma-yon qo‘yilganda tadqiqot savoli paydo bo‘ladi: iqtisodiyotning yarmidan ko‘pini beradigan KOB nima uchun DXSh portfelida deyarli ko‘rinmaydi va qaysi shartnoma shakllari buni o‘zgartira oladi? Maqolaning ishchi farazi quyidagicha: to‘siq faqat kapital yetishmasligida emas, balki DXSh shakllarining o‘lchami, muddati va huquqiy maqomi KOB tuzilmasiga mos kelmasligida. Maqsad shu farazni nazariy asos va rasmiy ma’lumotlar bilan sinab ko‘rish hamda KOBga mos DXSh shakllarini tasniflashdir.</w:t>
      </w:r>
    </w:p>
    <w:p w14:paraId="6B9A1F43">
      <w:pPr>
        <w:pStyle w:val="3"/>
      </w:pPr>
      <w:r>
        <w:t>2. Metodologiya va ma’lumotlar</w:t>
      </w:r>
    </w:p>
    <w:p w14:paraId="59BA5832">
      <w:r>
        <w:t>Nazariy qism tadbirkorlik va institutsional iqtisodiyot an’analariga tayanadi: Shumpeterning tadbirkor-innovator konsepsiyasi [9], Kouz va Uilyamsonning tranzaksiya xarajatlari nazariyasi [10, 11]. DXSh shakllarini tasniflashda Yescombe [12] va Hodge hamda Greve [13] asarlaridagi yondashuvlardan foydalanildi; shakllar O‘RQ-537-son Qonunning muddatga oid talabi [1] bilan taqqoslandi.</w:t>
      </w:r>
    </w:p>
    <w:p w14:paraId="4978FC1F">
      <w:r>
        <w:t>Empirik qism to‘rt rasmiy manbaga asoslangan: Milliy statistika qo‘mitasining kichik biznes bo‘yicha 2026-yil 26-yanvardagi press-relizi [7], XVF ma’lumotlarini bayon etgan Kun.uz maqolasi [5], Iqtisodiyot va moliya vazirligining 2026-yil 1-choragi bo‘yicha axboroti [6] va OECDning submilliy DXSh hisoboti [8]. Ulushlar va o‘rtacha qiymatlar muallif tomonidan [6] va [7] dagi raqamlardan hisoblangan.</w:t>
      </w:r>
    </w:p>
    <w:p w14:paraId="6196FA21">
      <w:r>
        <w:t>Tadqiqotning cheklovlari: (1) [6] da xususiy sheriklarning hajmi (KOB yoki yirik kompaniya ekanligi) ko‘rsatilmagan, shuning uchun ijtimoiy sohadagi kichik loyihalarni KOB ishtirok etgan loyihalar deb bevosita aytib bo‘lmaydi; bu bir farazdir; (2) bir choraklik ma’lumot yillik tendensiyani to‘liq aks ettirmaydi; (3) XVF portfelining tarmoq tuzilmasi 2023-yil oxiriga, umumiy hajmi esa 2024-yil oxiriga tegishli.</w:t>
      </w:r>
    </w:p>
    <w:p w14:paraId="0ABAF203">
      <w:pPr>
        <w:pStyle w:val="3"/>
      </w:pPr>
      <w:r>
        <w:t>3. Tahlil va natijalar</w:t>
      </w:r>
    </w:p>
    <w:p w14:paraId="0AD4C635">
      <w:pPr>
        <w:pStyle w:val="4"/>
      </w:pPr>
      <w:r>
        <w:t>3.1. KOBning iqtisodiy mazmuni va ko‘lami</w:t>
      </w:r>
    </w:p>
    <w:p w14:paraId="094883F9">
      <w:r>
        <w:t>Tadbirkorlik nazariyasida bir necha an’ana mavjud. Tadbirkorni noaniqlik xavfini o‘z zimmasiga oluvchi sub’yekt deb ta’riflash Kantilonga borib taqaladi [14]; Smit esa raqobat va ixtisoslashuvning bozor muvozanatidagi rolini yoritdi [15]. Marshall kichik firmalarning hududiy klasterlarda birlashganda yirik korxonalarga yaqin samaraga erishishini ko‘rsatdi [16]. Shumpeter tadbirkorning asosiy vazifasini ishlab chiqarish omillarining yangi birikmasini yaratishda ko‘rdi [9]. Shu o‘rinda e’tibor berish kerakki, innovatsiyaning asosiy manbai kichik firmalarmi yoki yirik firmalarmi degan savol adabiyotda hanuz bahsli; shu sababli maqolada «kichik biznes innovatsiyani tezroq kiritadi» degan qoida nazariy tasdiq sifatida emas, tadbirkorlikning moslashuvchanligi haqidagi umumiy kuzatuv sifatida qo‘llanadi.</w:t>
      </w:r>
    </w:p>
    <w:p w14:paraId="2406C1C9">
      <w:r>
        <w:t>Amaliy jihatdan KOBning ahamiyati statistikadan ko‘rinadi. 1-jadvalda 2026-yil 1-yanvar holatidagi tarkib va 2025-yil natijalari berilgan.</w:t>
      </w:r>
    </w:p>
    <w:p w14:paraId="6DB0DD64">
      <w:r>
        <w:rPr>
          <w:i/>
        </w:rPr>
        <w:t>1-jadval</w:t>
      </w:r>
    </w:p>
    <w:p w14:paraId="13BEE554">
      <w:r>
        <w:rPr>
          <w:b/>
        </w:rPr>
        <w:t>O‘zbekiston kichik biznesining asosiy ko‘rsatkichlari (2026-yil 1-yanvar holatiga va 2025-yil bo‘yicha)</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511D5BED">
        <w:trPr>
          <w:tblHeader/>
        </w:trPr>
        <w:tc>
          <w:tcPr>
            <w:tcW w:w="4680" w:type="dxa"/>
            <w:shd w:val="clear" w:color="auto" w:fill="F2F2F2"/>
          </w:tcPr>
          <w:p w14:paraId="37D1EBF0">
            <w:r>
              <w:t>Ko‘rsatkich</w:t>
            </w:r>
          </w:p>
        </w:tc>
        <w:tc>
          <w:tcPr>
            <w:tcW w:w="4680" w:type="dxa"/>
            <w:shd w:val="clear" w:color="auto" w:fill="F2F2F2"/>
          </w:tcPr>
          <w:p w14:paraId="48CF088E">
            <w:r>
              <w:t>Qiymat</w:t>
            </w:r>
          </w:p>
        </w:tc>
      </w:tr>
      <w:tr w14:paraId="3C5FE70C">
        <w:tc>
          <w:tcPr>
            <w:tcW w:w="4680" w:type="dxa"/>
          </w:tcPr>
          <w:p w14:paraId="68C5888A">
            <w:r>
              <w:t>Faol kichik biznes subyektlari soni</w:t>
            </w:r>
          </w:p>
        </w:tc>
        <w:tc>
          <w:tcPr>
            <w:tcW w:w="4680" w:type="dxa"/>
          </w:tcPr>
          <w:p w14:paraId="1C2D6742">
            <w:r>
              <w:t>1 201,6 ming</w:t>
            </w:r>
          </w:p>
        </w:tc>
      </w:tr>
      <w:tr w14:paraId="5F8ECBC7">
        <w:tc>
          <w:tcPr>
            <w:tcW w:w="4680" w:type="dxa"/>
          </w:tcPr>
          <w:p w14:paraId="7FB51FBF">
            <w:r>
              <w:t>shundan kichik korxona va mikrofirmalar</w:t>
            </w:r>
          </w:p>
        </w:tc>
        <w:tc>
          <w:tcPr>
            <w:tcW w:w="4680" w:type="dxa"/>
          </w:tcPr>
          <w:p w14:paraId="4347CCF3">
            <w:r>
              <w:t>493,0 ming</w:t>
            </w:r>
          </w:p>
        </w:tc>
      </w:tr>
      <w:tr w14:paraId="5E14FA97">
        <w:tc>
          <w:tcPr>
            <w:tcW w:w="4680" w:type="dxa"/>
          </w:tcPr>
          <w:p w14:paraId="07FED5FC">
            <w:r>
              <w:t>yakka tartibdagi tadbirkorlar</w:t>
            </w:r>
          </w:p>
        </w:tc>
        <w:tc>
          <w:tcPr>
            <w:tcW w:w="4680" w:type="dxa"/>
          </w:tcPr>
          <w:p w14:paraId="1E5CC4CA">
            <w:r>
              <w:t>284,4 ming</w:t>
            </w:r>
          </w:p>
        </w:tc>
      </w:tr>
      <w:tr w14:paraId="0E5737EE">
        <w:tc>
          <w:tcPr>
            <w:tcW w:w="4680" w:type="dxa"/>
          </w:tcPr>
          <w:p w14:paraId="3533AF55">
            <w:r>
              <w:t>dehqon xo‘jaliklari</w:t>
            </w:r>
          </w:p>
        </w:tc>
        <w:tc>
          <w:tcPr>
            <w:tcW w:w="4680" w:type="dxa"/>
          </w:tcPr>
          <w:p w14:paraId="57C1AE5E">
            <w:r>
              <w:t>395,6 ming</w:t>
            </w:r>
          </w:p>
        </w:tc>
      </w:tr>
      <w:tr w14:paraId="51E0410D">
        <w:tc>
          <w:tcPr>
            <w:tcW w:w="4680" w:type="dxa"/>
          </w:tcPr>
          <w:p w14:paraId="0F5B1C91">
            <w:r>
              <w:t>Yuridik shaxs maqomiga ega bo‘lmagan subyektlar (muallif hisobi)</w:t>
            </w:r>
          </w:p>
        </w:tc>
        <w:tc>
          <w:tcPr>
            <w:tcW w:w="4680" w:type="dxa"/>
          </w:tcPr>
          <w:p w14:paraId="04AD69D0">
            <w:r>
              <w:t>708,6 ming (58,97 %)</w:t>
            </w:r>
          </w:p>
        </w:tc>
      </w:tr>
      <w:tr w14:paraId="20277FD8">
        <w:tc>
          <w:tcPr>
            <w:tcW w:w="4680" w:type="dxa"/>
          </w:tcPr>
          <w:p w14:paraId="5C235EDD">
            <w:r>
              <w:t>YaIMdagi ulushi</w:t>
            </w:r>
          </w:p>
        </w:tc>
        <w:tc>
          <w:tcPr>
            <w:tcW w:w="4680" w:type="dxa"/>
          </w:tcPr>
          <w:p w14:paraId="624CAABE">
            <w:r>
              <w:t>52,2 % (923 514,6 mlrd so‘m)</w:t>
            </w:r>
          </w:p>
        </w:tc>
      </w:tr>
      <w:tr w14:paraId="5B988061">
        <w:tc>
          <w:tcPr>
            <w:tcW w:w="4680" w:type="dxa"/>
          </w:tcPr>
          <w:p w14:paraId="37943B16">
            <w:r>
              <w:t>Tarmoq ulushi: qishloq xo‘jaligi / qurilish / xizmatlar / sanoat</w:t>
            </w:r>
          </w:p>
        </w:tc>
        <w:tc>
          <w:tcPr>
            <w:tcW w:w="4680" w:type="dxa"/>
          </w:tcPr>
          <w:p w14:paraId="29D3928F">
            <w:r>
              <w:t>93,1 % / 75,6 % / 47,2 % / 28,5 %</w:t>
            </w:r>
          </w:p>
        </w:tc>
      </w:tr>
      <w:tr w14:paraId="012DCD57">
        <w:tc>
          <w:tcPr>
            <w:tcW w:w="4680" w:type="dxa"/>
          </w:tcPr>
          <w:p w14:paraId="13AFE3A0">
            <w:r>
              <w:t>Asosiy kapitalga investitsiyalardagi ulushi</w:t>
            </w:r>
          </w:p>
        </w:tc>
        <w:tc>
          <w:tcPr>
            <w:tcW w:w="4680" w:type="dxa"/>
          </w:tcPr>
          <w:p w14:paraId="5440155C">
            <w:r>
              <w:t>61,4 % (362 910,0 mlrd so‘m)</w:t>
            </w:r>
          </w:p>
        </w:tc>
      </w:tr>
      <w:tr w14:paraId="24BBB052">
        <w:tc>
          <w:tcPr>
            <w:tcW w:w="4680" w:type="dxa"/>
          </w:tcPr>
          <w:p w14:paraId="138CC3AA">
            <w:r>
              <w:t>Eksportdagi ulushi</w:t>
            </w:r>
          </w:p>
        </w:tc>
        <w:tc>
          <w:tcPr>
            <w:tcW w:w="4680" w:type="dxa"/>
          </w:tcPr>
          <w:p w14:paraId="78D46066">
            <w:r>
              <w:t>36,6 % (12,4 mlrd dollar)</w:t>
            </w:r>
          </w:p>
        </w:tc>
      </w:tr>
    </w:tbl>
    <w:p w14:paraId="3E98CBB1">
      <w:r>
        <w:rPr>
          <w:i/>
        </w:rPr>
        <w:t>Manba: Milliy statistika qo‘mitasi [7]; yuridik shaxs maqomiga ega bo‘lmagan subyektlar ulushi muallif tomonidan hisoblangan (708,619 / 1 201,612).</w:t>
      </w:r>
    </w:p>
    <w:p w14:paraId="20B9E23C">
      <w:r>
        <w:t>Bu jadvaldan DXSh uchun muhim bo‘lgan bir xulosa kelib chiqadi: faol subyektlarning qariyb 59 foizi (708,6 ming) yuridik shaxs maqomiga ega emas, ularning 395,6 mingtasi (32,9 foiz) dehqon xo‘jaliklari. Bunday subyekt uchun bank kafolati, ko‘p sahifali tender hujjati va bir necha yillik shartnoma majburiyati amalda erishib bo‘lmaydigan talab bo‘lishi mumkin. Bundan tashqari, KOB mamlakat bo‘yicha bir tekis joylashmagan: 1000 aholiga 31,7 subyekt to‘g‘ri keladi, ammo Jizzax viloyatida bu ko‘rsatkich 61,0, Toshkent shahrida 45,3 [7].</w:t>
      </w:r>
    </w:p>
    <w:p w14:paraId="62F34D05">
      <w:r>
        <w:t>KOBning zaif tomoni nazariy jihatdan tranzaksiya xarajatlari bilan izohlanadi [10, 11]. Tender hujjatini tayyorlash, ekspertiza va kafolat olish xarajatlarining katta qismi loyiha hajmiga bog‘liq emas, ya’ni qat’iy xarajat. Kichik loyihada bu xarajat ulushi yuqori bo‘ladi va tadbirkor uchun ishtirokning foydasi kamayadi. Bu mulohaza nazariy xulosa bo‘lib, uni sinash uchun O‘zbekiston misolida xarajatlar bo‘yicha alohida ma’lumot kerak bo‘ladi.</w:t>
      </w:r>
    </w:p>
    <w:p w14:paraId="6477FB0B">
      <w:pPr>
        <w:pStyle w:val="4"/>
      </w:pPr>
      <w:r>
        <w:t>3.2. KOB uchun DXSh shakllarining tasnifi</w:t>
      </w:r>
    </w:p>
    <w:p w14:paraId="7DAC3A7B">
      <w:r>
        <w:t>DXSh adabiyotida shakllar odatda xususiy sherikka berilgan majburiyatlar va xatar hajmiga qarab saralanadi [12, 13]. Yirik loyihalarda keng qo‘llanadigan «qurish-boshqarish-topshirish» (BOT) yoki «qurish-egalik qilish-boshqarish» (BOO) modellari katta sarmoya va uzoq moliyalashtirishni talab qiladi, shu sababli kichik biznesga mos kelmaydi. Operatsion majburiyatga yo‘naltirilgan shakllar esa kapital talabi pastligi bilan farq qiladi.</w:t>
      </w:r>
    </w:p>
    <w:p w14:paraId="367C50B4">
      <w:r>
        <w:t>Amaldagi huquqiy cheklov ham hisobga olinishi kerak. O‘RQ-537-son Qonunga ko‘ra DXSh bitimi kamida 3 yildan 49 yilgacha muddatga tuziladi [1]; 2021-yildan beri konsessiya munosabatlari ham shu Qonun bilan tartibga solinadi [2]. Shu sababli har bir shaklni ikki jihatdan baholash kerak: kapital talabi bo‘yicha KOBga mosligi va qonundagi muddat talabiga muvofiqligi. 2-jadvalda shu mezonlar bo‘yicha tasnif berilgan.</w:t>
      </w:r>
    </w:p>
    <w:p w14:paraId="0F14877F">
      <w:r>
        <w:rPr>
          <w:i/>
        </w:rPr>
        <w:t>2-jadval</w:t>
      </w:r>
    </w:p>
    <w:p w14:paraId="2FFA61B8">
      <w:r>
        <w:rPr>
          <w:b/>
        </w:rPr>
        <w:t>KOBga mos shartnoma shakllarining tasnifi va DXSh maqomi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646B9478">
        <w:trPr>
          <w:tblHeader/>
        </w:trPr>
        <w:tc>
          <w:tcPr>
            <w:tcW w:w="1872" w:type="dxa"/>
            <w:shd w:val="clear" w:color="auto" w:fill="F2F2F2"/>
          </w:tcPr>
          <w:p w14:paraId="5DF74216">
            <w:r>
              <w:t>Shakl</w:t>
            </w:r>
          </w:p>
        </w:tc>
        <w:tc>
          <w:tcPr>
            <w:tcW w:w="1872" w:type="dxa"/>
            <w:shd w:val="clear" w:color="auto" w:fill="F2F2F2"/>
          </w:tcPr>
          <w:p w14:paraId="23CB81B5">
            <w:r>
              <w:t>Odatiy muddat (taxminiy)</w:t>
            </w:r>
          </w:p>
        </w:tc>
        <w:tc>
          <w:tcPr>
            <w:tcW w:w="1872" w:type="dxa"/>
            <w:shd w:val="clear" w:color="auto" w:fill="F2F2F2"/>
          </w:tcPr>
          <w:p w14:paraId="29C60922">
            <w:r>
              <w:t>Mazmuni</w:t>
            </w:r>
          </w:p>
        </w:tc>
        <w:tc>
          <w:tcPr>
            <w:tcW w:w="1872" w:type="dxa"/>
            <w:shd w:val="clear" w:color="auto" w:fill="F2F2F2"/>
          </w:tcPr>
          <w:p w14:paraId="7BB41895">
            <w:r>
              <w:t>Kapital talabi</w:t>
            </w:r>
          </w:p>
        </w:tc>
        <w:tc>
          <w:tcPr>
            <w:tcW w:w="1872" w:type="dxa"/>
            <w:shd w:val="clear" w:color="auto" w:fill="F2F2F2"/>
          </w:tcPr>
          <w:p w14:paraId="11686036">
            <w:r>
              <w:t>O‘RQ-537 bo‘yicha izoh</w:t>
            </w:r>
          </w:p>
        </w:tc>
      </w:tr>
      <w:tr w14:paraId="4BA86B1D">
        <w:tc>
          <w:tcPr>
            <w:tcW w:w="1872" w:type="dxa"/>
          </w:tcPr>
          <w:p w14:paraId="2949F40D">
            <w:r>
              <w:t>Xizmat ko‘rsatish shartnomasi (service contract)</w:t>
            </w:r>
          </w:p>
        </w:tc>
        <w:tc>
          <w:tcPr>
            <w:tcW w:w="1872" w:type="dxa"/>
          </w:tcPr>
          <w:p w14:paraId="0A53AD87">
            <w:r>
              <w:t>1–3 yil</w:t>
            </w:r>
          </w:p>
        </w:tc>
        <w:tc>
          <w:tcPr>
            <w:tcW w:w="1872" w:type="dxa"/>
          </w:tcPr>
          <w:p w14:paraId="6FEFEAD1">
            <w:r>
              <w:t>Davlat obyektiga texnik yoki kommunal xizmat</w:t>
            </w:r>
          </w:p>
        </w:tc>
        <w:tc>
          <w:tcPr>
            <w:tcW w:w="1872" w:type="dxa"/>
          </w:tcPr>
          <w:p w14:paraId="10B035EF">
            <w:r>
              <w:t>Past</w:t>
            </w:r>
          </w:p>
        </w:tc>
        <w:tc>
          <w:tcPr>
            <w:tcW w:w="1872" w:type="dxa"/>
          </w:tcPr>
          <w:p w14:paraId="6A7850DB">
            <w:r>
              <w:t>Muddat 3 yildan kam bo‘lsa, DXSh bitimi emas, oddiy xizmat yoki xarid shartnomasi hisoblanadi; DXShga kiritish uchun muddat kamida 3 yil bo‘lishi kerak</w:t>
            </w:r>
          </w:p>
        </w:tc>
      </w:tr>
      <w:tr w14:paraId="49601F93">
        <w:tc>
          <w:tcPr>
            <w:tcW w:w="1872" w:type="dxa"/>
          </w:tcPr>
          <w:p w14:paraId="0E3B3655">
            <w:r>
              <w:t>Boshqaruv shartnomasi (management contract)</w:t>
            </w:r>
          </w:p>
        </w:tc>
        <w:tc>
          <w:tcPr>
            <w:tcW w:w="1872" w:type="dxa"/>
          </w:tcPr>
          <w:p w14:paraId="4DB29890">
            <w:r>
              <w:t>3–5 yil</w:t>
            </w:r>
          </w:p>
        </w:tc>
        <w:tc>
          <w:tcPr>
            <w:tcW w:w="1872" w:type="dxa"/>
          </w:tcPr>
          <w:p w14:paraId="0869F4E0">
            <w:r>
              <w:t>Davlat muassasasining (maktabgacha ta’lim, poliklinika, sport majmuasi) operatsion boshqaruvi</w:t>
            </w:r>
          </w:p>
        </w:tc>
        <w:tc>
          <w:tcPr>
            <w:tcW w:w="1872" w:type="dxa"/>
          </w:tcPr>
          <w:p w14:paraId="55AC35FE">
            <w:r>
              <w:t>Past</w:t>
            </w:r>
          </w:p>
        </w:tc>
        <w:tc>
          <w:tcPr>
            <w:tcW w:w="1872" w:type="dxa"/>
          </w:tcPr>
          <w:p w14:paraId="70F939E8">
            <w:r>
              <w:t>Muddat qonun chegarasiga mos</w:t>
            </w:r>
          </w:p>
        </w:tc>
      </w:tr>
      <w:tr w14:paraId="77E21588">
        <w:tc>
          <w:tcPr>
            <w:tcW w:w="1872" w:type="dxa"/>
          </w:tcPr>
          <w:p w14:paraId="29692535">
            <w:r>
              <w:t>Ijara (lease)</w:t>
            </w:r>
          </w:p>
        </w:tc>
        <w:tc>
          <w:tcPr>
            <w:tcW w:w="1872" w:type="dxa"/>
          </w:tcPr>
          <w:p w14:paraId="06426584">
            <w:r>
              <w:t>5–10 yil</w:t>
            </w:r>
          </w:p>
        </w:tc>
        <w:tc>
          <w:tcPr>
            <w:tcW w:w="1872" w:type="dxa"/>
          </w:tcPr>
          <w:p w14:paraId="418315F4">
            <w:r>
              <w:t>Bo‘sh davlat binosi yoki uskunasini ijaraga olib faoliyat yuritish</w:t>
            </w:r>
          </w:p>
        </w:tc>
        <w:tc>
          <w:tcPr>
            <w:tcW w:w="1872" w:type="dxa"/>
          </w:tcPr>
          <w:p w14:paraId="75F32D81">
            <w:r>
              <w:t>Past–o‘rta</w:t>
            </w:r>
          </w:p>
        </w:tc>
        <w:tc>
          <w:tcPr>
            <w:tcW w:w="1872" w:type="dxa"/>
          </w:tcPr>
          <w:p w14:paraId="0D931FA9">
            <w:r>
              <w:t>Mulk davlatda qoladi</w:t>
            </w:r>
          </w:p>
        </w:tc>
      </w:tr>
      <w:tr w14:paraId="6144249D">
        <w:tc>
          <w:tcPr>
            <w:tcW w:w="1872" w:type="dxa"/>
          </w:tcPr>
          <w:p w14:paraId="3EEC7091">
            <w:r>
              <w:t>Moliyaviy lizing (financial leasing)</w:t>
            </w:r>
          </w:p>
        </w:tc>
        <w:tc>
          <w:tcPr>
            <w:tcW w:w="1872" w:type="dxa"/>
          </w:tcPr>
          <w:p w14:paraId="2F32CCBA">
            <w:r>
              <w:t>3–7 yil</w:t>
            </w:r>
          </w:p>
        </w:tc>
        <w:tc>
          <w:tcPr>
            <w:tcW w:w="1872" w:type="dxa"/>
          </w:tcPr>
          <w:p w14:paraId="0A5EBDDC">
            <w:r>
              <w:t>Uskunani lizingga olib, to‘lovlar tugagach mulkka ega bo‘lish</w:t>
            </w:r>
          </w:p>
        </w:tc>
        <w:tc>
          <w:tcPr>
            <w:tcW w:w="1872" w:type="dxa"/>
          </w:tcPr>
          <w:p w14:paraId="3DDA3FE8">
            <w:r>
              <w:t>O‘rta</w:t>
            </w:r>
          </w:p>
        </w:tc>
        <w:tc>
          <w:tcPr>
            <w:tcW w:w="1872" w:type="dxa"/>
          </w:tcPr>
          <w:p w14:paraId="49D4F50A">
            <w:r>
              <w:t>Ijaradan farqli, mulk huquqi o‘tishi mumkin; alohida shakl sifatida qaraladi</w:t>
            </w:r>
          </w:p>
        </w:tc>
      </w:tr>
      <w:tr w14:paraId="1D17E0AC">
        <w:tc>
          <w:tcPr>
            <w:tcW w:w="1872" w:type="dxa"/>
          </w:tcPr>
          <w:p w14:paraId="1783B1C0">
            <w:r>
              <w:t>Kichik konsessiya (mini-concession)</w:t>
            </w:r>
          </w:p>
        </w:tc>
        <w:tc>
          <w:tcPr>
            <w:tcW w:w="1872" w:type="dxa"/>
          </w:tcPr>
          <w:p w14:paraId="1DA396EC">
            <w:r>
              <w:t>5–12 yil</w:t>
            </w:r>
          </w:p>
        </w:tc>
        <w:tc>
          <w:tcPr>
            <w:tcW w:w="1872" w:type="dxa"/>
          </w:tcPr>
          <w:p w14:paraId="0694B5DD">
            <w:r>
              <w:t>Mahalliy obyektni ta’mirlab, undan daromad olish</w:t>
            </w:r>
          </w:p>
        </w:tc>
        <w:tc>
          <w:tcPr>
            <w:tcW w:w="1872" w:type="dxa"/>
          </w:tcPr>
          <w:p w14:paraId="7C1E18B7">
            <w:r>
              <w:t>O‘rta</w:t>
            </w:r>
          </w:p>
        </w:tc>
        <w:tc>
          <w:tcPr>
            <w:tcW w:w="1872" w:type="dxa"/>
          </w:tcPr>
          <w:p w14:paraId="2CBCE779">
            <w:r>
              <w:t>Konsessiya munosabatlari Qonun doirasida [2]</w:t>
            </w:r>
          </w:p>
        </w:tc>
      </w:tr>
    </w:tbl>
    <w:p w14:paraId="5CB77732">
      <w:r>
        <w:rPr>
          <w:i/>
        </w:rPr>
        <w:t>Manba: shakllarning mazmuni va muddatlari xalqaro adabiyotdagi [12, 13] umumiy tasnif asosida, Qonun talablari [1, 2] bilan solishtirib muallif tomonidan umumlashtirilgan; muddatlar taxminiy.</w:t>
      </w:r>
    </w:p>
    <w:p w14:paraId="773FC042">
      <w:r>
        <w:t>Jadvaldan ikki amaliy xulosa chiqadi. Birinchidan, eng engil shakl bo‘lgan 1–3 yillik xizmat shartnomasi qonuniy DXSh maqomiga ega bo‘lish uchun muddatini uzaytirishi lozim. Ikkinchidan, ijara va lizing o‘rtasidagi farq (mulk huquqi va to‘lov tartibi) KOB uchun moliyaviy xatarni o‘zgartiradi, shu sababli bu ikki shakl bir qatorda emas, alohida ko‘rib chiqilishi kerak.</w:t>
      </w:r>
    </w:p>
    <w:p w14:paraId="14DC30DD">
      <w:pPr>
        <w:pStyle w:val="4"/>
      </w:pPr>
      <w:r>
        <w:t>3.3. O‘zbekiston DXSh amaliyoti: ma’lumotlar tahlili</w:t>
      </w:r>
    </w:p>
    <w:p w14:paraId="5A4DCDFE">
      <w:r>
        <w:t>XVF ma’lumotlariga ko‘ra, 2023-yilda O‘zbekiston 1,6 mlrd dollarlik 6 ta yangi DXSh bitimini imzoladi, bu Yevropa va Markaziy Osiyodagi past va o‘rta daromadli mamlakatlarning yangi DXSh majburiyatlarining qariyb 40 foizi bo‘ldi; 2025–2030-yillarga rejalashtirilgan yangi loyihalar hajmi 30,2 mlrd dollar [5]. XVF shu bilan birga davlat uchun kelajakda moliyaviy majburiyatlar oshishi xavfiga ishora qiladi va 2025-yilgi davlat byudjetida yangi DXSh loyihalari uchun 6,5 mlrd dollarlik chegara belgilanganini ma’qullaydi [5].</w:t>
      </w:r>
    </w:p>
    <w:p w14:paraId="6AAC312F">
      <w:r>
        <w:t>KOB nuqtayi nazaridan qiziqarli ma’lumot 2026-yil birinchi choragiga tegishli. Iqtisodiyot va moliya vazirligining axborotiga ko‘ra, choraqda umumiy qiymati 547,2 mln dollar bo‘lgan 59 ta DXSh loyihasi bo‘yicha bitim imzolanib, reyestrdan o‘tkazilgan [6]. 3-jadvalda tarmoqlar kesimidagi ma’lumotlar va muallifning hisob-kitoblari keltirilgan.</w:t>
      </w:r>
    </w:p>
    <w:p w14:paraId="31309EF9">
      <w:r>
        <w:rPr>
          <w:i/>
        </w:rPr>
        <w:t>3-jadval</w:t>
      </w:r>
    </w:p>
    <w:p w14:paraId="6754DBF9">
      <w:r>
        <w:rPr>
          <w:b/>
        </w:rPr>
        <w:t>2026-yil 1-chorakda imzolangan DXSh bitimlarining tarmoq tuzilmasi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40D2A8BB">
        <w:trPr>
          <w:tblHeader/>
        </w:trPr>
        <w:tc>
          <w:tcPr>
            <w:tcW w:w="1872" w:type="dxa"/>
            <w:shd w:val="clear" w:color="auto" w:fill="F2F2F2"/>
          </w:tcPr>
          <w:p w14:paraId="767DFE20">
            <w:r>
              <w:t>Tarmoq</w:t>
            </w:r>
          </w:p>
        </w:tc>
        <w:tc>
          <w:tcPr>
            <w:tcW w:w="1872" w:type="dxa"/>
            <w:shd w:val="clear" w:color="auto" w:fill="F2F2F2"/>
          </w:tcPr>
          <w:p w14:paraId="774FAED3">
            <w:r>
              <w:t>Bitimlar soni</w:t>
            </w:r>
          </w:p>
        </w:tc>
        <w:tc>
          <w:tcPr>
            <w:tcW w:w="1872" w:type="dxa"/>
            <w:shd w:val="clear" w:color="auto" w:fill="F2F2F2"/>
          </w:tcPr>
          <w:p w14:paraId="5D8CFD58">
            <w:r>
              <w:t>Qiymati, mln dollar</w:t>
            </w:r>
          </w:p>
        </w:tc>
        <w:tc>
          <w:tcPr>
            <w:tcW w:w="1872" w:type="dxa"/>
            <w:shd w:val="clear" w:color="auto" w:fill="F2F2F2"/>
          </w:tcPr>
          <w:p w14:paraId="5A110ADE">
            <w:r>
              <w:t>Qiymatdagi ulushi, %</w:t>
            </w:r>
          </w:p>
        </w:tc>
        <w:tc>
          <w:tcPr>
            <w:tcW w:w="1872" w:type="dxa"/>
            <w:shd w:val="clear" w:color="auto" w:fill="F2F2F2"/>
          </w:tcPr>
          <w:p w14:paraId="7CE01B98">
            <w:r>
              <w:t>Bitimning o‘rtacha qiymati, mln dollar</w:t>
            </w:r>
          </w:p>
        </w:tc>
      </w:tr>
      <w:tr w14:paraId="1DBEEE48">
        <w:tc>
          <w:tcPr>
            <w:tcW w:w="1872" w:type="dxa"/>
          </w:tcPr>
          <w:p w14:paraId="7E663257">
            <w:r>
              <w:t>Ta’lim</w:t>
            </w:r>
          </w:p>
        </w:tc>
        <w:tc>
          <w:tcPr>
            <w:tcW w:w="1872" w:type="dxa"/>
          </w:tcPr>
          <w:p w14:paraId="573BF493">
            <w:r>
              <w:t>33</w:t>
            </w:r>
          </w:p>
        </w:tc>
        <w:tc>
          <w:tcPr>
            <w:tcW w:w="1872" w:type="dxa"/>
          </w:tcPr>
          <w:p w14:paraId="2B7F5DB5">
            <w:r>
              <w:t>24,8</w:t>
            </w:r>
          </w:p>
        </w:tc>
        <w:tc>
          <w:tcPr>
            <w:tcW w:w="1872" w:type="dxa"/>
          </w:tcPr>
          <w:p w14:paraId="41A97E6A">
            <w:r>
              <w:t>4,5</w:t>
            </w:r>
          </w:p>
        </w:tc>
        <w:tc>
          <w:tcPr>
            <w:tcW w:w="1872" w:type="dxa"/>
          </w:tcPr>
          <w:p w14:paraId="3BBBFC2D">
            <w:r>
              <w:t>0,75</w:t>
            </w:r>
          </w:p>
        </w:tc>
      </w:tr>
      <w:tr w14:paraId="7C336F70">
        <w:tc>
          <w:tcPr>
            <w:tcW w:w="1872" w:type="dxa"/>
          </w:tcPr>
          <w:p w14:paraId="683808B1">
            <w:r>
              <w:t>Agrosanoat</w:t>
            </w:r>
          </w:p>
        </w:tc>
        <w:tc>
          <w:tcPr>
            <w:tcW w:w="1872" w:type="dxa"/>
          </w:tcPr>
          <w:p w14:paraId="4AE10569">
            <w:r>
              <w:t>8</w:t>
            </w:r>
          </w:p>
        </w:tc>
        <w:tc>
          <w:tcPr>
            <w:tcW w:w="1872" w:type="dxa"/>
          </w:tcPr>
          <w:p w14:paraId="7D925B0E">
            <w:r>
              <w:t>0,3</w:t>
            </w:r>
          </w:p>
        </w:tc>
        <w:tc>
          <w:tcPr>
            <w:tcW w:w="1872" w:type="dxa"/>
          </w:tcPr>
          <w:p w14:paraId="3CFCE6DC">
            <w:r>
              <w:t>0,05</w:t>
            </w:r>
          </w:p>
        </w:tc>
        <w:tc>
          <w:tcPr>
            <w:tcW w:w="1872" w:type="dxa"/>
          </w:tcPr>
          <w:p w14:paraId="7147A446">
            <w:r>
              <w:t>0,04</w:t>
            </w:r>
          </w:p>
        </w:tc>
      </w:tr>
      <w:tr w14:paraId="75B696DF">
        <w:tc>
          <w:tcPr>
            <w:tcW w:w="1872" w:type="dxa"/>
          </w:tcPr>
          <w:p w14:paraId="13CC21AF">
            <w:r>
              <w:t>Sport</w:t>
            </w:r>
          </w:p>
        </w:tc>
        <w:tc>
          <w:tcPr>
            <w:tcW w:w="1872" w:type="dxa"/>
          </w:tcPr>
          <w:p w14:paraId="5A8AF112">
            <w:r>
              <w:t>5</w:t>
            </w:r>
          </w:p>
        </w:tc>
        <w:tc>
          <w:tcPr>
            <w:tcW w:w="1872" w:type="dxa"/>
          </w:tcPr>
          <w:p w14:paraId="775459DF">
            <w:r>
              <w:t>1,6</w:t>
            </w:r>
          </w:p>
        </w:tc>
        <w:tc>
          <w:tcPr>
            <w:tcW w:w="1872" w:type="dxa"/>
          </w:tcPr>
          <w:p w14:paraId="04A3B672">
            <w:r>
              <w:t>0,3</w:t>
            </w:r>
          </w:p>
        </w:tc>
        <w:tc>
          <w:tcPr>
            <w:tcW w:w="1872" w:type="dxa"/>
          </w:tcPr>
          <w:p w14:paraId="71546FCB">
            <w:r>
              <w:t>0,32</w:t>
            </w:r>
          </w:p>
        </w:tc>
      </w:tr>
      <w:tr w14:paraId="619D47B8">
        <w:tc>
          <w:tcPr>
            <w:tcW w:w="1872" w:type="dxa"/>
          </w:tcPr>
          <w:p w14:paraId="1CECAB3F">
            <w:r>
              <w:t>Madaniyat</w:t>
            </w:r>
          </w:p>
        </w:tc>
        <w:tc>
          <w:tcPr>
            <w:tcW w:w="1872" w:type="dxa"/>
          </w:tcPr>
          <w:p w14:paraId="55E106EA">
            <w:r>
              <w:t>4</w:t>
            </w:r>
          </w:p>
        </w:tc>
        <w:tc>
          <w:tcPr>
            <w:tcW w:w="1872" w:type="dxa"/>
          </w:tcPr>
          <w:p w14:paraId="0CC96F1B">
            <w:r>
              <w:t>2,3</w:t>
            </w:r>
          </w:p>
        </w:tc>
        <w:tc>
          <w:tcPr>
            <w:tcW w:w="1872" w:type="dxa"/>
          </w:tcPr>
          <w:p w14:paraId="440B6C82">
            <w:r>
              <w:t>0,4</w:t>
            </w:r>
          </w:p>
        </w:tc>
        <w:tc>
          <w:tcPr>
            <w:tcW w:w="1872" w:type="dxa"/>
          </w:tcPr>
          <w:p w14:paraId="30CD3D48">
            <w:r>
              <w:t>0,58</w:t>
            </w:r>
          </w:p>
        </w:tc>
      </w:tr>
      <w:tr w14:paraId="47642674">
        <w:tc>
          <w:tcPr>
            <w:tcW w:w="1872" w:type="dxa"/>
          </w:tcPr>
          <w:p w14:paraId="7CE61DF4">
            <w:r>
              <w:t>Sog‘liqni saqlash</w:t>
            </w:r>
          </w:p>
        </w:tc>
        <w:tc>
          <w:tcPr>
            <w:tcW w:w="1872" w:type="dxa"/>
          </w:tcPr>
          <w:p w14:paraId="45575D58">
            <w:r>
              <w:t>3</w:t>
            </w:r>
          </w:p>
        </w:tc>
        <w:tc>
          <w:tcPr>
            <w:tcW w:w="1872" w:type="dxa"/>
          </w:tcPr>
          <w:p w14:paraId="104061DF">
            <w:r>
              <w:t>1,4</w:t>
            </w:r>
          </w:p>
        </w:tc>
        <w:tc>
          <w:tcPr>
            <w:tcW w:w="1872" w:type="dxa"/>
          </w:tcPr>
          <w:p w14:paraId="33F1843A">
            <w:r>
              <w:t>0,3</w:t>
            </w:r>
          </w:p>
        </w:tc>
        <w:tc>
          <w:tcPr>
            <w:tcW w:w="1872" w:type="dxa"/>
          </w:tcPr>
          <w:p w14:paraId="08BC532D">
            <w:r>
              <w:t>0,47</w:t>
            </w:r>
          </w:p>
        </w:tc>
      </w:tr>
      <w:tr w14:paraId="2CA5EFDE">
        <w:tc>
          <w:tcPr>
            <w:tcW w:w="1872" w:type="dxa"/>
          </w:tcPr>
          <w:p w14:paraId="05BB1F74">
            <w:r>
              <w:rPr>
                <w:b/>
              </w:rPr>
              <w:t>Ijtimoiy tarmoqlar jami</w:t>
            </w:r>
          </w:p>
        </w:tc>
        <w:tc>
          <w:tcPr>
            <w:tcW w:w="1872" w:type="dxa"/>
          </w:tcPr>
          <w:p w14:paraId="740C585B">
            <w:r>
              <w:rPr>
                <w:b/>
              </w:rPr>
              <w:t>53</w:t>
            </w:r>
          </w:p>
        </w:tc>
        <w:tc>
          <w:tcPr>
            <w:tcW w:w="1872" w:type="dxa"/>
          </w:tcPr>
          <w:p w14:paraId="4E06F594">
            <w:r>
              <w:rPr>
                <w:b/>
              </w:rPr>
              <w:t>30,4</w:t>
            </w:r>
          </w:p>
        </w:tc>
        <w:tc>
          <w:tcPr>
            <w:tcW w:w="1872" w:type="dxa"/>
          </w:tcPr>
          <w:p w14:paraId="340543AE">
            <w:r>
              <w:rPr>
                <w:b/>
              </w:rPr>
              <w:t>5,6</w:t>
            </w:r>
          </w:p>
        </w:tc>
        <w:tc>
          <w:tcPr>
            <w:tcW w:w="1872" w:type="dxa"/>
          </w:tcPr>
          <w:p w14:paraId="426CEECC">
            <w:r>
              <w:rPr>
                <w:b/>
              </w:rPr>
              <w:t>0,57</w:t>
            </w:r>
          </w:p>
        </w:tc>
      </w:tr>
      <w:tr w14:paraId="241BA1E7">
        <w:tc>
          <w:tcPr>
            <w:tcW w:w="1872" w:type="dxa"/>
          </w:tcPr>
          <w:p w14:paraId="188E5AA8">
            <w:r>
              <w:t>Energetika</w:t>
            </w:r>
          </w:p>
        </w:tc>
        <w:tc>
          <w:tcPr>
            <w:tcW w:w="1872" w:type="dxa"/>
          </w:tcPr>
          <w:p w14:paraId="1B245AD3">
            <w:r>
              <w:t>—</w:t>
            </w:r>
          </w:p>
        </w:tc>
        <w:tc>
          <w:tcPr>
            <w:tcW w:w="1872" w:type="dxa"/>
          </w:tcPr>
          <w:p w14:paraId="62F0FAB5">
            <w:r>
              <w:t>357,0</w:t>
            </w:r>
          </w:p>
        </w:tc>
        <w:tc>
          <w:tcPr>
            <w:tcW w:w="1872" w:type="dxa"/>
          </w:tcPr>
          <w:p w14:paraId="479E8407">
            <w:r>
              <w:t>65,2</w:t>
            </w:r>
          </w:p>
        </w:tc>
        <w:tc>
          <w:tcPr>
            <w:tcW w:w="1872" w:type="dxa"/>
          </w:tcPr>
          <w:p w14:paraId="2F404798">
            <w:r>
              <w:t>—</w:t>
            </w:r>
          </w:p>
        </w:tc>
      </w:tr>
      <w:tr w14:paraId="096892A1">
        <w:tc>
          <w:tcPr>
            <w:tcW w:w="1872" w:type="dxa"/>
          </w:tcPr>
          <w:p w14:paraId="62EFC7A6">
            <w:r>
              <w:t>Transport</w:t>
            </w:r>
          </w:p>
        </w:tc>
        <w:tc>
          <w:tcPr>
            <w:tcW w:w="1872" w:type="dxa"/>
          </w:tcPr>
          <w:p w14:paraId="10DBA779">
            <w:r>
              <w:t>—</w:t>
            </w:r>
          </w:p>
        </w:tc>
        <w:tc>
          <w:tcPr>
            <w:tcW w:w="1872" w:type="dxa"/>
          </w:tcPr>
          <w:p w14:paraId="2897CC0C">
            <w:r>
              <w:t>134,0</w:t>
            </w:r>
          </w:p>
        </w:tc>
        <w:tc>
          <w:tcPr>
            <w:tcW w:w="1872" w:type="dxa"/>
          </w:tcPr>
          <w:p w14:paraId="351B9995">
            <w:r>
              <w:t>24,5</w:t>
            </w:r>
          </w:p>
        </w:tc>
        <w:tc>
          <w:tcPr>
            <w:tcW w:w="1872" w:type="dxa"/>
          </w:tcPr>
          <w:p w14:paraId="2BCD9FDA">
            <w:r>
              <w:t>—</w:t>
            </w:r>
          </w:p>
        </w:tc>
      </w:tr>
      <w:tr w14:paraId="41C1AA9A">
        <w:tc>
          <w:tcPr>
            <w:tcW w:w="1872" w:type="dxa"/>
          </w:tcPr>
          <w:p w14:paraId="787ECDCD">
            <w:r>
              <w:t>Boshqa (suv xo‘jaligi, kommunal, qurilish)</w:t>
            </w:r>
          </w:p>
        </w:tc>
        <w:tc>
          <w:tcPr>
            <w:tcW w:w="1872" w:type="dxa"/>
          </w:tcPr>
          <w:p w14:paraId="49535D39">
            <w:r>
              <w:t>—</w:t>
            </w:r>
          </w:p>
        </w:tc>
        <w:tc>
          <w:tcPr>
            <w:tcW w:w="1872" w:type="dxa"/>
          </w:tcPr>
          <w:p w14:paraId="77EAB8DA">
            <w:r>
              <w:t>25,8</w:t>
            </w:r>
          </w:p>
        </w:tc>
        <w:tc>
          <w:tcPr>
            <w:tcW w:w="1872" w:type="dxa"/>
          </w:tcPr>
          <w:p w14:paraId="6AA53725">
            <w:r>
              <w:t>4,7</w:t>
            </w:r>
          </w:p>
        </w:tc>
        <w:tc>
          <w:tcPr>
            <w:tcW w:w="1872" w:type="dxa"/>
          </w:tcPr>
          <w:p w14:paraId="71202A88">
            <w:r>
              <w:t>—</w:t>
            </w:r>
          </w:p>
        </w:tc>
      </w:tr>
      <w:tr w14:paraId="393D239D">
        <w:tc>
          <w:tcPr>
            <w:tcW w:w="1872" w:type="dxa"/>
          </w:tcPr>
          <w:p w14:paraId="4C2219DE">
            <w:r>
              <w:rPr>
                <w:b/>
              </w:rPr>
              <w:t>Jami</w:t>
            </w:r>
          </w:p>
        </w:tc>
        <w:tc>
          <w:tcPr>
            <w:tcW w:w="1872" w:type="dxa"/>
          </w:tcPr>
          <w:p w14:paraId="785BA5CC">
            <w:r>
              <w:rPr>
                <w:b/>
              </w:rPr>
              <w:t>59</w:t>
            </w:r>
          </w:p>
        </w:tc>
        <w:tc>
          <w:tcPr>
            <w:tcW w:w="1872" w:type="dxa"/>
          </w:tcPr>
          <w:p w14:paraId="74ED7488">
            <w:r>
              <w:rPr>
                <w:b/>
              </w:rPr>
              <w:t>547,2</w:t>
            </w:r>
          </w:p>
        </w:tc>
        <w:tc>
          <w:tcPr>
            <w:tcW w:w="1872" w:type="dxa"/>
          </w:tcPr>
          <w:p w14:paraId="310B10DF">
            <w:r>
              <w:rPr>
                <w:b/>
              </w:rPr>
              <w:t>100</w:t>
            </w:r>
          </w:p>
        </w:tc>
        <w:tc>
          <w:tcPr>
            <w:tcW w:w="1872" w:type="dxa"/>
          </w:tcPr>
          <w:p w14:paraId="28DC4A26">
            <w:r>
              <w:rPr>
                <w:b/>
              </w:rPr>
              <w:t>9,27</w:t>
            </w:r>
          </w:p>
        </w:tc>
      </w:tr>
    </w:tbl>
    <w:p w14:paraId="2D5EEDF2">
      <w:r>
        <w:rPr>
          <w:i/>
        </w:rPr>
        <w:t>Manba: Iqtisodiyot va moliya vazirligi [6]; ulushlar va o‘rtacha qiymatlar muallif hisobi. Axborotda energetika va transport bo‘yicha bitimlar soni alohida ko‘rsatilmagan.</w:t>
      </w:r>
    </w:p>
    <w:p w14:paraId="0D99F0EB">
      <w:r>
        <w:t>Bu raqamlardan uchta kuzatuv kelib chiqadi.</w:t>
      </w:r>
    </w:p>
    <w:p w14:paraId="5DEF3940">
      <w:r>
        <w:rPr>
          <w:b/>
        </w:rPr>
        <w:t>Birinchi.</w:t>
      </w:r>
      <w:r>
        <w:t xml:space="preserve"> Bitimlar soniga ko‘ra ijtimoiy tarmoqlar 53/59 = 89,8 foizni tashkil qiladi, qiymatga ko‘ra esa 30,4/547,2 = 5,6 foizni. Qiymatning 89,7 foizi ikki yirik bitimga to‘g‘ri keladi: Samarqand viloyati elektr tarmoqlarini xususiy boshqaruvga berish (357 mln dollar) va Urganch aeroportini modernizatsiya qilish (134 mln dollar) [6]. Shunday qilib, DXShning «o‘rtacha» ko‘rsatkichi (9,27 mln dollar) hech bir real loyihani tasvirlamaydi: u juda kichik va juda yirik loyihalarning aralashmasidir.</w:t>
      </w:r>
    </w:p>
    <w:p w14:paraId="1C253F41">
      <w:r>
        <w:rPr>
          <w:b/>
        </w:rPr>
        <w:t>Ikkinchi.</w:t>
      </w:r>
      <w:r>
        <w:t xml:space="preserve"> Ta’limdagi bitimning o‘rtacha qiymati taxminan 0,75 mln dollar bo‘lsa, Samarqand tarmog‘i bitimi 357 mln dollar: farq taxminan 476 barobar. Demak, amalda kichik DXSh allaqachon mavjud, lekin ular alohida huquqiy toifa sifatida ajratilmagan va o‘sha umumiy tartib ostida ro‘yxatga olinmoqda. Shu bilan birga, [6] xususiy sheriklarning o‘lchamini ko‘rsatmaydi; bu loyihalarda ishtirok etayotgan sheriklarning qanchasi KOB ekanligini aniqlash keyingi tadqiqotning vazifasidir.</w:t>
      </w:r>
    </w:p>
    <w:p w14:paraId="3D4031E3">
      <w:r>
        <w:rPr>
          <w:b/>
        </w:rPr>
        <w:t>Uchinchi.</w:t>
      </w:r>
      <w:r>
        <w:t xml:space="preserve"> Monitoring natijalari kichik loyihalardagi xavfga ham ishora qiladi. Toshkent shahri (188 ta) va Samarqand viloyati (5 ta) bo‘yicha tekshirilgan 193 loyihaning 85 tasida (44 foiz) xususiy sherik amalda faoliyat yuritmayotgani yoki tugatilgani aniqlangan [6]. Namuna faqat ikki hududni qamrab olgani uchun bu ko‘rsatkichni butun mamlakatga umumlashtirib bo‘lmaydi, lekin sherikni tanlash va keyingi nazoratning muhimligini ko‘rsatadi: kichik loyihalarda sherik zaif bo‘lsa, xavf yuqori bo‘ladi.</w:t>
      </w:r>
    </w:p>
    <w:p w14:paraId="76246228">
      <w:r>
        <w:t>Tarmoq nomutanosibligi bilan bog‘liq yana bir omil huquqiy muhitdir. 2024-yil 30-avgustdagi PQ-308-son qaror bilan Iqtisodiyot va moliya vazirligi tarkibida «DXSh loyihalari markazi» loyiha ofisi tashkil etilgan [4], 720-son qaror bilan esa loyihalarni dastlabki baholash, tashabbus qilish, tanlov hujjatlarini kelishish va reyestr yuritish tartibi tasdiqlangan [3]. Bu tartiblar yagona; ularning ichida kichik loyihalar uchun alohida yengillashtirilgan yo‘l borligi haqida manbalarda ma’lumot topilmadi, bu esa 4-bo‘limdagi taklifning asosi bo‘ladi.</w:t>
      </w:r>
    </w:p>
    <w:p w14:paraId="2B53BB61">
      <w:pPr>
        <w:pStyle w:val="4"/>
      </w:pPr>
      <w:r>
        <w:t>3.4. Xorijiy tajriba</w:t>
      </w:r>
    </w:p>
    <w:p w14:paraId="0A104D8C">
      <w:r>
        <w:t>OECDning submilliy DXSh bo‘yicha hisobotiga ko‘ra, 2016–2030-yillarda dunyodagi infratuzilma ehtiyoji yiliga taxminan 6,3 trln dollarga baholanadi, DXSh esa asosan submilliy darajada amalga oshiriladi: Fransiyada 2005–2011-yillarda «contrat de partenariat» shartnomalarining 79 foizi submilliy hukumatlar tomonidan berilgan, Avstraliyada DXShlarning taxminan 90 foizi shtatlar darajasida, Germaniyada esa DXSh investitsiyalari hajmining taxminan 80 foizi submilliy darajada amalga oshirilgan [8]. Shu hisobotda minimal loyiha qiymatini belgilash zarurligi ham ta’kidlangan, chunki submilliy hukumatlarning texnik salohiyati cheklangan [8].</w:t>
      </w:r>
    </w:p>
    <w:p w14:paraId="02D973E4">
      <w:r>
        <w:t>Bu ma’lumotlar O‘zbekiston uchun ikki jihatdan muhim. Birinchidan, DXShning kichik va o‘rta hajmdagi qismi odatda hududiy darajada joylashadi, ya’ni KOB bilan hamkorlik markaziy hukumat emas, mahalliy hokimiyat darajasida shakllanadi. Ikkinchidan, minimal qiymat chegarasi ikki tomonlama ta’sir ko‘rsatadi: u arzimas loyihalarga sarflanadigan ma’muriy xarajatni kamaytiradi, lekin KOB uchun kirish to‘sig‘iga ham aylanishi mumkin. Shuning uchun O‘zbekiston qonunchiligidagi amaldagi qiymat chegaralari KOBga ta’siri nuqtayi nazaridan alohida o‘rganilishi kerak.</w:t>
      </w:r>
    </w:p>
    <w:p w14:paraId="53CC8EF2">
      <w:r>
        <w:t>Germaniya, Buyuk Britaniya va Janubiy Koreya tajribasiga oid umumiy kuzatuvlar (davlat xaridlarida buyurtmalarni lotlarga bo‘lish, yirik pudratchilardan KOBni subpudratga jalb qilishni rag‘batlantirish, kichik korxonalar uchun kredit kafolati jamg‘armalari) asosan davlat xaridlari va KOBni moliyalashtirish siyosatiga tegishli bo‘lib, DXSh tizimining o‘zidan emas. Ularni O‘zbekiston uchun andoza deb emas, kichik DXSh tartibini loyihalashda foydalaniladigan vositalar to‘plami sifatida qarash o‘rinli; har bir mamlakat bo‘yicha aniq qonun va dastur nomi keyingi tadqiqotda birlamchi manbaga havola bilan to‘ldirilishi kerak.</w:t>
      </w:r>
    </w:p>
    <w:p w14:paraId="4B8A63A5">
      <w:pPr>
        <w:pStyle w:val="3"/>
      </w:pPr>
      <w:r>
        <w:t>4. Muhokama</w:t>
      </w:r>
    </w:p>
    <w:p w14:paraId="59C18E24">
      <w:r>
        <w:t>Tahlil boshlang‘ich farazni qisman tasdiqlaydi. KOBning iqtisodiy ulushi (52,2 foiz YaIM) bilan DXSh portfelidagi ko‘rinishi o‘rtasidagi tafovut aniq: XVF ma’lumotiga ko‘ra portfelning 93 foizi energetikada [5]. Shu bilan birga 2026-yil 1-choragida bitimlar sonining 90 foizi ijtimoiy tarmoqlarda [6]. Demak, muammo faqat «KOB DXShga kira olmaydi» emas, balki kichik loyihalar soni jihatidan ko‘p bo‘lsa-da, ular qiymat jihatidan va siyosiy e’tibor jihatidan ikkinchi o‘rinda turadi.</w:t>
      </w:r>
    </w:p>
    <w:p w14:paraId="27BAA2CA">
      <w:r>
        <w:t>To‘siqlarni uch guruhga ajratish mumkin. Tuzilmaviy to‘siq: KOBning 59 foizi yuridik shaxs maqomiga ega emas [7]. Huquqiy to‘siq: eng engil shakl bo‘lgan qisqa muddatli xizmat shartnomasi DXSh bitimi uchun belgilangan 3 yillik chegaradan pastda qoladi [1]. Institutsional to‘siq: loyihalarni baholash va tanlash tartibi hamma uchun yagona [3], kichik loyihalar uchun alohida yo‘l ko‘rsatilmagan. Bu uch guruh o‘zaro bog‘liq va birini hal qilish qolganlarini hal qilmaydi.</w:t>
      </w:r>
    </w:p>
    <w:p w14:paraId="321991DF">
      <w:r>
        <w:t>Xulosalarni o‘qishda yuqorida ko‘rsatilgan cheklovlarni eslab turish kerak: ma’lumot bir choraklik, xususiy sheriklarning o‘lchami ma’lum emas, 193 loyihalik monitoring namunasi faqat ikki hududni qamrab oladi. Shu sababli natijalar tasdiqlangan qonuniyat emas, keyingi tadqiqot uchun asoslangan farazlardir.</w:t>
      </w:r>
    </w:p>
    <w:p w14:paraId="5549859C">
      <w:pPr>
        <w:pStyle w:val="3"/>
      </w:pPr>
      <w:r>
        <w:t>5. Xulosa</w:t>
      </w:r>
    </w:p>
    <w:p w14:paraId="300EA989">
      <w:r>
        <w:t>Tadqiqot natijalari quyidagicha.</w:t>
      </w:r>
    </w:p>
    <w:p w14:paraId="0CA44A26">
      <w:pPr>
        <w:pStyle w:val="18"/>
        <w:numPr>
          <w:ilvl w:val="0"/>
          <w:numId w:val="1"/>
        </w:numPr>
      </w:pPr>
      <w:r>
        <w:t>KOB O‘zbekiston YaIMining 52,2 foizini va asosiy kapitalga investitsiyalarning 61,4 foizini ta’minlaydi [7], ammo DXSh portfelining qiymati energetikada to‘plangan (93 foiz, 2023-yil oxiri holatiga) [5]. 2026-yil 1-choragida imzolangan bitimlarning 90 foizi ijtimoiy tarmoqlarda bo‘lsa-da, ular qiymatning 5,6 foizini tashkil qiladi; ikki yirik loyiha esa 89,7 foizini egallaydi [6]. DXSh ko‘rsatkichlarini o‘rtacha qiymat bilan tavsiflash chalg‘itadi, ularni hajm bo‘yicha guruhlab ko‘rish zarur.</w:t>
      </w:r>
    </w:p>
    <w:p w14:paraId="0A61ED74">
      <w:pPr>
        <w:pStyle w:val="18"/>
        <w:numPr>
          <w:ilvl w:val="0"/>
          <w:numId w:val="1"/>
        </w:numPr>
      </w:pPr>
      <w:r>
        <w:t>KOBga mos shakllar (xizmat, boshqaruv, ijara, lizing, kichik konsessiya) kapital talabi bo‘yicha mos, lekin ular qonundagi muddat talabi (3–49 yil) bilan birga ko‘rib chiqilishi kerak: 1–3 yillik xizmat shartnomasi hozirgi ko‘rinishida DXSh bitimi bo‘lmaydi. Ijara va lizing alohida shakllar sifatida tasniflanishi lozim.</w:t>
      </w:r>
    </w:p>
    <w:p w14:paraId="437309AC">
      <w:pPr>
        <w:pStyle w:val="18"/>
        <w:numPr>
          <w:ilvl w:val="0"/>
          <w:numId w:val="1"/>
        </w:numPr>
      </w:pPr>
      <w:r>
        <w:t>Amaliy to‘siqlar uchta: yuridik shaxs maqomiga ega bo‘lmagan KOB ulushining yuqoriligi (58,97 foiz), kichik loyihalar uchun alohida tartib yo‘qligi va sherikning faoliyat ko‘rsatishini nazorat qilish zaifligi (tekshirilgan 193 loyihaning 44 foizida sherik faol emas).</w:t>
      </w:r>
    </w:p>
    <w:p w14:paraId="68FDCB06">
      <w:r>
        <w:t>Shu asosda muallif quyidagi takliflarni ilgari suradi: (a) kichik DXSh uchun alohida toifa joriy etish va uning qiymat hamda muddat chegaralarini Qonun darajasida aniqlash; (b) standart shartnomalar to‘plami (xizmat, boshqaruv, ijara) va qisqartirilgan loyiha hujjatlari tayyorlash; (c) mahalliy hokimiyat darajasida elektron platforma orqali soddalashtirilgan tanlov o‘tkazish va loyihalarni lotlarga bo‘lish; (d) yuridik shaxs maqomiga ega bo‘lmagan tadbirkorlar uchun kooperatsiya yoki konsorsium shaklida ishtirok etish yo‘lini ochish; (e) reyestrga xususiy sherikning o‘lchamini (mikro, kichik, o‘rta, yirik) ko‘rsatish majburiyatini kiritish, shunda KOBning haqiqiy ishtiroki o‘lchanadigan bo‘ladi.</w:t>
      </w:r>
    </w:p>
    <w:p w14:paraId="1E8B3BED">
      <w:r>
        <w:t>Keyingi tadqiqot yo‘nalishlari: reyestrdagi loyihalar bo‘yicha sheriklar o‘lchamini aniqlash, kichik loyihalarda tranzaksiya xarajatlarini real hujjatlar asosida baholash va tanlangan davlatlarning kichik DXSh tartiblarini birlamchi manbalar asosida solishtirish.</w:t>
      </w:r>
    </w:p>
    <w:p w14:paraId="1A3BB61E">
      <w:pPr>
        <w:pStyle w:val="3"/>
      </w:pPr>
      <w:r>
        <w:t>Foydalanilgan adabiyotlar</w:t>
      </w:r>
    </w:p>
    <w:p w14:paraId="2BC6E616">
      <w:pPr>
        <w:pStyle w:val="18"/>
        <w:numPr>
          <w:ilvl w:val="0"/>
          <w:numId w:val="2"/>
        </w:numPr>
      </w:pPr>
      <w:r>
        <w:t>O‘zbekiston Respublikasining «Davlat-xususiy sheriklik to‘g‘risida»gi O‘RQ-537-son Qonuni, 10.05.2019. https://lex.uz/docs/4329272</w:t>
      </w:r>
    </w:p>
    <w:p w14:paraId="315F3714">
      <w:pPr>
        <w:pStyle w:val="18"/>
        <w:numPr>
          <w:ilvl w:val="0"/>
          <w:numId w:val="2"/>
        </w:numPr>
      </w:pPr>
      <w:r>
        <w:t>O‘zbekiston Respublikasining 22.01.2021-yildagi O‘RQ-669-son Qonuni (davlat-xususiy sheriklik to‘g‘risidagi qonunchilikni takomillashtirish munosabati bilan ayrim qonun hujjatlariga o‘zgartish kiritish haqida). https://www.spot.uz/oz/2021/01/29/xususiy-sheriklik/</w:t>
      </w:r>
    </w:p>
    <w:p w14:paraId="2DFA0290">
      <w:pPr>
        <w:pStyle w:val="18"/>
        <w:numPr>
          <w:ilvl w:val="0"/>
          <w:numId w:val="2"/>
        </w:numPr>
      </w:pPr>
      <w:r>
        <w:t>Vazirlar Mahkamasining 30.10.2024-yildagi 720-son qarori «Davlat-xususiy sheriklik sohasini takomillashtirish va kompleks tizimlashtirish chora-tadbirlari to‘g‘risida». https://www.lex.uz/ru/docs/7189265</w:t>
      </w:r>
    </w:p>
    <w:p w14:paraId="1DB7655E">
      <w:pPr>
        <w:pStyle w:val="18"/>
        <w:numPr>
          <w:ilvl w:val="0"/>
          <w:numId w:val="2"/>
        </w:numPr>
      </w:pPr>
      <w:r>
        <w:t>O‘zbekiston Respublikasi Prezidentining 30.08.2024-yildagi PQ-308-son qarori (2024–2030-yillarda DXShni rivojlantirish chora-tadbirlari haqida); Iqtisodiyot va moliya vazirligi, «Davlat-xususiy sheriklik loyihalari» sahifasi. https://gov.uz/oz/pages/Davlat_xususiy_sheriklik_loyihalari</w:t>
      </w:r>
    </w:p>
    <w:p w14:paraId="4A3ECF94">
      <w:pPr>
        <w:pStyle w:val="18"/>
        <w:numPr>
          <w:ilvl w:val="0"/>
          <w:numId w:val="2"/>
        </w:numPr>
      </w:pPr>
      <w:r>
        <w:t>Kun.uz. IMF: Uzbekistan’s public-private partnerships could burden future budgets, 02.07.2025 (XVF, Republic of Uzbekistan: Selected Issues, 2025 hisobotiga asoslangan). https://kun.uz/en/news/2025/07/02/imf-uzbekistans-public-private-partnerships-could-burden-future-budgets ; hisobot: https://www.imf.org/en/Publications/CR/Issues/2025/06/23/Republic-of-Uzbekistan-Selected-Issues-567982</w:t>
      </w:r>
    </w:p>
    <w:p w14:paraId="1719044C">
      <w:pPr>
        <w:pStyle w:val="18"/>
        <w:numPr>
          <w:ilvl w:val="0"/>
          <w:numId w:val="2"/>
        </w:numPr>
      </w:pPr>
      <w:r>
        <w:t>O‘zbekiston Respublikasi Iqtisodiyot va moliya vazirligi. Public-Private Partnership activities in the first quarter of 2026, 01.05.2026. https://gov.uz/en/imv/news/view/160374</w:t>
      </w:r>
    </w:p>
    <w:p w14:paraId="1FDA6D10">
      <w:pPr>
        <w:pStyle w:val="18"/>
        <w:numPr>
          <w:ilvl w:val="0"/>
          <w:numId w:val="2"/>
        </w:numPr>
      </w:pPr>
      <w:r>
        <w:t>O‘zbekiston Respublikasi Milliy statistika qo‘mitasi. Key indicators of small business entities in the Republic of Uzbekistan (January–December 2025), 26.01.2026. https://stat.uz/img/news/maliy-biznes-kb_en_p93785.pdf</w:t>
      </w:r>
    </w:p>
    <w:p w14:paraId="4A0D652E">
      <w:pPr>
        <w:pStyle w:val="18"/>
        <w:numPr>
          <w:ilvl w:val="0"/>
          <w:numId w:val="2"/>
        </w:numPr>
      </w:pPr>
      <w:r>
        <w:t>OECD. Subnational Public-Private Partnerships: Meeting Infrastructure Challenges. OECD Multi-level Governance Studies. Paris: OECD Publishing, 2018. https://doi.org/10.1787/9789264304864-en</w:t>
      </w:r>
    </w:p>
    <w:p w14:paraId="6EDEBBFB">
      <w:pPr>
        <w:pStyle w:val="18"/>
        <w:numPr>
          <w:ilvl w:val="0"/>
          <w:numId w:val="2"/>
        </w:numPr>
      </w:pPr>
      <w:r>
        <w:t>Schumpeter J.A. The Theory of Economic Development. Cambridge, MA: Harvard University Press, 1934.</w:t>
      </w:r>
    </w:p>
    <w:p w14:paraId="41CE6696">
      <w:pPr>
        <w:pStyle w:val="18"/>
        <w:numPr>
          <w:ilvl w:val="0"/>
          <w:numId w:val="2"/>
        </w:numPr>
      </w:pPr>
      <w:r>
        <w:t>Coase R.H. The Nature of the Firm // Economica. 1937. Vol. 4, No. 16. P. 386–405.</w:t>
      </w:r>
    </w:p>
    <w:p w14:paraId="6BEEC652">
      <w:pPr>
        <w:pStyle w:val="18"/>
        <w:numPr>
          <w:ilvl w:val="0"/>
          <w:numId w:val="2"/>
        </w:numPr>
      </w:pPr>
      <w:r>
        <w:t>Williamson O.E. The Economic Institutions of Capitalism. New York: Free Press, 1985.</w:t>
      </w:r>
    </w:p>
    <w:p w14:paraId="6216569E">
      <w:pPr>
        <w:pStyle w:val="18"/>
        <w:numPr>
          <w:ilvl w:val="0"/>
          <w:numId w:val="2"/>
        </w:numPr>
      </w:pPr>
      <w:r>
        <w:t>Yescombe E.R. Public-Private Partnerships: Principles of Policy and Finance. Oxford: Butterworth-Heinemann, 2007.</w:t>
      </w:r>
    </w:p>
    <w:p w14:paraId="62BF8536">
      <w:pPr>
        <w:pStyle w:val="18"/>
        <w:numPr>
          <w:ilvl w:val="0"/>
          <w:numId w:val="2"/>
        </w:numPr>
      </w:pPr>
      <w:r>
        <w:t>Hodge G.A., Greve C. The Challenge of Public-Private Partnerships: Learning from International Experience. Cheltenham: Edward Elgar, 2005.</w:t>
      </w:r>
    </w:p>
    <w:p w14:paraId="26C93CC1">
      <w:pPr>
        <w:pStyle w:val="18"/>
        <w:numPr>
          <w:ilvl w:val="0"/>
          <w:numId w:val="2"/>
        </w:numPr>
      </w:pPr>
      <w:r>
        <w:t>Cantillon R. Essai sur la nature du commerce en général. London, 1755.</w:t>
      </w:r>
    </w:p>
    <w:p w14:paraId="0E7ED317">
      <w:pPr>
        <w:pStyle w:val="18"/>
        <w:numPr>
          <w:ilvl w:val="0"/>
          <w:numId w:val="2"/>
        </w:numPr>
      </w:pPr>
      <w:r>
        <w:t>Smith A. An Inquiry into the Nature and Causes of the Wealth of Nations. London, 1776.</w:t>
      </w:r>
    </w:p>
    <w:p w14:paraId="5FFECC9B">
      <w:pPr>
        <w:pStyle w:val="18"/>
        <w:numPr>
          <w:ilvl w:val="0"/>
          <w:numId w:val="2"/>
        </w:numPr>
      </w:pPr>
      <w:r>
        <w:t>Marshall A. Principles of Economics. London: Macmillan, 1890.</w:t>
      </w:r>
    </w:p>
    <w:p w14:paraId="14B7568E">
      <w:bookmarkStart w:id="0" w:name="_GoBack"/>
      <w:bookmarkEnd w:id="0"/>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E1CB6"/>
    <w:multiLevelType w:val="multilevel"/>
    <w:tmpl w:val="FFFE1CB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FDBE5E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uiPriority w:val="0"/>
  </w:style>
  <w:style w:type="table" w:default="1" w:styleId="9">
    <w:name w:val="Normal Table"/>
    <w:uiPriority w:val="0"/>
    <w:tblPr>
      <w:tblCellMar>
        <w:top w:w="0" w:type="dxa"/>
        <w:left w:w="108" w:type="dxa"/>
        <w:bottom w:w="0" w:type="dxa"/>
        <w:right w:w="108" w:type="dxa"/>
      </w:tblCellMar>
    </w:tblPr>
  </w:style>
  <w:style w:type="character" w:styleId="10">
    <w:name w:val="annotation reference"/>
    <w:uiPriority w:val="0"/>
    <w:rPr>
      <w:sz w:val="16"/>
      <w:szCs w:val="16"/>
    </w:rPr>
  </w:style>
  <w:style w:type="paragraph" w:styleId="11">
    <w:name w:val="annotation text"/>
    <w:basedOn w:val="1"/>
    <w:uiPriority w:val="0"/>
    <w:pPr>
      <w:spacing w:line="240" w:lineRule="auto"/>
    </w:pPr>
    <w:rPr>
      <w:sz w:val="20"/>
      <w:szCs w:val="20"/>
    </w:rPr>
  </w:style>
  <w:style w:type="character" w:styleId="12">
    <w:name w:val="Hyperlink"/>
    <w:uiPriority w:val="0"/>
    <w:rPr>
      <w:color w:val="0563C1"/>
      <w:u w:val="single"/>
    </w:rPr>
  </w:style>
  <w:style w:type="table" w:styleId="13">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1</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2026-10-10T12:41:26Z</dcterms:created>
  <dc:creator>Data</dc:creator>
  <dc:description>Claude Docs node/8adf4767-f0d4@1 docx-w6</dc:description>
  <cp:lastModifiedBy>Fang Yuan</cp:lastModifiedBy>
  <dcterms:modified xsi:type="dcterms:W3CDTF">2026-10-10T12:42:49Z</dcterms:modified>
  <dc:title>Kichik va o‘rta tadbirkorlikni rivojlantirishda davlat-xususiy sheriklikning naz</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A1E64428FD385ADA79ECC96A2FB2B1D7_42</vt:lpwstr>
  </property>
</Properties>
</file>