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Kichik va o‘rta tadbirkorlikni rivojlantirishda davlat-xususiy sheriklikning nazariy-metodologik asoslari va tasnifiy modellari</w:t>
      </w:r>
    </w:p>
    <w:p>
      <w:pPr/>
      <w:r>
        <w:rPr>
          <w:i/>
        </w:rPr>
        <w:t xml:space="preserve">Z. Tangriyeva</w:t>
      </w:r>
    </w:p>
    <w:p>
      <w:pPr>
        <w:pStyle w:val="Heading2"/>
      </w:pPr>
      <w:r>
        <w:t xml:space="preserve">Annotatsiya</w:t>
      </w:r>
    </w:p>
    <w:p>
      <w:pPr/>
      <w:r>
        <w:t xml:space="preserve">O‘zbekistonda kichik va o‘rta biznes (KOB) 2025-yilda YaIMning 52,2 foizini yaratdi. Davlat-xususiy sheriklik (DXSh) portfeli esa boshqa tomonga og‘gan: Xalqaro valyuta jamg‘armasi (XVF) ma’lumotiga ko‘ra, 2023-yil oxirida uning 93 foizi energetikaga, atigi 0,8 foizi ta’limga to‘g‘ri kelgan. Maqolada KOBning iqtisodiy mazmuni nazariy jihatdan ko‘rib chiqiladi, unga mos DXSh shakllari amaldagi tartib (qiymat toifalari va muddat talabi) bilan solishtirilib tasniflanadi, 2026-yil birinchi chorak ma’lumotlari asosida esa kichik loyihalarning o‘rni baholanadi. Choraqda imzolangan 59 bitimning 53 tasi ijtimoiy sohada, ammo ular jami 547,2 mln dollarning 5,6 foizini tashkil etadi. Ta’limdagi bitimning o‘rtacha qiymati (0,75 mln dollar) Nizomdagi 1 mln dollarlik yengillashtirilgan toifa chegarasidan past. Asosiy cheklovlar sifatida minimal 3 yillik muddat, tender va ro‘yxatga olish bilan bog‘liq qat’iy xarajatlar hamda reyestrda xususiy sherik hajmining ko‘rsatilmasligi ajratib ko‘rsatilgan; ularni bartaraf etish bo‘yicha takliflar berilgan.</w:t>
      </w:r>
    </w:p>
    <w:p>
      <w:pPr/>
      <w:r>
        <w:t xml:space="preserve">Kalit so‘zlar: kichik va o‘rta biznes, davlat-xususiy sheriklik, tranzaksiya xarajatlari, kichik DXSh, boshqaruv shartnomasi, O‘zbekiston.</w:t>
      </w:r>
    </w:p>
    <w:p>
      <w:pPr>
        <w:pStyle w:val="Heading2"/>
      </w:pPr>
      <w:r>
        <w:t xml:space="preserve">Аннотация</w:t>
      </w:r>
    </w:p>
    <w:p>
      <w:pPr/>
      <w:r>
        <w:t xml:space="preserve">Малый и средний бизнес (МСП) Узбекистана в 2025 году создал 52,2% ВВП, но портфель государственно-частного партнёрства (ГЧП) сильно смещён в сторону энергетики: по данным МВФ, на конец 2023 года на неё приходилось 93%, на образование — лишь 0,8%. В статье рассматривается экономическая природа МСП, классифицируются формы ГЧП, доступные малому бизнесу, с учётом действующего порядка (стоимостные категории и минимальный срок), и анализируются данные за I квартал 2026 года. Из 59 соглашений, подписанных за квартал, 53 относятся к социальной сфере, однако на них приходится всего 5,6% общей стоимости; средняя стоимость соглашения в образовании (0,75 млн долл.) ниже порога упрощённой категории в 1 млн долл. Основными ограничениями названы минимальный срок 3 года, постоянные издержки процедур и отсутствие в реестре данных о размере партнёра; предложены меры по их устранению.</w:t>
      </w:r>
    </w:p>
    <w:p>
      <w:pPr/>
      <w:r>
        <w:t xml:space="preserve">Ключевые слова: малый и средний бизнес, государственно-частное партнёрство, транзакционные издержки, малое ГЧП, Узбекистан.</w:t>
      </w:r>
    </w:p>
    <w:p>
      <w:pPr>
        <w:pStyle w:val="Heading2"/>
      </w:pPr>
      <w:r>
        <w:t xml:space="preserve">Abstract</w:t>
      </w:r>
    </w:p>
    <w:p>
      <w:pPr/>
      <w:r>
        <w:t xml:space="preserve">Small and medium-sized enterprises (SMEs) generated 52.2% of Uzbekistan’s GDP in 2025, yet the public-private partnership (PPP) portfolio leans heavily towards energy: according to the IMF, energy accounted for 93% of it at end-2023 and education for only 0.8%. The paper examines the economic nature of SMEs, classifies the PPP forms open to small firms against the current procedure (value tiers and minimum term), and analyses Q1 2026 data. Of the 59 agreements signed in the quarter, 53 were in social sectors, but they made up only 5.6% of the total value of USD 547.2 million; the average education agreement (USD 0.75 million) falls below the USD 1 million threshold of the simplified tier. The three-year minimum term, fixed procedural costs and the absence of partner size in the registry emerge as the main constraints, and measures to address them are proposed.</w:t>
      </w:r>
    </w:p>
    <w:p>
      <w:pPr/>
      <w:r>
        <w:t xml:space="preserve">Keywords: SMEs, public-private partnership, transaction costs, small PPP, Uzbekistan.</w:t>
      </w:r>
    </w:p>
    <w:p>
      <w:pPr>
        <w:pStyle w:val="Heading2"/>
      </w:pPr>
      <w:r>
        <w:t xml:space="preserve">1. Kirish</w:t>
      </w:r>
    </w:p>
    <w:p>
      <w:pPr/>
      <w:r>
        <w:t xml:space="preserve">KOB O‘zbekiston iqtisodiyotida chetda turgan sektor emas. 2026-yil 1-yanvar holatiga 1 201,6 ming faol kichik biznes subyekti hisobga olingan; 2025-yilda ular YaIMning 52,2 foizini, asosiy kapitalga investitsiyalarning 61,4 foizini va eksportning 36,6 foizini (12,4 mlrd dollar) ta’minladi [1]. DXSh tizimi esa nisbatan yangi. Qonun 2019-yil 10-mayda qabul qilingan [2]; 2021-yil 22-yanvardagi O‘RQ-669-son Qonun konsessiya munosabatlarini ham shu Qonun doirasiga kiritdi [3]; 2024-yil 30-oktyabrdagi Vazirlar Mahkamasining 720-son qarori loyihalarni amalga oshirish va moliyalashtirish tartibini belgiladi [4]. XVF hisobiga ko‘ra, portfel 2021-yildagi 6,2 mlrd dollardan (YaIMning taxminan 8 foizi) 2024-yil oxirida 31 mlrd dollargacha (YaIMning 27 foizi) o‘sdi; 2023-yil oxiridagi tarmoq tuzilmasida energetika 93 foizni (28,8 mlrd dollar), kommunal xizmatlar 5 foizni (1,5 mlrd dollar), ta’lim esa 0,8 foizni (144 mln dollar) tashkil etgan [5].</w:t>
      </w:r>
    </w:p>
    <w:p>
      <w:pPr/>
      <w:r>
        <w:t xml:space="preserve">Ikki ko‘rsatkichni yonma-yon qo‘ysak, savol o‘zi paydo bo‘ladi: KOB DXShga qaysi shakllarda va qanday to‘siqlarni yengib kira oladi? Javob berishdan oldin bir narsani ochiq aytish kerak: ochiq ma’lumotlarda xususiy sheriklarning hajmi ko‘rsatilmaydi, shuning uchun KOBning portfeldagi haqiqiy ulushi hozircha noma’lum. Faqat shuni bilamiz: portfel qiymatining asosiy qismi KOB uchun odatda yetib bo‘lmaydigan yirik infratuzilmada to‘plangan. Maqola farazi shundan iborat: KOB uchun to‘siq faqat kapital yetishmasligida emas, shartnoma shakllarining muddatida, tartibning qat’iy xarajatlarida va ma’lumotlar shaffofligidagi bo‘shliqlarda ham yotadi. Maqsad — shu farazni rasmiy hujjatlar va ma’lumotlar bilan sinab ko‘rish hamda KOBga mos DXSh shakllarini tasniflash.</w:t>
      </w:r>
    </w:p>
    <w:p>
      <w:pPr>
        <w:pStyle w:val="Heading2"/>
      </w:pPr>
      <w:r>
        <w:t xml:space="preserve">2. Metodologiya va ma’lumotlar</w:t>
      </w:r>
    </w:p>
    <w:p>
      <w:pPr/>
      <w:r>
        <w:t xml:space="preserve">Nazariy qism ikki an’anaga suyanadi: tadbirkorlik tomonidan Shumpeterning tadbirkor-innovator konsepsiyasi [6], institutsional iqtisodiyot tomonidan Kouz va Uilyamsonning tranzaksiya xarajatlari nazariyasi [7, 8]. Shakllarni tasniflashda Yescombe [9] hamda Hodge va Greve [10] asarlaridagi yondashuvdan foydalandik. Huquqiy tahlil Qonun [2] va Vazirlar Mahkamasining 720-son qaroridagi Nizom [4] matniga tayanadi: har bir shakl va loyiha toifasi muddat, qiymat va tartib talablari bo‘yicha o‘qib chiqildi.</w:t>
      </w:r>
    </w:p>
    <w:p>
      <w:pPr/>
      <w:r>
        <w:t xml:space="preserve">Empirik qism to‘rt manbaga asoslanadi: Milliy statistika qo‘mitasining kichik biznes bo‘yicha 2026-yil 26-yanvardagi axboroti [1], XVF ma’lumotlarini bayon etgan Kun.uz maqolasi [5], Iqtisodiyot va moliya vazirligining 2026-yil 1-choragi bo‘yicha axboroti [11] va OECDning submilliy DXSh hisoboti [12]. Ulushlar va o‘rtacha qiymatlar muallif tomonidan [1] va [11] dagi raqamlardan hisoblangan.</w:t>
      </w:r>
    </w:p>
    <w:p>
      <w:pPr/>
      <w:r>
        <w:t xml:space="preserve">Ma’lumotlarning to‘rt cheklovini ochiq aytish kerak. [11] xususiy sheriklarning hajmini (KOBmi yoki yirik kompaniyami) ko‘rsatmaydi, shu bois ijtimoiy sohadagi kichik loyihalarni KOB ishtirokidagi loyihalar deb atab bo‘lmaydi. Bir choraklik ma’lumot yillik tendensiyani to‘liq aks ettirmaydi. XVF portfelining tarmoq tuzilmasi 2023-yil oxiriga, umumiy hajmi esa 2024-yil oxiriga tegishli. Nihoyat, tender va ro‘yxatga olish xarajatlarining real miqdori ochiq manbalarda yo‘q, shuning uchun ularning ta’siri taxmin bo‘lib qoladi.</w:t>
      </w:r>
    </w:p>
    <w:p>
      <w:pPr>
        <w:pStyle w:val="Heading2"/>
      </w:pPr>
      <w:r>
        <w:t xml:space="preserve">3. Tahlil va natijalar</w:t>
      </w:r>
    </w:p>
    <w:p>
      <w:pPr>
        <w:pStyle w:val="Heading3"/>
      </w:pPr>
      <w:r>
        <w:t xml:space="preserve">3.1. KOBning iqtisodiy mazmuni va ko‘lami</w:t>
      </w:r>
    </w:p>
    <w:p>
      <w:pPr/>
      <w:r>
        <w:t xml:space="preserve">Tadbirkorlik nazariyasi bir necha qarashdan tarkib topgan. Kantilon tadbirkorni noaniqlik xavfini o‘z zimmasiga oladigan shaxs deb ta’riflagan [13]. Smit bozor muvozanatida raqobat va ixtisoslashuvning rolini ko‘rsatgan [14]. Marshall kichik firmalar hududiy klasterga birlashganda yirik korxonalarga yaqin samara berishini qayd etgan [15]. Shumpeter esa tadbirkor vazifasini ishlab chiqarish omillarining yangi birikmasini yaratishda ko‘rgan [6]. Innovatsiyani kichik firmalar tezroq kiritadimi yoki yirik firmalarmi, bu adabiyotda hanuz bahsli. Shuning uchun «kichik biznes innovatsiyani tezroq kiritadi» degan fikrni tasdiq sifatida emas, tadbirkorlikning moslashuvchanligi haqidagi umumiy kuzatuv sifatida qabul qilamiz.</w:t>
      </w:r>
    </w:p>
    <w:p>
      <w:pPr/>
      <w:r>
        <w:t xml:space="preserve">KOBning ko‘lami 1-jadvalda berilgan.</w:t>
      </w:r>
    </w:p>
    <w:p>
      <w:pPr/>
      <w:r>
        <w:rPr>
          <w:i/>
        </w:rPr>
        <w:t xml:space="preserve">1-jadval</w:t>
      </w:r>
    </w:p>
    <w:p>
      <w:pPr/>
      <w:r>
        <w:rPr>
          <w:b/>
        </w:rPr>
        <w:t xml:space="preserve">O‘zbekiston kichik biznesining asosiy ko‘rsatkichlari (2026-yil 1-yanvar holatiga va 2025-yil bo‘yicha)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Ko‘rsatkich</w:t>
            </w:r>
          </w:p>
        </w:tc>
        <w:tc>
          <w:tcPr>
            <w:tcW w:w="4680" w:type="dxa"/>
            <w:shd w:val="clear" w:color="auto" w:fill="F2F2F2"/>
          </w:tcPr>
          <w:p>
            <w:pPr/>
            <w:r>
              <w:t xml:space="preserve">Qiymat</w:t>
            </w:r>
          </w:p>
        </w:tc>
      </w:tr>
      <w:tr>
        <w:tc>
          <w:tcPr>
            <w:tcW w:w="4680" w:type="dxa"/>
          </w:tcPr>
          <w:p>
            <w:pPr/>
            <w:r>
              <w:t xml:space="preserve">Faol kichik biznes subyektlari soni</w:t>
            </w:r>
          </w:p>
        </w:tc>
        <w:tc>
          <w:tcPr>
            <w:tcW w:w="4680" w:type="dxa"/>
          </w:tcPr>
          <w:p>
            <w:pPr/>
            <w:r>
              <w:t xml:space="preserve">1 201,6 ming</w:t>
            </w:r>
          </w:p>
        </w:tc>
      </w:tr>
      <w:tr>
        <w:tc>
          <w:tcPr>
            <w:tcW w:w="4680" w:type="dxa"/>
          </w:tcPr>
          <w:p>
            <w:pPr/>
            <w:r>
              <w:t xml:space="preserve">shundan kichik korxona va mikrofirmalar</w:t>
            </w:r>
          </w:p>
        </w:tc>
        <w:tc>
          <w:tcPr>
            <w:tcW w:w="4680" w:type="dxa"/>
          </w:tcPr>
          <w:p>
            <w:pPr/>
            <w:r>
              <w:t xml:space="preserve">493,0 ming</w:t>
            </w:r>
          </w:p>
        </w:tc>
      </w:tr>
      <w:tr>
        <w:tc>
          <w:tcPr>
            <w:tcW w:w="4680" w:type="dxa"/>
          </w:tcPr>
          <w:p>
            <w:pPr/>
            <w:r>
              <w:t xml:space="preserve">yakka tartibdagi tadbirkorlar</w:t>
            </w:r>
          </w:p>
        </w:tc>
        <w:tc>
          <w:tcPr>
            <w:tcW w:w="4680" w:type="dxa"/>
          </w:tcPr>
          <w:p>
            <w:pPr/>
            <w:r>
              <w:t xml:space="preserve">284,4 ming</w:t>
            </w:r>
          </w:p>
        </w:tc>
      </w:tr>
      <w:tr>
        <w:tc>
          <w:tcPr>
            <w:tcW w:w="4680" w:type="dxa"/>
          </w:tcPr>
          <w:p>
            <w:pPr/>
            <w:r>
              <w:t xml:space="preserve">dehqon xo‘jaliklari</w:t>
            </w:r>
          </w:p>
        </w:tc>
        <w:tc>
          <w:tcPr>
            <w:tcW w:w="4680" w:type="dxa"/>
          </w:tcPr>
          <w:p>
            <w:pPr/>
            <w:r>
              <w:t xml:space="preserve">395,6 ming</w:t>
            </w:r>
          </w:p>
        </w:tc>
      </w:tr>
      <w:tr>
        <w:tc>
          <w:tcPr>
            <w:tcW w:w="4680" w:type="dxa"/>
          </w:tcPr>
          <w:p>
            <w:pPr/>
            <w:r>
              <w:t xml:space="preserve">Kichik korxona va mikrofirmalar toifasiga kirmagan subyektlar (yakka tartibdagi tadbirkorlar, dehqon xo‘jaliklari va boshqalar; muallif hisobi)</w:t>
            </w:r>
          </w:p>
        </w:tc>
        <w:tc>
          <w:tcPr>
            <w:tcW w:w="4680" w:type="dxa"/>
          </w:tcPr>
          <w:p>
            <w:pPr/>
            <w:r>
              <w:t xml:space="preserve">708,6 ming (58,97 %)</w:t>
            </w:r>
          </w:p>
        </w:tc>
      </w:tr>
      <w:tr>
        <w:tc>
          <w:tcPr>
            <w:tcW w:w="4680" w:type="dxa"/>
          </w:tcPr>
          <w:p>
            <w:pPr/>
            <w:r>
              <w:t xml:space="preserve">YaIMdagi ulushi</w:t>
            </w:r>
          </w:p>
        </w:tc>
        <w:tc>
          <w:tcPr>
            <w:tcW w:w="4680" w:type="dxa"/>
          </w:tcPr>
          <w:p>
            <w:pPr/>
            <w:r>
              <w:t xml:space="preserve">52,2 % (923 514,6 mlrd so‘m)</w:t>
            </w:r>
          </w:p>
        </w:tc>
      </w:tr>
      <w:tr>
        <w:tc>
          <w:tcPr>
            <w:tcW w:w="4680" w:type="dxa"/>
          </w:tcPr>
          <w:p>
            <w:pPr/>
            <w:r>
              <w:t xml:space="preserve">Tarmoq ulushi: qishloq xo‘jaligi / qurilish / xizmatlar / sanoat</w:t>
            </w:r>
          </w:p>
        </w:tc>
        <w:tc>
          <w:tcPr>
            <w:tcW w:w="4680" w:type="dxa"/>
          </w:tcPr>
          <w:p>
            <w:pPr/>
            <w:r>
              <w:t xml:space="preserve">93,1 % / 75,6 % / 47,2 % / 28,5 %</w:t>
            </w:r>
          </w:p>
        </w:tc>
      </w:tr>
      <w:tr>
        <w:tc>
          <w:tcPr>
            <w:tcW w:w="4680" w:type="dxa"/>
          </w:tcPr>
          <w:p>
            <w:pPr/>
            <w:r>
              <w:t xml:space="preserve">Asosiy kapitalga investitsiyalardagi ulushi</w:t>
            </w:r>
          </w:p>
        </w:tc>
        <w:tc>
          <w:tcPr>
            <w:tcW w:w="4680" w:type="dxa"/>
          </w:tcPr>
          <w:p>
            <w:pPr/>
            <w:r>
              <w:t xml:space="preserve">61,4 % (362 910,0 mlrd so‘m)</w:t>
            </w:r>
          </w:p>
        </w:tc>
      </w:tr>
      <w:tr>
        <w:tc>
          <w:tcPr>
            <w:tcW w:w="4680" w:type="dxa"/>
          </w:tcPr>
          <w:p>
            <w:pPr/>
            <w:r>
              <w:t xml:space="preserve">Eksportdagi ulushi</w:t>
            </w:r>
          </w:p>
        </w:tc>
        <w:tc>
          <w:tcPr>
            <w:tcW w:w="4680" w:type="dxa"/>
          </w:tcPr>
          <w:p>
            <w:pPr/>
            <w:r>
              <w:t xml:space="preserve">36,6 % (12,4 mlrd dollar)</w:t>
            </w:r>
          </w:p>
        </w:tc>
      </w:tr>
    </w:tbl>
    <w:p>
      <w:pPr/>
      <w:r>
        <w:rPr>
          <w:i/>
        </w:rPr>
        <w:t xml:space="preserve">Manba: Milliy statistika qo‘mitasi [1]; 708,6 ming = 1 201,6 − 493,0, muallif hisobi. Uch toifaning yig‘indisi 1 173,0 ming; qolgan 28,6 ming subyekt manbada alohida toifa sifatida ko‘rsatilmagan.</w:t>
      </w:r>
    </w:p>
    <w:p>
      <w:pPr/>
      <w:r>
        <w:t xml:space="preserve">Nizomga ko‘ra, DXSh tenderida talabgor va xususiy sherik sifatida yuridik shaxs, yakka tartibdagi tadbirkor yoki yuridik shaxslar birlashmasi ishtirok eta oladi [4]. Yakka tartibdagi tadbirkorlar (284,4 ming) uchun eshik huquqan ochiq. Dehqon xo‘jaliklari (395,6 ming, ya’ni 32,9 foiz) esa Nizomning bu ta’rifida alohida tilga olinmagan; ularga konsorsium yoki kooperatsiya orqali kirish mumkin bo‘lishi ehtimoli bor, lekin buni alohida huquqiy tahlil bilan aniqlash kerak. KOB hududlar bo‘yicha ham notekis joylashgan: mamlakatda har 1000 aholiga 31,7 subyekt to‘g‘ri keladi, Jizzax viloyatida 61,0, Toshkent shahrida 45,3 [1].</w:t>
      </w:r>
    </w:p>
    <w:p>
      <w:pPr/>
      <w:r>
        <w:t xml:space="preserve">KOBning zaif tomonini tranzaksiya xarajatlari nazariyasi izohlaydi [7, 8]. Tender hujjatini tayyorlash, ekspertiza va kafolat olish uchun ketadigan xarajatning katta qismi loyiha hajmiga deyarli bog‘liq emas. Yirik loyiha uchun bu xarajat umumiy qiymat ichida sezilmaydi, kichik loyihada esa ishtirokdan olinadigan foydani sezilarli kamaytiradi. Bu hozircha nazariy mulohaza; uni O‘zbekiston misolida sinash uchun real xarajatlar bo‘yicha ma’lumot kerak.</w:t>
      </w:r>
    </w:p>
    <w:p>
      <w:pPr>
        <w:pStyle w:val="Heading3"/>
      </w:pPr>
      <w:r>
        <w:t xml:space="preserve">3.2. Amaldagi tartib: qiymat toifalari, muddat va qat’iy xarajatlar</w:t>
      </w:r>
    </w:p>
    <w:p>
      <w:pPr/>
      <w:r>
        <w:t xml:space="preserve">Qonunga ko‘ra DXSh bitimining muddati kamida 3 yil, ko‘pi bilan 49 yil bo‘lishi mumkin [2, 4]. Tartib esa hamma uchun bir xil emas: Nizom loyihalarni qiymatiga qarab farqlaydi. 1 mln va 10 mln dollarlik chegaralar bo‘yicha farqlar 2-jadvalda keltirilgan.</w:t>
      </w:r>
    </w:p>
    <w:p>
      <w:pPr/>
      <w:r>
        <w:rPr>
          <w:i/>
        </w:rPr>
        <w:t xml:space="preserve">2-jadval</w:t>
      </w:r>
    </w:p>
    <w:p>
      <w:pPr/>
      <w:r>
        <w:rPr>
          <w:b/>
        </w:rPr>
        <w:t xml:space="preserve">DXSh loyihalarini amalga oshirish tartibining qiymat toifalari bo‘yicha farqlari (720-son qaror, 1-ilova)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Toifa</w:t>
            </w:r>
          </w:p>
        </w:tc>
        <w:tc>
          <w:tcPr>
            <w:tcW w:w="2340" w:type="dxa"/>
            <w:shd w:val="clear" w:color="auto" w:fill="F2F2F2"/>
          </w:tcPr>
          <w:p>
            <w:pPr/>
            <w:r>
              <w:t xml:space="preserve">Konsepsiyani tasdiqlash</w:t>
            </w:r>
          </w:p>
        </w:tc>
        <w:tc>
          <w:tcPr>
            <w:tcW w:w="2340" w:type="dxa"/>
            <w:shd w:val="clear" w:color="auto" w:fill="F2F2F2"/>
          </w:tcPr>
          <w:p>
            <w:pPr/>
            <w:r>
              <w:t xml:space="preserve">Tender</w:t>
            </w:r>
          </w:p>
        </w:tc>
        <w:tc>
          <w:tcPr>
            <w:tcW w:w="2340" w:type="dxa"/>
            <w:shd w:val="clear" w:color="auto" w:fill="F2F2F2"/>
          </w:tcPr>
          <w:p>
            <w:pPr/>
            <w:r>
              <w:t xml:space="preserve">Hisobot va muddatni uzaytirish</w:t>
            </w:r>
          </w:p>
        </w:tc>
      </w:tr>
      <w:tr>
        <w:tc>
          <w:tcPr>
            <w:tcW w:w="2340" w:type="dxa"/>
          </w:tcPr>
          <w:p>
            <w:pPr/>
            <w:r>
              <w:t xml:space="preserve">1 mln dollargacha</w:t>
            </w:r>
          </w:p>
        </w:tc>
        <w:tc>
          <w:tcPr>
            <w:tcW w:w="2340" w:type="dxa"/>
          </w:tcPr>
          <w:p>
            <w:pPr/>
            <w:r>
              <w:t xml:space="preserve">Davlat sherigi mustaqil, vakolatli organ tasdiqlagan uslubiy qo‘llanma bo‘yicha (17-band)</w:t>
            </w:r>
          </w:p>
        </w:tc>
        <w:tc>
          <w:tcPr>
            <w:tcW w:w="2340" w:type="dxa"/>
          </w:tcPr>
          <w:p>
            <w:pPr/>
            <w:r>
              <w:t xml:space="preserve">Bir bosqichli; takliflar muddati kamida 30 kalendar kun (42-band)</w:t>
            </w:r>
          </w:p>
        </w:tc>
        <w:tc>
          <w:tcPr>
            <w:tcW w:w="2340" w:type="dxa"/>
          </w:tcPr>
          <w:p>
            <w:pPr/>
            <w:r>
              <w:t xml:space="preserve">Hisobot xususiy sherik imzosi bilan har olti oyda (85-band); muddatni davlat sherigi mustaqil uzaytiradi (58-band)</w:t>
            </w:r>
          </w:p>
        </w:tc>
      </w:tr>
      <w:tr>
        <w:tc>
          <w:tcPr>
            <w:tcW w:w="2340" w:type="dxa"/>
          </w:tcPr>
          <w:p>
            <w:pPr/>
            <w:r>
              <w:t xml:space="preserve">1–10 mln dollar</w:t>
            </w:r>
          </w:p>
        </w:tc>
        <w:tc>
          <w:tcPr>
            <w:tcW w:w="2340" w:type="dxa"/>
          </w:tcPr>
          <w:p>
            <w:pPr/>
            <w:r>
              <w:t xml:space="preserve">Vakolatli organ bilan kelishilgach davlat sherigi tasdiqlaydi (18–19-bandlar)</w:t>
            </w:r>
          </w:p>
        </w:tc>
        <w:tc>
          <w:tcPr>
            <w:tcW w:w="2340" w:type="dxa"/>
          </w:tcPr>
          <w:p>
            <w:pPr/>
            <w:r>
              <w:t xml:space="preserve">Odatda ikki bosqichli; takliflar muddati kamida 45 kun (43, 46-bandlar)</w:t>
            </w:r>
          </w:p>
        </w:tc>
        <w:tc>
          <w:tcPr>
            <w:tcW w:w="2340" w:type="dxa"/>
          </w:tcPr>
          <w:p>
            <w:pPr/>
            <w:r>
              <w:t xml:space="preserve">Muddatni uzaytirish vakolatli organ bilan kelishilgan holda (58-band)</w:t>
            </w:r>
          </w:p>
        </w:tc>
      </w:tr>
      <w:tr>
        <w:tc>
          <w:tcPr>
            <w:tcW w:w="2340" w:type="dxa"/>
          </w:tcPr>
          <w:p>
            <w:pPr/>
            <w:r>
              <w:t xml:space="preserve">10 mln dollardan yuqori</w:t>
            </w:r>
          </w:p>
        </w:tc>
        <w:tc>
          <w:tcPr>
            <w:tcW w:w="2340" w:type="dxa"/>
          </w:tcPr>
          <w:p>
            <w:pPr/>
            <w:r>
              <w:t xml:space="preserve">Vazirlar Mahkamasi tasdiqlaydi (20-band)</w:t>
            </w:r>
          </w:p>
        </w:tc>
        <w:tc>
          <w:tcPr>
            <w:tcW w:w="2340" w:type="dxa"/>
          </w:tcPr>
          <w:p>
            <w:pPr/>
            <w:r>
              <w:t xml:space="preserve">Odatda ikki bosqichli</w:t>
            </w:r>
          </w:p>
        </w:tc>
        <w:tc>
          <w:tcPr>
            <w:tcW w:w="2340" w:type="dxa"/>
          </w:tcPr>
          <w:p>
            <w:pPr/>
            <w:r>
              <w:t xml:space="preserve">Maslahatchilar jalb etish majburiy (5-band); uzaytirishda Vazirlar Mahkamasi bilan kelishiladi (58-band)</w:t>
            </w:r>
          </w:p>
        </w:tc>
      </w:tr>
    </w:tbl>
    <w:p>
      <w:pPr/>
      <w:r>
        <w:rPr>
          <w:i/>
        </w:rPr>
        <w:t xml:space="preserve">Manba: Vazirlar Mahkamasining 720-son qaroriga 1-ilova [4]; jadval muallif tomonidan tuzilgan.</w:t>
      </w:r>
    </w:p>
    <w:p>
      <w:pPr/>
      <w:r>
        <w:t xml:space="preserve">Kichik loyihalar uchun yengillashtirilgan yo‘l mavjud; asosiy to‘siqlar boshqa joyda. Avvalo, 3 yillik minimal muddat barcha toifalarga birdek tegishli [4]. Qat’iy xarajatlar ham saqlanib qoladi: tender hujjatlari pullik beriladi (30-band), tenderda qatnashish xarajatlari qoplanmaydi (52-band), bitim rasmiylashtirilganda bir martalik to‘lov undiriladi (67-band va 5-ilova), xususiy tashabbuskorning yutqazgan taqdirdagi xarajati esa loyiha qiymatining bir foizigacha qoplanadi (27-band). Bir foiz kichik loyihada mutlaq qiymatda juda oz bo‘lishi mumkin; 5-ilovadagi bir martalik to‘lovlar esa kichik loyiha uchun og‘irmi yoki yengilmi, buni alohida hisoblash kerak. Reyestrda esa boshqa kamchilik bor: ochiq e’lon qilinadigan maydonlar (nomi, sana va raqam, qiymat, sheriklar nomi, muddat) xususiy sherikning hajmini o‘z ichiga olmaydi (68-band), shuning uchun KOB ishtirokini o‘lchab bo‘lmaydi. Institutsional tomondan, Iqtisodiyot va moliya vazirligi tuzilmasida «DXSh loyihalari markazi» loyiha ofisi 2024-yil 30-avgustdagi PQ-308-son qaror bilan tashkil etilgan [16].</w:t>
      </w:r>
    </w:p>
    <w:p>
      <w:pPr/>
      <w:r>
        <w:t xml:space="preserve">KOB uchun alohida imkoniyat ham bor: xususiy tashabbus. Agar tashabbuskor taklif etgan loyiha e’lon qilingandan keyin 45 kun ichida boshqa manfaatdor topilmasa, davlat sherigi tendersiz muzokarani boshlashi mumkin (26-band) [4].</w:t>
      </w:r>
    </w:p>
    <w:p>
      <w:pPr>
        <w:pStyle w:val="Heading3"/>
      </w:pPr>
      <w:r>
        <w:t xml:space="preserve">3.3. KOB uchun DXSh shakllarining tasnifi</w:t>
      </w:r>
    </w:p>
    <w:p>
      <w:pPr/>
      <w:r>
        <w:t xml:space="preserve">DXSh adabiyotida shakllar xususiy sherikka yuklangan majburiyat va xatar hajmiga qarab tartiblanadi [9, 10]. Yirik loyihalarda uchraydigan «qurish-boshqarish-topshirish» (BOT) yoki «qurish-egalik qilish-boshqarish» (BOO) modellari katta sarmoya va uzoq muddatli moliyalashtirishni talab qiladi, kichik biznes uchun ular deyarli yaroqsiz. Operatsion majburiyatga tayangan shakllarda kapital talabi ancha past. Ular 3-jadvalda berilgan; har bir shakl uchun 3 yillik minimal muddatga muvofiqligi ham ko‘rsatilgan.</w:t>
      </w:r>
    </w:p>
    <w:p>
      <w:pPr/>
      <w:r>
        <w:rPr>
          <w:i/>
        </w:rPr>
        <w:t xml:space="preserve">3-jadval</w:t>
      </w:r>
    </w:p>
    <w:p>
      <w:pPr/>
      <w:r>
        <w:rPr>
          <w:b/>
        </w:rPr>
        <w:t xml:space="preserve">KOBga mos shartnoma shakllarining tasnifi va DXSh maqomi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Shakl</w:t>
            </w:r>
          </w:p>
        </w:tc>
        <w:tc>
          <w:tcPr>
            <w:tcW w:w="1872" w:type="dxa"/>
            <w:shd w:val="clear" w:color="auto" w:fill="F2F2F2"/>
          </w:tcPr>
          <w:p>
            <w:pPr/>
            <w:r>
              <w:t xml:space="preserve">Odatiy muddat (taxminiy)</w:t>
            </w:r>
          </w:p>
        </w:tc>
        <w:tc>
          <w:tcPr>
            <w:tcW w:w="1872" w:type="dxa"/>
            <w:shd w:val="clear" w:color="auto" w:fill="F2F2F2"/>
          </w:tcPr>
          <w:p>
            <w:pPr/>
            <w:r>
              <w:t xml:space="preserve">Mazmuni</w:t>
            </w:r>
          </w:p>
        </w:tc>
        <w:tc>
          <w:tcPr>
            <w:tcW w:w="1872" w:type="dxa"/>
            <w:shd w:val="clear" w:color="auto" w:fill="F2F2F2"/>
          </w:tcPr>
          <w:p>
            <w:pPr/>
            <w:r>
              <w:t xml:space="preserve">Kapital talabi</w:t>
            </w:r>
          </w:p>
        </w:tc>
        <w:tc>
          <w:tcPr>
            <w:tcW w:w="1872" w:type="dxa"/>
            <w:shd w:val="clear" w:color="auto" w:fill="F2F2F2"/>
          </w:tcPr>
          <w:p>
            <w:pPr/>
            <w:r>
              <w:t xml:space="preserve">Qonun va Nizom bo‘yicha izoh</w:t>
            </w:r>
          </w:p>
        </w:tc>
      </w:tr>
      <w:tr>
        <w:tc>
          <w:tcPr>
            <w:tcW w:w="1872" w:type="dxa"/>
          </w:tcPr>
          <w:p>
            <w:pPr/>
            <w:r>
              <w:t xml:space="preserve">Xizmat ko‘rsatish shartnomasi (service contract)</w:t>
            </w:r>
          </w:p>
        </w:tc>
        <w:tc>
          <w:tcPr>
            <w:tcW w:w="1872" w:type="dxa"/>
          </w:tcPr>
          <w:p>
            <w:pPr/>
            <w:r>
              <w:t xml:space="preserve">1–3 yil</w:t>
            </w:r>
          </w:p>
        </w:tc>
        <w:tc>
          <w:tcPr>
            <w:tcW w:w="1872" w:type="dxa"/>
          </w:tcPr>
          <w:p>
            <w:pPr/>
            <w:r>
              <w:t xml:space="preserve">Davlat obyektiga texnik yoki kommunal xizmat</w:t>
            </w:r>
          </w:p>
        </w:tc>
        <w:tc>
          <w:tcPr>
            <w:tcW w:w="1872" w:type="dxa"/>
          </w:tcPr>
          <w:p>
            <w:pPr/>
            <w:r>
              <w:t xml:space="preserve">Past</w:t>
            </w:r>
          </w:p>
        </w:tc>
        <w:tc>
          <w:tcPr>
            <w:tcW w:w="1872" w:type="dxa"/>
          </w:tcPr>
          <w:p>
            <w:pPr/>
            <w:r>
              <w:t xml:space="preserve">Muddat 3 yildan kam bo‘lsa DXSh bitimi emas, oddiy xizmat yoki xarid shartnomasi hisoblanadi</w:t>
            </w:r>
          </w:p>
        </w:tc>
      </w:tr>
      <w:tr>
        <w:tc>
          <w:tcPr>
            <w:tcW w:w="1872" w:type="dxa"/>
          </w:tcPr>
          <w:p>
            <w:pPr/>
            <w:r>
              <w:t xml:space="preserve">Boshqaruv shartnomasi (management contract)</w:t>
            </w:r>
          </w:p>
        </w:tc>
        <w:tc>
          <w:tcPr>
            <w:tcW w:w="1872" w:type="dxa"/>
          </w:tcPr>
          <w:p>
            <w:pPr/>
            <w:r>
              <w:t xml:space="preserve">3–5 yil</w:t>
            </w:r>
          </w:p>
        </w:tc>
        <w:tc>
          <w:tcPr>
            <w:tcW w:w="1872" w:type="dxa"/>
          </w:tcPr>
          <w:p>
            <w:pPr/>
            <w:r>
              <w:t xml:space="preserve">Davlat muassasasining (maktabgacha ta’lim, poliklinika, sport majmuasi) operatsion boshqaruvi</w:t>
            </w:r>
          </w:p>
        </w:tc>
        <w:tc>
          <w:tcPr>
            <w:tcW w:w="1872" w:type="dxa"/>
          </w:tcPr>
          <w:p>
            <w:pPr/>
            <w:r>
              <w:t xml:space="preserve">Past</w:t>
            </w:r>
          </w:p>
        </w:tc>
        <w:tc>
          <w:tcPr>
            <w:tcW w:w="1872" w:type="dxa"/>
          </w:tcPr>
          <w:p>
            <w:pPr/>
            <w:r>
              <w:t xml:space="preserve">Muddat chegaraga mos</w:t>
            </w:r>
          </w:p>
        </w:tc>
      </w:tr>
      <w:tr>
        <w:tc>
          <w:tcPr>
            <w:tcW w:w="1872" w:type="dxa"/>
          </w:tcPr>
          <w:p>
            <w:pPr/>
            <w:r>
              <w:t xml:space="preserve">Ijara (lease)</w:t>
            </w:r>
          </w:p>
        </w:tc>
        <w:tc>
          <w:tcPr>
            <w:tcW w:w="1872" w:type="dxa"/>
          </w:tcPr>
          <w:p>
            <w:pPr/>
            <w:r>
              <w:t xml:space="preserve">5–10 yil</w:t>
            </w:r>
          </w:p>
        </w:tc>
        <w:tc>
          <w:tcPr>
            <w:tcW w:w="1872" w:type="dxa"/>
          </w:tcPr>
          <w:p>
            <w:pPr/>
            <w:r>
              <w:t xml:space="preserve">Bo‘sh davlat binosi yoki uskunasini ijaraga olib faoliyat yuritish</w:t>
            </w:r>
          </w:p>
        </w:tc>
        <w:tc>
          <w:tcPr>
            <w:tcW w:w="1872" w:type="dxa"/>
          </w:tcPr>
          <w:p>
            <w:pPr/>
            <w:r>
              <w:t xml:space="preserve">Past–o‘rta</w:t>
            </w:r>
          </w:p>
        </w:tc>
        <w:tc>
          <w:tcPr>
            <w:tcW w:w="1872" w:type="dxa"/>
          </w:tcPr>
          <w:p>
            <w:pPr/>
            <w:r>
              <w:t xml:space="preserve">Mulk davlatda qoladi</w:t>
            </w:r>
          </w:p>
        </w:tc>
      </w:tr>
      <w:tr>
        <w:tc>
          <w:tcPr>
            <w:tcW w:w="1872" w:type="dxa"/>
          </w:tcPr>
          <w:p>
            <w:pPr/>
            <w:r>
              <w:t xml:space="preserve">Moliyaviy lizing (financial leasing)</w:t>
            </w:r>
          </w:p>
        </w:tc>
        <w:tc>
          <w:tcPr>
            <w:tcW w:w="1872" w:type="dxa"/>
          </w:tcPr>
          <w:p>
            <w:pPr/>
            <w:r>
              <w:t xml:space="preserve">3–7 yil</w:t>
            </w:r>
          </w:p>
        </w:tc>
        <w:tc>
          <w:tcPr>
            <w:tcW w:w="1872" w:type="dxa"/>
          </w:tcPr>
          <w:p>
            <w:pPr/>
            <w:r>
              <w:t xml:space="preserve">Uskunani lizingga olib, to‘lovlar tugagach mulkka ega bo‘lish</w:t>
            </w:r>
          </w:p>
        </w:tc>
        <w:tc>
          <w:tcPr>
            <w:tcW w:w="1872" w:type="dxa"/>
          </w:tcPr>
          <w:p>
            <w:pPr/>
            <w:r>
              <w:t xml:space="preserve">O‘rta</w:t>
            </w:r>
          </w:p>
        </w:tc>
        <w:tc>
          <w:tcPr>
            <w:tcW w:w="1872" w:type="dxa"/>
          </w:tcPr>
          <w:p>
            <w:pPr/>
            <w:r>
              <w:t xml:space="preserve">Mulk huquqi o‘tishi mumkin, shuning uchun ijaradan alohida shakl</w:t>
            </w:r>
          </w:p>
        </w:tc>
      </w:tr>
      <w:tr>
        <w:tc>
          <w:tcPr>
            <w:tcW w:w="1872" w:type="dxa"/>
          </w:tcPr>
          <w:p>
            <w:pPr/>
            <w:r>
              <w:t xml:space="preserve">Kichik konsessiya (mini-concession)</w:t>
            </w:r>
          </w:p>
        </w:tc>
        <w:tc>
          <w:tcPr>
            <w:tcW w:w="1872" w:type="dxa"/>
          </w:tcPr>
          <w:p>
            <w:pPr/>
            <w:r>
              <w:t xml:space="preserve">5–12 yil</w:t>
            </w:r>
          </w:p>
        </w:tc>
        <w:tc>
          <w:tcPr>
            <w:tcW w:w="1872" w:type="dxa"/>
          </w:tcPr>
          <w:p>
            <w:pPr/>
            <w:r>
              <w:t xml:space="preserve">Mahalliy obyektni ta’mirlab, undan daromad olish</w:t>
            </w:r>
          </w:p>
        </w:tc>
        <w:tc>
          <w:tcPr>
            <w:tcW w:w="1872" w:type="dxa"/>
          </w:tcPr>
          <w:p>
            <w:pPr/>
            <w:r>
              <w:t xml:space="preserve">O‘rta</w:t>
            </w:r>
          </w:p>
        </w:tc>
        <w:tc>
          <w:tcPr>
            <w:tcW w:w="1872" w:type="dxa"/>
          </w:tcPr>
          <w:p>
            <w:pPr/>
            <w:r>
              <w:t xml:space="preserve">Konsessiya munosabatlari Qonun doirasida [3]</w:t>
            </w:r>
          </w:p>
        </w:tc>
      </w:tr>
    </w:tbl>
    <w:p>
      <w:pPr/>
      <w:r>
        <w:rPr>
          <w:i/>
        </w:rPr>
        <w:t xml:space="preserve">Manba: shakllarning mazmuni va muddatlari xalqaro adabiyotdagi [9, 10] umumiy tasnif asosida muallif tomonidan umumlashtirilgan, muddatlar taxminiy; muddat talabi Qonun va Nizom bo‘yicha [2, 4].</w:t>
      </w:r>
    </w:p>
    <w:p>
      <w:pPr/>
      <w:r>
        <w:t xml:space="preserve">Jadvalda birinchi navbatda eng yengil shakl — 1–3 yillik xizmat shartnomasi — ko‘zga tashlanadi: DXSh maqomini olishi uchun u muddatini kamida 3 yilgacha cho‘zishi kerak. Ijara bilan lizing esa mulk huquqi va to‘lov tartibi bilan farqlanadi va KOBning moliyaviy xatarini turlicha o‘zgartiradi; shu bois ular alohida shakl sifatida qaralgan.</w:t>
      </w:r>
    </w:p>
    <w:p>
      <w:pPr>
        <w:pStyle w:val="Heading3"/>
      </w:pPr>
      <w:r>
        <w:t xml:space="preserve">3.4. O‘zbekiston DXSh amaliyoti: ma’lumotlar tahlili</w:t>
      </w:r>
    </w:p>
    <w:p>
      <w:pPr/>
      <w:r>
        <w:t xml:space="preserve">XVF ma’lumotlariga ko‘ra, 2023-yilda O‘zbekiston 1,6 mlrd dollarlik 6 ta yangi DXSh bitimini imzoladi, bu Yevropa va Markaziy Osiyodagi past va o‘rta daromadli mamlakatlarning yangi DXSh majburiyatlarining qariyb 40 foizi bo‘ldi; 2025–2030-yillarga rejalashtirilgan yangi loyihalar hajmi 30,2 mlrd dollar [5]. XVF shu bilan birga davlat uchun kelajakda moliyaviy majburiyatlar oshishi xavfiga ishora qiladi [5].</w:t>
      </w:r>
    </w:p>
    <w:p>
      <w:pPr/>
      <w:r>
        <w:t xml:space="preserve">KOB nuqtayi nazaridan eng qiziq ma’lumot 2026-yilning birinchi choragiga tegishli. Iqtisodiyot va moliya vazirligi axborotiga ko‘ra, choraqda umumiy qiymati 547,2 mln dollar bo‘lgan 59 ta DXSh loyihasi bo‘yicha bitim imzolanib, reyestrdan o‘tkazilgan [11]. Tarmoqlar kesimi 4-jadvalda keltirilgan.</w:t>
      </w:r>
    </w:p>
    <w:p>
      <w:pPr/>
      <w:r>
        <w:rPr>
          <w:i/>
        </w:rPr>
        <w:t xml:space="preserve">4-jadval</w:t>
      </w:r>
    </w:p>
    <w:p>
      <w:pPr/>
      <w:r>
        <w:rPr>
          <w:b/>
        </w:rPr>
        <w:t xml:space="preserve">2026-yil 1-chorakda imzolangan DXSh bitimlarining tarmoq tuzilmasi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Tarmoq</w:t>
            </w:r>
          </w:p>
        </w:tc>
        <w:tc>
          <w:tcPr>
            <w:tcW w:w="1872" w:type="dxa"/>
            <w:shd w:val="clear" w:color="auto" w:fill="F2F2F2"/>
          </w:tcPr>
          <w:p>
            <w:pPr/>
            <w:r>
              <w:t xml:space="preserve">Bitimlar soni</w:t>
            </w:r>
          </w:p>
        </w:tc>
        <w:tc>
          <w:tcPr>
            <w:tcW w:w="1872" w:type="dxa"/>
            <w:shd w:val="clear" w:color="auto" w:fill="F2F2F2"/>
          </w:tcPr>
          <w:p>
            <w:pPr/>
            <w:r>
              <w:t xml:space="preserve">Qiymati, mln dollar</w:t>
            </w:r>
          </w:p>
        </w:tc>
        <w:tc>
          <w:tcPr>
            <w:tcW w:w="1872" w:type="dxa"/>
            <w:shd w:val="clear" w:color="auto" w:fill="F2F2F2"/>
          </w:tcPr>
          <w:p>
            <w:pPr/>
            <w:r>
              <w:t xml:space="preserve">Qiymatdagi ulushi, %</w:t>
            </w:r>
          </w:p>
        </w:tc>
        <w:tc>
          <w:tcPr>
            <w:tcW w:w="1872" w:type="dxa"/>
            <w:shd w:val="clear" w:color="auto" w:fill="F2F2F2"/>
          </w:tcPr>
          <w:p>
            <w:pPr/>
            <w:r>
              <w:t xml:space="preserve">Bitimning o‘rtacha qiymati, mln dollar</w:t>
            </w:r>
          </w:p>
        </w:tc>
      </w:tr>
      <w:tr>
        <w:tc>
          <w:tcPr>
            <w:tcW w:w="1872" w:type="dxa"/>
          </w:tcPr>
          <w:p>
            <w:pPr/>
            <w:r>
              <w:t xml:space="preserve">Ta’lim</w:t>
            </w:r>
          </w:p>
        </w:tc>
        <w:tc>
          <w:tcPr>
            <w:tcW w:w="1872" w:type="dxa"/>
          </w:tcPr>
          <w:p>
            <w:pPr/>
            <w:r>
              <w:t xml:space="preserve">33</w:t>
            </w:r>
          </w:p>
        </w:tc>
        <w:tc>
          <w:tcPr>
            <w:tcW w:w="1872" w:type="dxa"/>
          </w:tcPr>
          <w:p>
            <w:pPr/>
            <w:r>
              <w:t xml:space="preserve">24,8</w:t>
            </w:r>
          </w:p>
        </w:tc>
        <w:tc>
          <w:tcPr>
            <w:tcW w:w="1872" w:type="dxa"/>
          </w:tcPr>
          <w:p>
            <w:pPr/>
            <w:r>
              <w:t xml:space="preserve">4,5</w:t>
            </w:r>
          </w:p>
        </w:tc>
        <w:tc>
          <w:tcPr>
            <w:tcW w:w="1872" w:type="dxa"/>
          </w:tcPr>
          <w:p>
            <w:pPr/>
            <w:r>
              <w:t xml:space="preserve">0,75</w:t>
            </w:r>
          </w:p>
        </w:tc>
      </w:tr>
      <w:tr>
        <w:tc>
          <w:tcPr>
            <w:tcW w:w="1872" w:type="dxa"/>
          </w:tcPr>
          <w:p>
            <w:pPr/>
            <w:r>
              <w:t xml:space="preserve">Agrosanoat</w:t>
            </w:r>
          </w:p>
        </w:tc>
        <w:tc>
          <w:tcPr>
            <w:tcW w:w="1872" w:type="dxa"/>
          </w:tcPr>
          <w:p>
            <w:pPr/>
            <w:r>
              <w:t xml:space="preserve">8</w:t>
            </w:r>
          </w:p>
        </w:tc>
        <w:tc>
          <w:tcPr>
            <w:tcW w:w="1872" w:type="dxa"/>
          </w:tcPr>
          <w:p>
            <w:pPr/>
            <w:r>
              <w:t xml:space="preserve">0,3</w:t>
            </w:r>
          </w:p>
        </w:tc>
        <w:tc>
          <w:tcPr>
            <w:tcW w:w="1872" w:type="dxa"/>
          </w:tcPr>
          <w:p>
            <w:pPr/>
            <w:r>
              <w:t xml:space="preserve">0,05</w:t>
            </w:r>
          </w:p>
        </w:tc>
        <w:tc>
          <w:tcPr>
            <w:tcW w:w="1872" w:type="dxa"/>
          </w:tcPr>
          <w:p>
            <w:pPr/>
            <w:r>
              <w:t xml:space="preserve">0,04</w:t>
            </w:r>
          </w:p>
        </w:tc>
      </w:tr>
      <w:tr>
        <w:tc>
          <w:tcPr>
            <w:tcW w:w="1872" w:type="dxa"/>
          </w:tcPr>
          <w:p>
            <w:pPr/>
            <w:r>
              <w:t xml:space="preserve">Sport</w:t>
            </w:r>
          </w:p>
        </w:tc>
        <w:tc>
          <w:tcPr>
            <w:tcW w:w="1872" w:type="dxa"/>
          </w:tcPr>
          <w:p>
            <w:pPr/>
            <w:r>
              <w:t xml:space="preserve">5</w:t>
            </w:r>
          </w:p>
        </w:tc>
        <w:tc>
          <w:tcPr>
            <w:tcW w:w="1872" w:type="dxa"/>
          </w:tcPr>
          <w:p>
            <w:pPr/>
            <w:r>
              <w:t xml:space="preserve">1,6</w:t>
            </w:r>
          </w:p>
        </w:tc>
        <w:tc>
          <w:tcPr>
            <w:tcW w:w="1872" w:type="dxa"/>
          </w:tcPr>
          <w:p>
            <w:pPr/>
            <w:r>
              <w:t xml:space="preserve">0,3</w:t>
            </w:r>
          </w:p>
        </w:tc>
        <w:tc>
          <w:tcPr>
            <w:tcW w:w="1872" w:type="dxa"/>
          </w:tcPr>
          <w:p>
            <w:pPr/>
            <w:r>
              <w:t xml:space="preserve">0,32</w:t>
            </w:r>
          </w:p>
        </w:tc>
      </w:tr>
      <w:tr>
        <w:tc>
          <w:tcPr>
            <w:tcW w:w="1872" w:type="dxa"/>
          </w:tcPr>
          <w:p>
            <w:pPr/>
            <w:r>
              <w:t xml:space="preserve">Madaniyat</w:t>
            </w:r>
          </w:p>
        </w:tc>
        <w:tc>
          <w:tcPr>
            <w:tcW w:w="1872" w:type="dxa"/>
          </w:tcPr>
          <w:p>
            <w:pPr/>
            <w:r>
              <w:t xml:space="preserve">4</w:t>
            </w:r>
          </w:p>
        </w:tc>
        <w:tc>
          <w:tcPr>
            <w:tcW w:w="1872" w:type="dxa"/>
          </w:tcPr>
          <w:p>
            <w:pPr/>
            <w:r>
              <w:t xml:space="preserve">2,3</w:t>
            </w:r>
          </w:p>
        </w:tc>
        <w:tc>
          <w:tcPr>
            <w:tcW w:w="1872" w:type="dxa"/>
          </w:tcPr>
          <w:p>
            <w:pPr/>
            <w:r>
              <w:t xml:space="preserve">0,4</w:t>
            </w:r>
          </w:p>
        </w:tc>
        <w:tc>
          <w:tcPr>
            <w:tcW w:w="1872" w:type="dxa"/>
          </w:tcPr>
          <w:p>
            <w:pPr/>
            <w:r>
              <w:t xml:space="preserve">0,58</w:t>
            </w:r>
          </w:p>
        </w:tc>
      </w:tr>
      <w:tr>
        <w:tc>
          <w:tcPr>
            <w:tcW w:w="1872" w:type="dxa"/>
          </w:tcPr>
          <w:p>
            <w:pPr/>
            <w:r>
              <w:t xml:space="preserve">Sog‘liqni saqlash</w:t>
            </w:r>
          </w:p>
        </w:tc>
        <w:tc>
          <w:tcPr>
            <w:tcW w:w="1872" w:type="dxa"/>
          </w:tcPr>
          <w:p>
            <w:pPr/>
            <w:r>
              <w:t xml:space="preserve">3</w:t>
            </w:r>
          </w:p>
        </w:tc>
        <w:tc>
          <w:tcPr>
            <w:tcW w:w="1872" w:type="dxa"/>
          </w:tcPr>
          <w:p>
            <w:pPr/>
            <w:r>
              <w:t xml:space="preserve">1,4</w:t>
            </w:r>
          </w:p>
        </w:tc>
        <w:tc>
          <w:tcPr>
            <w:tcW w:w="1872" w:type="dxa"/>
          </w:tcPr>
          <w:p>
            <w:pPr/>
            <w:r>
              <w:t xml:space="preserve">0,3</w:t>
            </w:r>
          </w:p>
        </w:tc>
        <w:tc>
          <w:tcPr>
            <w:tcW w:w="1872" w:type="dxa"/>
          </w:tcPr>
          <w:p>
            <w:pPr/>
            <w:r>
              <w:t xml:space="preserve">0,47</w:t>
            </w:r>
          </w:p>
        </w:tc>
      </w:tr>
      <w:tr>
        <w:tc>
          <w:tcPr>
            <w:tcW w:w="1872" w:type="dxa"/>
          </w:tcPr>
          <w:p>
            <w:pPr/>
            <w:r>
              <w:rPr>
                <w:b/>
              </w:rPr>
              <w:t xml:space="preserve">Ijtimoiy tarmoqlar jami</w:t>
            </w:r>
          </w:p>
        </w:tc>
        <w:tc>
          <w:tcPr>
            <w:tcW w:w="1872" w:type="dxa"/>
          </w:tcPr>
          <w:p>
            <w:pPr/>
            <w:r>
              <w:rPr>
                <w:b/>
              </w:rPr>
              <w:t xml:space="preserve">53</w:t>
            </w:r>
          </w:p>
        </w:tc>
        <w:tc>
          <w:tcPr>
            <w:tcW w:w="1872" w:type="dxa"/>
          </w:tcPr>
          <w:p>
            <w:pPr/>
            <w:r>
              <w:rPr>
                <w:b/>
              </w:rPr>
              <w:t xml:space="preserve">30,4</w:t>
            </w:r>
          </w:p>
        </w:tc>
        <w:tc>
          <w:tcPr>
            <w:tcW w:w="1872" w:type="dxa"/>
          </w:tcPr>
          <w:p>
            <w:pPr/>
            <w:r>
              <w:rPr>
                <w:b/>
              </w:rPr>
              <w:t xml:space="preserve">5,6</w:t>
            </w:r>
          </w:p>
        </w:tc>
        <w:tc>
          <w:tcPr>
            <w:tcW w:w="1872" w:type="dxa"/>
          </w:tcPr>
          <w:p>
            <w:pPr/>
            <w:r>
              <w:rPr>
                <w:b/>
              </w:rPr>
              <w:t xml:space="preserve">0,57</w:t>
            </w:r>
          </w:p>
        </w:tc>
      </w:tr>
      <w:tr>
        <w:tc>
          <w:tcPr>
            <w:tcW w:w="1872" w:type="dxa"/>
          </w:tcPr>
          <w:p>
            <w:pPr/>
            <w:r>
              <w:t xml:space="preserve">Energetika</w:t>
            </w:r>
          </w:p>
        </w:tc>
        <w:tc>
          <w:tcPr>
            <w:tcW w:w="1872" w:type="dxa"/>
          </w:tcPr>
          <w:p>
            <w:pPr/>
            <w:r>
              <w:t xml:space="preserve">—</w:t>
            </w:r>
          </w:p>
        </w:tc>
        <w:tc>
          <w:tcPr>
            <w:tcW w:w="1872" w:type="dxa"/>
          </w:tcPr>
          <w:p>
            <w:pPr/>
            <w:r>
              <w:t xml:space="preserve">357,0</w:t>
            </w:r>
          </w:p>
        </w:tc>
        <w:tc>
          <w:tcPr>
            <w:tcW w:w="1872" w:type="dxa"/>
          </w:tcPr>
          <w:p>
            <w:pPr/>
            <w:r>
              <w:t xml:space="preserve">65,2</w:t>
            </w:r>
          </w:p>
        </w:tc>
        <w:tc>
          <w:tcPr>
            <w:tcW w:w="1872" w:type="dxa"/>
          </w:tcPr>
          <w:p>
            <w:pPr/>
            <w:r>
              <w:t xml:space="preserve">—</w:t>
            </w:r>
          </w:p>
        </w:tc>
      </w:tr>
      <w:tr>
        <w:tc>
          <w:tcPr>
            <w:tcW w:w="1872" w:type="dxa"/>
          </w:tcPr>
          <w:p>
            <w:pPr/>
            <w:r>
              <w:t xml:space="preserve">Transport</w:t>
            </w:r>
          </w:p>
        </w:tc>
        <w:tc>
          <w:tcPr>
            <w:tcW w:w="1872" w:type="dxa"/>
          </w:tcPr>
          <w:p>
            <w:pPr/>
            <w:r>
              <w:t xml:space="preserve">—</w:t>
            </w:r>
          </w:p>
        </w:tc>
        <w:tc>
          <w:tcPr>
            <w:tcW w:w="1872" w:type="dxa"/>
          </w:tcPr>
          <w:p>
            <w:pPr/>
            <w:r>
              <w:t xml:space="preserve">134,0</w:t>
            </w:r>
          </w:p>
        </w:tc>
        <w:tc>
          <w:tcPr>
            <w:tcW w:w="1872" w:type="dxa"/>
          </w:tcPr>
          <w:p>
            <w:pPr/>
            <w:r>
              <w:t xml:space="preserve">24,5</w:t>
            </w:r>
          </w:p>
        </w:tc>
        <w:tc>
          <w:tcPr>
            <w:tcW w:w="1872" w:type="dxa"/>
          </w:tcPr>
          <w:p>
            <w:pPr/>
            <w:r>
              <w:t xml:space="preserve">—</w:t>
            </w:r>
          </w:p>
        </w:tc>
      </w:tr>
      <w:tr>
        <w:tc>
          <w:tcPr>
            <w:tcW w:w="1872" w:type="dxa"/>
          </w:tcPr>
          <w:p>
            <w:pPr/>
            <w:r>
              <w:t xml:space="preserve">Boshqa (suv xo‘jaligi, kommunal, qurilish)</w:t>
            </w:r>
          </w:p>
        </w:tc>
        <w:tc>
          <w:tcPr>
            <w:tcW w:w="1872" w:type="dxa"/>
          </w:tcPr>
          <w:p>
            <w:pPr/>
            <w:r>
              <w:t xml:space="preserve">—</w:t>
            </w:r>
          </w:p>
        </w:tc>
        <w:tc>
          <w:tcPr>
            <w:tcW w:w="1872" w:type="dxa"/>
          </w:tcPr>
          <w:p>
            <w:pPr/>
            <w:r>
              <w:t xml:space="preserve">25,8</w:t>
            </w:r>
          </w:p>
        </w:tc>
        <w:tc>
          <w:tcPr>
            <w:tcW w:w="1872" w:type="dxa"/>
          </w:tcPr>
          <w:p>
            <w:pPr/>
            <w:r>
              <w:t xml:space="preserve">4,7</w:t>
            </w:r>
          </w:p>
        </w:tc>
        <w:tc>
          <w:tcPr>
            <w:tcW w:w="1872" w:type="dxa"/>
          </w:tcPr>
          <w:p>
            <w:pPr/>
            <w:r>
              <w:t xml:space="preserve">—</w:t>
            </w:r>
          </w:p>
        </w:tc>
      </w:tr>
      <w:tr>
        <w:tc>
          <w:tcPr>
            <w:tcW w:w="1872" w:type="dxa"/>
          </w:tcPr>
          <w:p>
            <w:pPr/>
            <w:r>
              <w:rPr>
                <w:b/>
              </w:rPr>
              <w:t xml:space="preserve">Jami</w:t>
            </w:r>
          </w:p>
        </w:tc>
        <w:tc>
          <w:tcPr>
            <w:tcW w:w="1872" w:type="dxa"/>
          </w:tcPr>
          <w:p>
            <w:pPr/>
            <w:r>
              <w:rPr>
                <w:b/>
              </w:rPr>
              <w:t xml:space="preserve">59</w:t>
            </w:r>
          </w:p>
        </w:tc>
        <w:tc>
          <w:tcPr>
            <w:tcW w:w="1872" w:type="dxa"/>
          </w:tcPr>
          <w:p>
            <w:pPr/>
            <w:r>
              <w:rPr>
                <w:b/>
              </w:rPr>
              <w:t xml:space="preserve">547,2</w:t>
            </w:r>
          </w:p>
        </w:tc>
        <w:tc>
          <w:tcPr>
            <w:tcW w:w="1872" w:type="dxa"/>
          </w:tcPr>
          <w:p>
            <w:pPr/>
            <w:r>
              <w:rPr>
                <w:b/>
              </w:rPr>
              <w:t xml:space="preserve">100</w:t>
            </w:r>
          </w:p>
        </w:tc>
        <w:tc>
          <w:tcPr>
            <w:tcW w:w="1872" w:type="dxa"/>
          </w:tcPr>
          <w:p>
            <w:pPr/>
            <w:r>
              <w:rPr>
                <w:b/>
              </w:rPr>
              <w:t xml:space="preserve">9,27</w:t>
            </w:r>
          </w:p>
        </w:tc>
      </w:tr>
    </w:tbl>
    <w:p>
      <w:pPr/>
      <w:r>
        <w:rPr>
          <w:i/>
        </w:rPr>
        <w:t xml:space="preserve">Manba: Iqtisodiyot va moliya vazirligi [11]; ulushlar va o‘rtacha qiymatlar muallif hisobi. Axborotda energetika va transport bo‘yicha bitimlar soni alohida ko‘rsatilmagan.</w:t>
      </w:r>
    </w:p>
    <w:p>
      <w:pPr/>
      <w:r>
        <w:t xml:space="preserve">Bitimlar soniga qarasak, ijtimoiy tarmoqlar 53/59 = 89,8 foizni tashkil etadi; qiymat bo‘yicha esa 30,4/547,2 = 5,6 foiz xolos. Qiymatning 89,7 foizi ikki sohada to‘plangan: energetika (357,0 mln dollar) va transport (134,0 mln dollar). Axborotda bu sohalardagi yirik loyihalar sifatida Samarqand viloyati elektr tarmoqlarini xususiy boshqaruvga berish va Urganch aeroportini modernizatsiya qilish nomlangan [11]. Shuning uchun bitimning «o‘rtacha» qiymati (9,27 mln dollar) birorta real loyihaga mos kelmaydi: u juda kichik va juda yirik loyihalarning aralashmasi.</w:t>
      </w:r>
    </w:p>
    <w:p>
      <w:pPr/>
      <w:r>
        <w:t xml:space="preserve">Ta’limdagi bitimning o‘rtacha qiymati taxminan 0,75 mln dollar, ya’ni Nizomdagi 1 mln dollarlik chegaradan past. Bundan ta’limdagi bitimlarning ko‘pchiligi 2-jadvaldagi yengillashtirilgan toifaga tushishi mumkin degan taxmin kelib chiqadi, ammo o‘rtacha qiymat har bir bitimni ifodalamaydi, shuning uchun buni aniq bitimlar bo‘yicha tekshirish kerak. [11] xususiy sheriklarning o‘lchamini ham ko‘rsatmaydi; ular orasida KOB qanchaligini keyingi tadqiqot aniqlashi lozim.</w:t>
      </w:r>
    </w:p>
    <w:p>
      <w:pPr/>
      <w:r>
        <w:t xml:space="preserve">Monitoring natijalari xatar haqida ham ma’lumot beradi. Toshkent shahri (188 ta) va Samarqand viloyati (5 ta) bo‘yicha jami 193 loyiha tekshirilgan; reyestrdagi 85 ta loyihada xususiy sherik amalda faoliyat yuritmayotgani yoki tugatilgani aniqlangan [11]. Axborotda bu 85 ta loyiha aynan tekshirilgan 193 tadan ekani aniq aytilmagan; agar shunday bo‘lsa, ulush taxminan 44 foizni tashkil etadi. Namuna ikki hududni qamraydi va butun mamlakatga umumlashtirilmaydi, lekin sherikni tanlash va keyingi nazoratning qanchalik muhimligini ko‘rsatadi.</w:t>
      </w:r>
    </w:p>
    <w:p>
      <w:pPr>
        <w:pStyle w:val="Heading3"/>
      </w:pPr>
      <w:r>
        <w:t xml:space="preserve">3.5. Xorijiy tajriba</w:t>
      </w:r>
    </w:p>
    <w:p>
      <w:pPr/>
      <w:r>
        <w:t xml:space="preserve">OECDning submilliy DXSh hisobotiga ko‘ra, 2016–2030-yillarda dunyodagi infratuzilma ehtiyoji yiliga taxminan 6,3 trln dollarga baholanadi, DXSh esa asosan submilliy darajada amalga oshiriladi: Fransiyada 2005–2011-yillarda «contrat de partenariat» shartnomalarining 79 foizi submilliy hukumatlar tomonidan berilgan, Avstraliyada DXShlarning taxminan 90 foizi shtatlar darajasida, Germaniyada esa DXSh investitsiyalari hajmining taxminan 80 foizi submilliy darajada amalga oshirilgan [12]. Hisobotda minimal loyiha qiymatini belgilash zarurligi ham ta’kidlangan, chunki submilliy hukumatlarning texnik salohiyati cheklangan [12].</w:t>
      </w:r>
    </w:p>
    <w:p>
      <w:pPr/>
      <w:r>
        <w:t xml:space="preserve">OECD ma’lumotlari bir narsani ko‘rsatadi: DXShning kichik va o‘rta hajmdagi qismi odatda hududiy darajada joylashadi, ya’ni KOB bilan hamkorlik asosan mahalliy hokimiyat darajasida shakllanadi. Minimal qiymat chegarasi esa ikki yoqlama ishlaydi: u arzimas loyihalarga ketadigan ma’muriy xarajatni kamaytiradi, ammo KOB uchun kirish to‘sig‘iga ham aylanishi mumkin. O‘zbekistondagi qiymat chegaralarining KOBga ta’sirini alohida o‘rganish kerak.</w:t>
      </w:r>
    </w:p>
    <w:p>
      <w:pPr>
        <w:pStyle w:val="Heading2"/>
      </w:pPr>
      <w:r>
        <w:t xml:space="preserve">4. Muhokama</w:t>
      </w:r>
    </w:p>
    <w:p>
      <w:pPr/>
      <w:r>
        <w:t xml:space="preserve">Boshlang‘ich faraz qisman tasdiqlandi. Portfel qiymati KOBga mos kelmaydigan sohalarda to‘plangan [5, 11], bitimlar soni esa kichik hajmli ijtimoiy loyihalarda ko‘p [11]. Lekin bu kichik loyihalarda KOBning haqiqiy ishtiroki noma’lum. Tartibning o‘zi 1 mln dollargacha bo‘lgan loyihalar uchun yengillashtirilgan [4], shuning uchun to‘siqlarni boshqa joydan izlash kerak.</w:t>
      </w:r>
    </w:p>
    <w:p>
      <w:pPr/>
      <w:r>
        <w:t xml:space="preserve">Muddat eng aniq to‘siq: minimal 3 yil [4] 1–3 yillik xizmat shartnomalarini DXShdan tashqarida qoldiradi, KOB uchun esa eng oson kirish yo‘li aynan shunday qisqa shartnomalar. Qat’iy xarajatlar masalasi ancha noaniq: pullik tender hujjati, qoplanmaydigan qatnashish xarajati va bir martalik to‘lov kichik loyihada nisbatan og‘ir bo‘lishi mumkin, ammo bu faraz ularning real miqdorini hisoblashni talab qiladi. Shaffoflikdagi bo‘shliq esa siyosatni baholashga to‘sqinlik qiladi: reyestrda xususiy sherik hajmi yo‘q, shuning uchun KOB ishtirokini o‘lchab bo‘lmaydi. Dehqon xo‘jaliklari kabi alohida maqomdagi subyektlar uchun huquqiy yo‘l (konsorsium, kooperatsiya) ham hali aniqlanmagan.</w:t>
      </w:r>
    </w:p>
    <w:p>
      <w:pPr/>
      <w:r>
        <w:t xml:space="preserve">Natijalarni cheklovlar bilan birga o‘qish kerak: ma’lumot bir choraklik, sheriklar hajmi noma’lum, monitoring namunasi ikki hududni qamraydi, xarajatlar miqdori hisoblanmagan. Shuning uchun bu natijalar tasdiqlangan qonuniyat emas, keyingi tadqiqot uchun asoslangan farazlar.</w:t>
      </w:r>
    </w:p>
    <w:p>
      <w:pPr>
        <w:pStyle w:val="Heading2"/>
      </w:pPr>
      <w:r>
        <w:t xml:space="preserve">5. Xulosa</w:t>
      </w:r>
    </w:p>
    <w:p>
      <w:pPr/>
      <w:r>
        <w:t xml:space="preserve">(1) KOB O‘zbekiston YaIMining 52,2 foizini va asosiy kapitalga investitsiyalarning 61,4 foizini ta’minlaydi [1], DXSh portfeli qiymati esa energetikada to‘plangan (2023-yil oxiri holatiga 93 foiz) [5]. 2026-yil birinchi choragida imzolangan bitimlarning 90 foizi ijtimoiy tarmoqlarda bo‘lsa-da, ular qiymatning 5,6 foizini beradi; energetika va transport 89,7 foizni tashkil etadi [11]. DXSh ko‘rsatkichlarini o‘rtacha qiymat bilan tavsiflash chalg‘itadi, ularni hajm bo‘yicha guruhlab ko‘rish kerak.</w:t>
      </w:r>
    </w:p>
    <w:p>
      <w:pPr/>
      <w:r>
        <w:t xml:space="preserve">(2) Nizom loyihalarni 1 mln va 10 mln dollar chegaralari bo‘yicha ajratadi va 1 mln dollargacha bo‘lganlar uchun yengillashtirilgan tartib nazarda tutadi [4]. Ta’limdagi bitimning o‘rtacha qiymati (0,75 mln dollar) shu chegaradan past. Ammo kichik loyihalar uchun ham minimal muddat 3 yil, shu bois 1–3 yillik xizmat shartnomasi hozirgi ko‘rinishida DXSh bitimi bo‘la olmaydi.</w:t>
      </w:r>
    </w:p>
    <w:p>
      <w:pPr/>
      <w:r>
        <w:t xml:space="preserve">(3) Ochiq ma’lumotlardan KOBning DXShdagi haqiqiy ishtirokini aniqlab bo‘lmaydi, chunki reyestrda xususiy sherikning hajmi ko‘rsatilmaydi. Bu siyosatni baholashni qiyinlashtiradi. Monitoring qilingan loyihalar orasida xususiy sherik faoliyat yuritmayotgan yoki tugatilgan holatlarning ko‘pligi (85 ta; ular 193 tadan bo‘lsa, taxminan 44 foiz) sherikni tanlash va keyingi nazorat mexanizmini kuchaytirish zarurligini ko‘rsatadi.</w:t>
      </w:r>
    </w:p>
    <w:p>
      <w:pPr/>
      <w:r>
        <w:t xml:space="preserve">Tahlildan kelib chiqib, muallif quyidagilarni taklif qiladi: (a) 1 mln dollargacha bo‘lgan toifa ichida mikro-loyihalar uchun yanada yengil rejim joriy etish va uning chegarasini ilmiy asosda belgilash; (b) tender hujjati narxi va bir martalik to‘lov miqdorlarini kichik loyihalar uchun kamaytirish yoki bosqichma-bosqich undirish imkonini baholash (avval 5-ilovadagi miqdorlarni hisoblash kerak); (c) qisqa muddatli xizmat va boshqaruv shartnomalari uchun qonunda 3 yillik chegaraga yaqin pilot rejim yoki alohida «DXShga yaqin» shartnoma turini ko‘rib chiqish; (d) reyestrga xususiy sherikning o‘lchamini (mikro, kichik, o‘rta, yirik) kiritish; (e) standart shartnomalar to‘plamini (xizmat, boshqaruv, ijara) tayyorlash hamda dehqon xo‘jaliklari va yakka tartibdagi tadbirkorlarning konsorsium shaklida ishtiroki bo‘yicha uslubiy yo‘riqnoma ishlab chiqish.</w:t>
      </w:r>
    </w:p>
    <w:p>
      <w:pPr/>
      <w:r>
        <w:t xml:space="preserve">Keyingi tadqiqot yo‘nalishlari: reyestrdagi loyihalar bo‘yicha sheriklar o‘lchamini aniqlash, kichik loyihalarda tranzaksiya xarajatlarini real hujjatlar asosida baholash va tanlangan davlatlarning kichik DXSh tartiblarini birlamchi manbalar asosida solishtirish.</w:t>
      </w:r>
    </w:p>
    <w:p>
      <w:pPr>
        <w:pStyle w:val="Heading2"/>
      </w:pPr>
      <w:r>
        <w:t xml:space="preserve">Foydalanilgan adabiyotlar</w:t>
      </w:r>
    </w:p>
    <w:p>
      <w:pPr/>
      <w:r>
        <w:t xml:space="preserve">[1] O‘zbekiston Respublikasi Milliy statistika qo‘mitasi. Key indicators of small business entities in the Republic of Uzbekistan (January–December 2025). 26.01.2026. https://stat.uz/img/news/maliy-biznes-kb_en_p93785.pdf</w:t>
      </w:r>
    </w:p>
    <w:p>
      <w:pPr/>
      <w:r>
        <w:t xml:space="preserve">[2] O‘zbekiston Respublikasining «Davlat-xususiy sheriklik to‘g‘risida»gi O‘RQ-537-son Qonuni, 10.05.2019. https://lex.uz/docs/-4329270</w:t>
      </w:r>
    </w:p>
    <w:p>
      <w:pPr/>
      <w:r>
        <w:t xml:space="preserve">[3] O‘zbekiston Respublikasining 22.01.2021-yildagi O‘RQ-669-son Qonuni «Davlat-xususiy sheriklik to‘g‘risidagi qonunchilik takomillashtirilishi munosabati bilan O‘zbekiston Respublikasining ayrim qonun hujjatlariga o‘zgartish va qo‘shimchalar kiritish, shuningdek ayrim qonun hujjatlarini o‘z kuchini yo‘qotgan deb topish haqida». https://lex.uz/docs/5235535</w:t>
      </w:r>
    </w:p>
    <w:p>
      <w:pPr/>
      <w:r>
        <w:t xml:space="preserve">[4] O‘zbekiston Respublikasi Vazirlar Mahkamasining 30.10.2024-yildagi 720-son qarori «Davlat-xususiy sheriklik sohasini yanada takomillashtirish hamda kompleks tizimlashtirish chora-tadbirlari to‘g‘risida» (1-ilova: Davlat-xususiy sheriklik loyihalarini amalga oshirish tartibi to‘g‘risida Nizom). https://lex.uz/docs/-7180726</w:t>
      </w:r>
    </w:p>
    <w:p>
      <w:pPr/>
      <w:r>
        <w:t xml:space="preserve">[5] Kun.uz. IMF: Uzbekistan’s public-private partnerships could burden future budgets. 02.07.2025. https://kun.uz/en/news/2025/07/02/imf-uzbekistans-public-private-partnerships-could-burden-future-budgets (XVFning Republic of Uzbekistan: Selected Issues, 2025 hisobotiga asoslangan: https://www.imf.org/en/Publications/CR/Issues/2025/06/23/Republic-of-Uzbekistan-Selected-Issues-567982)</w:t>
      </w:r>
    </w:p>
    <w:p>
      <w:pPr/>
      <w:r>
        <w:t xml:space="preserve">[6] Schumpeter J.A. The Theory of Economic Development. Cambridge, MA: Harvard University Press, 1934.</w:t>
      </w:r>
    </w:p>
    <w:p>
      <w:pPr/>
      <w:r>
        <w:t xml:space="preserve">[7] Coase R.H. The Nature of the Firm // Economica. 1937. Vol. 4, No. 16. P. 386–405.</w:t>
      </w:r>
    </w:p>
    <w:p>
      <w:pPr/>
      <w:r>
        <w:t xml:space="preserve">[8] Williamson O.E. The Economic Institutions of Capitalism. New York: Free Press, 1985.</w:t>
      </w:r>
    </w:p>
    <w:p>
      <w:pPr/>
      <w:r>
        <w:t xml:space="preserve">[9] Yescombe E.R. Public-Private Partnerships: Principles of Policy and Finance. Oxford: Butterworth-Heinemann, 2007.</w:t>
      </w:r>
    </w:p>
    <w:p>
      <w:pPr/>
      <w:r>
        <w:t xml:space="preserve">[10] Hodge G.A., Greve C. The Challenge of Public-Private Partnerships: Learning from International Experience. Cheltenham: Edward Elgar, 2005.</w:t>
      </w:r>
    </w:p>
    <w:p>
      <w:pPr/>
      <w:r>
        <w:t xml:space="preserve">[11] O‘zbekiston Respublikasi Iqtisodiyot va moliya vazirligi. Public-Private Partnership activities in the first quarter of 2026. 2026. https://gov.uz/en/imv/news/view/160374</w:t>
      </w:r>
    </w:p>
    <w:p>
      <w:pPr/>
      <w:r>
        <w:t xml:space="preserve">[12] OECD. Subnational Public-Private Partnerships: Meeting Infrastructure Challenges. OECD Multi-level Governance Studies. Paris: OECD Publishing, 2018. https://doi.org/10.1787/9789264304864-en</w:t>
      </w:r>
    </w:p>
    <w:p>
      <w:pPr/>
      <w:r>
        <w:t xml:space="preserve">[13] Cantillon R. Essai sur la nature du commerce en général. London, 1755.</w:t>
      </w:r>
    </w:p>
    <w:p>
      <w:pPr/>
      <w:r>
        <w:t xml:space="preserve">[14] Smith A. An Inquiry into the Nature and Causes of the Wealth of Nations. London, 1776.</w:t>
      </w:r>
    </w:p>
    <w:p>
      <w:pPr/>
      <w:r>
        <w:t xml:space="preserve">[15] Marshall A. Principles of Economics. London: Macmillan, 1890.</w:t>
      </w:r>
    </w:p>
    <w:p>
      <w:pPr/>
      <w:r>
        <w:t xml:space="preserve">[16] O‘zbekiston Respublikasi Prezidentining «O‘zbekiston Respublikasida 2024–2030-yillarda davlat-xususiy sheriklikni rivojlantirish chora-tadbirlari to‘g‘risida»gi 30.08.2024-yildagi PQ-308-son qarori. https://lex.uz/docs/-7089556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Kichik va o‘rta tadbirkorlikni rivojlantirishda davlat-xususiy sheriklikning naz</dc:title>
  <dc:description>Claude Docs node/d1f63b7e-f987@2 docx-w6</dc:description>
  <cp:revision>2</cp:revision>
</cp:coreProperties>
</file>