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WHARTON GLOBAL HIGH SCHOOL</w:t>
        <w:br/>
        <w:t>INVESTMENT COMPETITION</w:t>
      </w:r>
    </w:p>
    <w:p>
      <w:pPr>
        <w:jc w:val="center"/>
      </w:pPr>
      <w:r>
        <w:rPr>
          <w:b/>
          <w:sz w:val="34"/>
        </w:rPr>
        <w:t>2026–2027 PRE-COMPETITION PREPARATION GUIDE</w:t>
      </w:r>
    </w:p>
    <w:p>
      <w:pPr>
        <w:jc w:val="center"/>
      </w:pPr>
      <w:r>
        <w:rPr>
          <w:i/>
          <w:sz w:val="22"/>
        </w:rPr>
        <w:t>4 kishilik jamoa uchun amaliy qo‘llanma • O‘zbekcha</w:t>
      </w:r>
    </w:p>
    <w:p/>
    <w:tbl>
      <w:tblPr>
        <w:tblStyle w:val="TableGrid"/>
        <w:tblW w:type="auto" w:w="0"/>
        <w:tblLook w:firstColumn="1" w:firstRow="1" w:lastColumn="0" w:lastRow="0" w:noHBand="0" w:noVBand="1" w:val="04A0"/>
      </w:tblPr>
      <w:tblGrid>
        <w:gridCol w:w="10080"/>
      </w:tblGrid>
      <w:tr>
        <w:tc>
          <w:tcPr>
            <w:tcW w:type="dxa" w:w="10080"/>
            <w:shd w:fill="EEF5FA"/>
          </w:tcPr>
          <w:p>
            <w:r>
              <w:rPr>
                <w:b/>
                <w:sz w:val="22"/>
              </w:rPr>
              <w:t>Maqsad</w:t>
              <w:br/>
            </w:r>
            <w:r>
              <w:rPr>
                <w:sz w:val="20"/>
              </w:rPr>
              <w:t>15-sentabrda rasmiy case va competition materiallari ochilgunga qadar jamoani investment fundamentals, company analysis, financial statements, valuation, portfolio construction va investment thesis bo‘yicha tayyorlash. Bu qo‘llanma real pul bilan savdo qilish uchun emas; Wharton’ning virtual competition muhiti uchun o‘quv materialidir.</w:t>
            </w:r>
          </w:p>
        </w:tc>
      </w:tr>
    </w:tbl>
    <w:p/>
    <w:p>
      <w:pPr>
        <w:pStyle w:val="Heading1"/>
      </w:pPr>
      <w:r>
        <w:t>1. 2026–2027 rasmiy competition timeline</w:t>
      </w:r>
    </w:p>
    <w:p>
      <w:r>
        <w:t>Wharton Global Youth’ning 2026–2027 rasmiy ma’lumotlariga ko‘ra, 15-sentabrda designated Team Leader SurveyMonkey Apply taklifini oladi. Shu platformada case study, trading requirements, deliverable instructions, deadlines va boshqa rasmiy materiallar joylashtiriladi. WInS practice 15–25 sentabr, rasmiy competition esa 28-sentabrda boshlanadi.</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D9EAF7"/>
          </w:tcPr>
          <w:p>
            <w:r/>
            <w:r>
              <w:rPr>
                <w:b/>
                <w:sz w:val="19"/>
              </w:rPr>
              <w:t>Sana</w:t>
            </w:r>
          </w:p>
        </w:tc>
        <w:tc>
          <w:tcPr>
            <w:tcW w:type="dxa" w:w="7056"/>
            <w:vAlign w:val="center"/>
            <w:shd w:fill="D9EAF7"/>
          </w:tcPr>
          <w:p>
            <w:r/>
            <w:r>
              <w:rPr>
                <w:b/>
                <w:sz w:val="19"/>
              </w:rPr>
              <w:t>Bosqich</w:t>
            </w:r>
          </w:p>
        </w:tc>
      </w:tr>
      <w:tr>
        <w:tc>
          <w:tcPr>
            <w:tcW w:type="dxa" w:w="2448"/>
            <w:vAlign w:val="center"/>
          </w:tcPr>
          <w:p>
            <w:r/>
            <w:r>
              <w:rPr>
                <w:b w:val="0"/>
                <w:sz w:val="19"/>
              </w:rPr>
              <w:t>11 Sep 2026, 5:00 p.m. ET</w:t>
            </w:r>
          </w:p>
        </w:tc>
        <w:tc>
          <w:tcPr>
            <w:tcW w:type="dxa" w:w="7056"/>
            <w:vAlign w:val="center"/>
          </w:tcPr>
          <w:p>
            <w:r/>
            <w:r>
              <w:rPr>
                <w:b w:val="0"/>
                <w:sz w:val="19"/>
              </w:rPr>
              <w:t>Registration closes</w:t>
            </w:r>
          </w:p>
        </w:tc>
      </w:tr>
      <w:tr>
        <w:tc>
          <w:tcPr>
            <w:tcW w:type="dxa" w:w="2448"/>
            <w:vAlign w:val="center"/>
          </w:tcPr>
          <w:p>
            <w:r/>
            <w:r>
              <w:rPr>
                <w:b w:val="0"/>
                <w:sz w:val="19"/>
              </w:rPr>
              <w:t>15 Sep 2026</w:t>
            </w:r>
          </w:p>
        </w:tc>
        <w:tc>
          <w:tcPr>
            <w:tcW w:type="dxa" w:w="7056"/>
            <w:vAlign w:val="center"/>
          </w:tcPr>
          <w:p>
            <w:r/>
            <w:r>
              <w:rPr>
                <w:b w:val="0"/>
                <w:sz w:val="19"/>
              </w:rPr>
              <w:t>Team Leader: SurveyMonkey Apply invitation + official materials</w:t>
            </w:r>
          </w:p>
        </w:tc>
      </w:tr>
      <w:tr>
        <w:tc>
          <w:tcPr>
            <w:tcW w:type="dxa" w:w="2448"/>
            <w:vAlign w:val="center"/>
          </w:tcPr>
          <w:p>
            <w:r/>
            <w:r>
              <w:rPr>
                <w:b w:val="0"/>
                <w:sz w:val="19"/>
              </w:rPr>
              <w:t>15–25 Sep 2026</w:t>
            </w:r>
          </w:p>
        </w:tc>
        <w:tc>
          <w:tcPr>
            <w:tcW w:type="dxa" w:w="7056"/>
            <w:vAlign w:val="center"/>
          </w:tcPr>
          <w:p>
            <w:r/>
            <w:r>
              <w:rPr>
                <w:b w:val="0"/>
                <w:sz w:val="19"/>
              </w:rPr>
              <w:t>WInS practice period; practice portfolios keyin olib tashlanadi</w:t>
            </w:r>
          </w:p>
        </w:tc>
      </w:tr>
      <w:tr>
        <w:tc>
          <w:tcPr>
            <w:tcW w:type="dxa" w:w="2448"/>
            <w:vAlign w:val="center"/>
          </w:tcPr>
          <w:p>
            <w:r/>
            <w:r>
              <w:rPr>
                <w:b w:val="0"/>
                <w:sz w:val="19"/>
              </w:rPr>
              <w:t>28 Sep 2026</w:t>
            </w:r>
          </w:p>
        </w:tc>
        <w:tc>
          <w:tcPr>
            <w:tcW w:type="dxa" w:w="7056"/>
            <w:vAlign w:val="center"/>
          </w:tcPr>
          <w:p>
            <w:r/>
            <w:r>
              <w:rPr>
                <w:b w:val="0"/>
                <w:sz w:val="19"/>
              </w:rPr>
              <w:t>Competition begins; first day of trading</w:t>
            </w:r>
          </w:p>
        </w:tc>
      </w:tr>
      <w:tr>
        <w:tc>
          <w:tcPr>
            <w:tcW w:type="dxa" w:w="2448"/>
            <w:vAlign w:val="center"/>
          </w:tcPr>
          <w:p>
            <w:r/>
            <w:r>
              <w:rPr>
                <w:b w:val="0"/>
                <w:sz w:val="19"/>
              </w:rPr>
              <w:t>9 Oct 2026, 5:00 p.m. ET</w:t>
            </w:r>
          </w:p>
        </w:tc>
        <w:tc>
          <w:tcPr>
            <w:tcW w:type="dxa" w:w="7056"/>
            <w:vAlign w:val="center"/>
          </w:tcPr>
          <w:p>
            <w:r/>
            <w:r>
              <w:rPr>
                <w:b w:val="0"/>
                <w:sz w:val="19"/>
              </w:rPr>
              <w:t>Official team roster due</w:t>
            </w:r>
          </w:p>
        </w:tc>
      </w:tr>
      <w:tr>
        <w:tc>
          <w:tcPr>
            <w:tcW w:type="dxa" w:w="2448"/>
            <w:vAlign w:val="center"/>
          </w:tcPr>
          <w:p>
            <w:r/>
            <w:r>
              <w:rPr>
                <w:b w:val="0"/>
                <w:sz w:val="19"/>
              </w:rPr>
              <w:t>6 Nov 2026, 5:00 p.m. ET</w:t>
            </w:r>
          </w:p>
        </w:tc>
        <w:tc>
          <w:tcPr>
            <w:tcW w:type="dxa" w:w="7056"/>
            <w:vAlign w:val="center"/>
          </w:tcPr>
          <w:p>
            <w:r/>
            <w:r>
              <w:rPr>
                <w:b w:val="0"/>
                <w:sz w:val="19"/>
              </w:rPr>
              <w:t>Investment Policy Statement (IPS) due</w:t>
            </w:r>
          </w:p>
        </w:tc>
      </w:tr>
      <w:tr>
        <w:tc>
          <w:tcPr>
            <w:tcW w:type="dxa" w:w="2448"/>
            <w:vAlign w:val="center"/>
          </w:tcPr>
          <w:p>
            <w:r/>
            <w:r>
              <w:rPr>
                <w:b w:val="0"/>
                <w:sz w:val="19"/>
              </w:rPr>
              <w:t>4 Dec 2026, 5:00 p.m. ET</w:t>
            </w:r>
          </w:p>
        </w:tc>
        <w:tc>
          <w:tcPr>
            <w:tcW w:type="dxa" w:w="7056"/>
            <w:vAlign w:val="center"/>
          </w:tcPr>
          <w:p>
            <w:r/>
            <w:r>
              <w:rPr>
                <w:b w:val="0"/>
                <w:sz w:val="19"/>
              </w:rPr>
              <w:t>Final Report + school documentation due</w:t>
            </w:r>
          </w:p>
        </w:tc>
      </w:tr>
      <w:tr>
        <w:tc>
          <w:tcPr>
            <w:tcW w:type="dxa" w:w="2448"/>
            <w:vAlign w:val="center"/>
          </w:tcPr>
          <w:p>
            <w:r/>
            <w:r>
              <w:rPr>
                <w:b w:val="0"/>
                <w:sz w:val="19"/>
              </w:rPr>
              <w:t>29–30 Apr 2027</w:t>
            </w:r>
          </w:p>
        </w:tc>
        <w:tc>
          <w:tcPr>
            <w:tcW w:type="dxa" w:w="7056"/>
            <w:vAlign w:val="center"/>
          </w:tcPr>
          <w:p>
            <w:r/>
            <w:r>
              <w:rPr>
                <w:b w:val="0"/>
                <w:sz w:val="19"/>
              </w:rPr>
              <w:t>Learning Day &amp; Global Finale, Philadelphia</w:t>
            </w:r>
          </w:p>
        </w:tc>
      </w:tr>
    </w:tbl>
    <w:p/>
    <w:p>
      <w:pPr>
        <w:pStyle w:val="Heading1"/>
      </w:pPr>
      <w:r>
        <w:t>2. Competition aslida nimani talab qiladi?</w:t>
      </w:r>
    </w:p>
    <w:p>
      <w:r>
        <w:t>Har yili jamoalarga real Wharton alum ishtirok etgan, lekin competition uchun maxsus yaratilgan moliyaviy scenario asosidagi case beriladi. Jamoa clientning background va financial goals’ini tahlil qilib, uzoq muddatli investment strategy ishlab chiqadi. WInS virtual cash yordamida approved securities bilan strategiyani amalda sinash uchun ishlatiladi. Asosiy deliverable’lar — IPS va Comprehensive Final Report.</w:t>
      </w:r>
    </w:p>
    <w:tbl>
      <w:tblPr>
        <w:tblStyle w:val="TableGrid"/>
        <w:tblW w:type="auto" w:w="0"/>
        <w:tblLook w:firstColumn="1" w:firstRow="1" w:lastColumn="0" w:lastRow="0" w:noHBand="0" w:noVBand="1" w:val="04A0"/>
      </w:tblPr>
      <w:tblGrid>
        <w:gridCol w:w="10080"/>
      </w:tblGrid>
      <w:tr>
        <w:tc>
          <w:tcPr>
            <w:tcW w:type="dxa" w:w="10080"/>
            <w:shd w:fill="EEF5FA"/>
          </w:tcPr>
          <w:p>
            <w:r>
              <w:rPr>
                <w:b/>
                <w:sz w:val="22"/>
              </w:rPr>
              <w:t>Asosiy fikrlash zanjiri</w:t>
              <w:br/>
            </w:r>
            <w:r>
              <w:rPr>
                <w:sz w:val="20"/>
              </w:rPr>
              <w:t>CLIENT → GOALS → CONSTRAINTS → INVESTMENT STRATEGY → RESEARCH → PORTFOLIO → RISK → EVIDENCE → RECOMMENDATION</w:t>
            </w:r>
          </w:p>
        </w:tc>
      </w:tr>
    </w:tbl>
    <w:p/>
    <w:p>
      <w:pPr>
        <w:pStyle w:val="Heading1"/>
      </w:pPr>
      <w:r>
        <w:t>3. 6–14 sentabr: 9 kunlik bootcamp</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r/>
            <w:r>
              <w:rPr>
                <w:b/>
                <w:sz w:val="19"/>
              </w:rPr>
              <w:t>Kun</w:t>
            </w:r>
          </w:p>
        </w:tc>
        <w:tc>
          <w:tcPr>
            <w:tcW w:type="dxa" w:w="2448"/>
            <w:vAlign w:val="center"/>
            <w:shd w:fill="D9EAF7"/>
          </w:tcPr>
          <w:p>
            <w:r/>
            <w:r>
              <w:rPr>
                <w:b/>
                <w:sz w:val="19"/>
              </w:rPr>
              <w:t>Mavzu</w:t>
            </w:r>
          </w:p>
        </w:tc>
        <w:tc>
          <w:tcPr>
            <w:tcW w:type="dxa" w:w="6048"/>
            <w:vAlign w:val="center"/>
            <w:shd w:fill="D9EAF7"/>
          </w:tcPr>
          <w:p>
            <w:r/>
            <w:r>
              <w:rPr>
                <w:b/>
                <w:sz w:val="19"/>
              </w:rPr>
              <w:t>Kun oxiridagi natija</w:t>
            </w:r>
          </w:p>
        </w:tc>
      </w:tr>
      <w:tr>
        <w:tc>
          <w:tcPr>
            <w:tcW w:type="dxa" w:w="1008"/>
            <w:vAlign w:val="center"/>
          </w:tcPr>
          <w:p>
            <w:r/>
            <w:r>
              <w:rPr>
                <w:b w:val="0"/>
                <w:sz w:val="19"/>
              </w:rPr>
              <w:t>6 Sep</w:t>
            </w:r>
          </w:p>
        </w:tc>
        <w:tc>
          <w:tcPr>
            <w:tcW w:type="dxa" w:w="2448"/>
            <w:vAlign w:val="center"/>
          </w:tcPr>
          <w:p>
            <w:r/>
            <w:r>
              <w:rPr>
                <w:b w:val="0"/>
                <w:sz w:val="19"/>
              </w:rPr>
              <w:t>Investment fundamentals</w:t>
            </w:r>
          </w:p>
        </w:tc>
        <w:tc>
          <w:tcPr>
            <w:tcW w:type="dxa" w:w="6048"/>
            <w:vAlign w:val="center"/>
          </w:tcPr>
          <w:p>
            <w:r/>
            <w:r>
              <w:rPr>
                <w:b w:val="0"/>
                <w:sz w:val="19"/>
              </w:rPr>
              <w:t>Stock, bond, ETF, return, risk, time horizon, diversificationni tushuntira olish</w:t>
            </w:r>
          </w:p>
        </w:tc>
      </w:tr>
      <w:tr>
        <w:tc>
          <w:tcPr>
            <w:tcW w:type="dxa" w:w="1008"/>
            <w:vAlign w:val="center"/>
          </w:tcPr>
          <w:p>
            <w:r/>
            <w:r>
              <w:rPr>
                <w:b w:val="0"/>
                <w:sz w:val="19"/>
              </w:rPr>
              <w:t>7 Sep</w:t>
            </w:r>
          </w:p>
        </w:tc>
        <w:tc>
          <w:tcPr>
            <w:tcW w:type="dxa" w:w="2448"/>
            <w:vAlign w:val="center"/>
          </w:tcPr>
          <w:p>
            <w:r/>
            <w:r>
              <w:rPr>
                <w:b w:val="0"/>
                <w:sz w:val="19"/>
              </w:rPr>
              <w:t>Company analysis</w:t>
            </w:r>
          </w:p>
        </w:tc>
        <w:tc>
          <w:tcPr>
            <w:tcW w:type="dxa" w:w="6048"/>
            <w:vAlign w:val="center"/>
          </w:tcPr>
          <w:p>
            <w:r/>
            <w:r>
              <w:rPr>
                <w:b w:val="0"/>
                <w:sz w:val="19"/>
              </w:rPr>
              <w:t>Bitta public company uchun business model + moat + risks tahlili</w:t>
            </w:r>
          </w:p>
        </w:tc>
      </w:tr>
      <w:tr>
        <w:tc>
          <w:tcPr>
            <w:tcW w:type="dxa" w:w="1008"/>
            <w:vAlign w:val="center"/>
          </w:tcPr>
          <w:p>
            <w:r/>
            <w:r>
              <w:rPr>
                <w:b w:val="0"/>
                <w:sz w:val="19"/>
              </w:rPr>
              <w:t>8 Sep</w:t>
            </w:r>
          </w:p>
        </w:tc>
        <w:tc>
          <w:tcPr>
            <w:tcW w:type="dxa" w:w="2448"/>
            <w:vAlign w:val="center"/>
          </w:tcPr>
          <w:p>
            <w:r/>
            <w:r>
              <w:rPr>
                <w:b w:val="0"/>
                <w:sz w:val="19"/>
              </w:rPr>
              <w:t>Financial statements</w:t>
            </w:r>
          </w:p>
        </w:tc>
        <w:tc>
          <w:tcPr>
            <w:tcW w:type="dxa" w:w="6048"/>
            <w:vAlign w:val="center"/>
          </w:tcPr>
          <w:p>
            <w:r/>
            <w:r>
              <w:rPr>
                <w:b w:val="0"/>
                <w:sz w:val="19"/>
              </w:rPr>
              <w:t>Income Statement, Balance Sheet, Cash Flow’dan muhim raqamlarni topish</w:t>
            </w:r>
          </w:p>
        </w:tc>
      </w:tr>
      <w:tr>
        <w:tc>
          <w:tcPr>
            <w:tcW w:type="dxa" w:w="1008"/>
            <w:vAlign w:val="center"/>
          </w:tcPr>
          <w:p>
            <w:r/>
            <w:r>
              <w:rPr>
                <w:b w:val="0"/>
                <w:sz w:val="19"/>
              </w:rPr>
              <w:t>9 Sep</w:t>
            </w:r>
          </w:p>
        </w:tc>
        <w:tc>
          <w:tcPr>
            <w:tcW w:type="dxa" w:w="2448"/>
            <w:vAlign w:val="center"/>
          </w:tcPr>
          <w:p>
            <w:r/>
            <w:r>
              <w:rPr>
                <w:b w:val="0"/>
                <w:sz w:val="19"/>
              </w:rPr>
              <w:t>Financial ratios</w:t>
            </w:r>
          </w:p>
        </w:tc>
        <w:tc>
          <w:tcPr>
            <w:tcW w:type="dxa" w:w="6048"/>
            <w:vAlign w:val="center"/>
          </w:tcPr>
          <w:p>
            <w:r/>
            <w:r>
              <w:rPr>
                <w:b w:val="0"/>
                <w:sz w:val="19"/>
              </w:rPr>
              <w:t>Growth, margin, EPS, P/E, ROE, debt va FCFni interpretatsiya qilish</w:t>
            </w:r>
          </w:p>
        </w:tc>
      </w:tr>
      <w:tr>
        <w:tc>
          <w:tcPr>
            <w:tcW w:type="dxa" w:w="1008"/>
            <w:vAlign w:val="center"/>
          </w:tcPr>
          <w:p>
            <w:r/>
            <w:r>
              <w:rPr>
                <w:b w:val="0"/>
                <w:sz w:val="19"/>
              </w:rPr>
              <w:t>10 Sep</w:t>
            </w:r>
          </w:p>
        </w:tc>
        <w:tc>
          <w:tcPr>
            <w:tcW w:type="dxa" w:w="2448"/>
            <w:vAlign w:val="center"/>
          </w:tcPr>
          <w:p>
            <w:r/>
            <w:r>
              <w:rPr>
                <w:b w:val="0"/>
                <w:sz w:val="19"/>
              </w:rPr>
              <w:t>Valuation</w:t>
            </w:r>
          </w:p>
        </w:tc>
        <w:tc>
          <w:tcPr>
            <w:tcW w:type="dxa" w:w="6048"/>
            <w:vAlign w:val="center"/>
          </w:tcPr>
          <w:p>
            <w:r/>
            <w:r>
              <w:rPr>
                <w:b w:val="0"/>
                <w:sz w:val="19"/>
              </w:rPr>
              <w:t>Peer comparison va basic valuation logic</w:t>
            </w:r>
          </w:p>
        </w:tc>
      </w:tr>
      <w:tr>
        <w:tc>
          <w:tcPr>
            <w:tcW w:type="dxa" w:w="1008"/>
            <w:vAlign w:val="center"/>
          </w:tcPr>
          <w:p>
            <w:r/>
            <w:r>
              <w:rPr>
                <w:b w:val="0"/>
                <w:sz w:val="19"/>
              </w:rPr>
              <w:t>11 Sep</w:t>
            </w:r>
          </w:p>
        </w:tc>
        <w:tc>
          <w:tcPr>
            <w:tcW w:type="dxa" w:w="2448"/>
            <w:vAlign w:val="center"/>
          </w:tcPr>
          <w:p>
            <w:r/>
            <w:r>
              <w:rPr>
                <w:b w:val="0"/>
                <w:sz w:val="19"/>
              </w:rPr>
              <w:t>Industry analysis</w:t>
            </w:r>
          </w:p>
        </w:tc>
        <w:tc>
          <w:tcPr>
            <w:tcW w:type="dxa" w:w="6048"/>
            <w:vAlign w:val="center"/>
          </w:tcPr>
          <w:p>
            <w:r/>
            <w:r>
              <w:rPr>
                <w:b w:val="0"/>
                <w:sz w:val="19"/>
              </w:rPr>
              <w:t>Industry, competition, market position va structural risks</w:t>
            </w:r>
          </w:p>
        </w:tc>
      </w:tr>
      <w:tr>
        <w:tc>
          <w:tcPr>
            <w:tcW w:type="dxa" w:w="1008"/>
            <w:vAlign w:val="center"/>
          </w:tcPr>
          <w:p>
            <w:r/>
            <w:r>
              <w:rPr>
                <w:b w:val="0"/>
                <w:sz w:val="19"/>
              </w:rPr>
              <w:t>12 Sep</w:t>
            </w:r>
          </w:p>
        </w:tc>
        <w:tc>
          <w:tcPr>
            <w:tcW w:type="dxa" w:w="2448"/>
            <w:vAlign w:val="center"/>
          </w:tcPr>
          <w:p>
            <w:r/>
            <w:r>
              <w:rPr>
                <w:b w:val="0"/>
                <w:sz w:val="19"/>
              </w:rPr>
              <w:t>Portfolio construction</w:t>
            </w:r>
          </w:p>
        </w:tc>
        <w:tc>
          <w:tcPr>
            <w:tcW w:type="dxa" w:w="6048"/>
            <w:vAlign w:val="center"/>
          </w:tcPr>
          <w:p>
            <w:r/>
            <w:r>
              <w:rPr>
                <w:b w:val="0"/>
                <w:sz w:val="19"/>
              </w:rPr>
              <w:t>Allocation, diversification, concentration va rebalancing tushunchalari</w:t>
            </w:r>
          </w:p>
        </w:tc>
      </w:tr>
      <w:tr>
        <w:tc>
          <w:tcPr>
            <w:tcW w:type="dxa" w:w="1008"/>
            <w:vAlign w:val="center"/>
          </w:tcPr>
          <w:p>
            <w:r/>
            <w:r>
              <w:rPr>
                <w:b w:val="0"/>
                <w:sz w:val="19"/>
              </w:rPr>
              <w:t>13 Sep</w:t>
            </w:r>
          </w:p>
        </w:tc>
        <w:tc>
          <w:tcPr>
            <w:tcW w:type="dxa" w:w="2448"/>
            <w:vAlign w:val="center"/>
          </w:tcPr>
          <w:p>
            <w:r/>
            <w:r>
              <w:rPr>
                <w:b w:val="0"/>
                <w:sz w:val="19"/>
              </w:rPr>
              <w:t>Investment thesis</w:t>
            </w:r>
          </w:p>
        </w:tc>
        <w:tc>
          <w:tcPr>
            <w:tcW w:type="dxa" w:w="6048"/>
            <w:vAlign w:val="center"/>
          </w:tcPr>
          <w:p>
            <w:r/>
            <w:r>
              <w:rPr>
                <w:b w:val="0"/>
                <w:sz w:val="19"/>
              </w:rPr>
              <w:t>1-page investment memo tayyorlash</w:t>
            </w:r>
          </w:p>
        </w:tc>
      </w:tr>
      <w:tr>
        <w:tc>
          <w:tcPr>
            <w:tcW w:type="dxa" w:w="1008"/>
            <w:vAlign w:val="center"/>
          </w:tcPr>
          <w:p>
            <w:r/>
            <w:r>
              <w:rPr>
                <w:b w:val="0"/>
                <w:sz w:val="19"/>
              </w:rPr>
              <w:t>14 Sep</w:t>
            </w:r>
          </w:p>
        </w:tc>
        <w:tc>
          <w:tcPr>
            <w:tcW w:type="dxa" w:w="2448"/>
            <w:vAlign w:val="center"/>
          </w:tcPr>
          <w:p>
            <w:r/>
            <w:r>
              <w:rPr>
                <w:b w:val="0"/>
                <w:sz w:val="19"/>
              </w:rPr>
              <w:t>Mock Wharton</w:t>
            </w:r>
          </w:p>
        </w:tc>
        <w:tc>
          <w:tcPr>
            <w:tcW w:type="dxa" w:w="6048"/>
            <w:vAlign w:val="center"/>
          </w:tcPr>
          <w:p>
            <w:r/>
            <w:r>
              <w:rPr>
                <w:b w:val="0"/>
                <w:sz w:val="19"/>
              </w:rPr>
              <w:t>Client → strategy → portfolio → defense mini-simulation</w:t>
            </w:r>
          </w:p>
        </w:tc>
      </w:tr>
    </w:tbl>
    <w:p/>
    <w:p>
      <w:pPr>
        <w:pStyle w:val="Heading1"/>
      </w:pPr>
      <w:r>
        <w:t>4. Day 1 — Investment Fundamentals</w:t>
      </w:r>
    </w:p>
    <w:p>
      <w:r>
        <w:t>Quyidagi tushunchalarni har bir jamoa a’zosi o‘z so‘zi bilan izohlab bera olishi kerak:</w:t>
      </w:r>
    </w:p>
    <w:p>
      <w:pPr>
        <w:pStyle w:val="ListBullet"/>
      </w:pPr>
      <w:r>
        <w:t>Stock — kompaniyadagi ownership ulushi.</w:t>
      </w:r>
    </w:p>
    <w:p>
      <w:pPr>
        <w:pStyle w:val="ListBullet"/>
      </w:pPr>
      <w:r>
        <w:t>Bond — issuerga qarz berishga asoslangan fixed-income security.</w:t>
      </w:r>
    </w:p>
    <w:p>
      <w:pPr>
        <w:pStyle w:val="ListBullet"/>
      </w:pPr>
      <w:r>
        <w:t>ETF — ko‘plab securities’ni bitta fond orqali ushlash imkonini beruvchi investment product.</w:t>
      </w:r>
    </w:p>
    <w:p>
      <w:pPr>
        <w:pStyle w:val="ListBullet"/>
      </w:pPr>
      <w:r>
        <w:t>Return — investment qiymati o‘sishi va/yoki interest/dividend orqali olinadigan natija.</w:t>
      </w:r>
    </w:p>
    <w:p>
      <w:pPr>
        <w:pStyle w:val="ListBullet"/>
      </w:pPr>
      <w:r>
        <w:t>Risk — kutilgan natijaning noaniqligi va zarar ehtimoli.</w:t>
      </w:r>
    </w:p>
    <w:p>
      <w:pPr>
        <w:pStyle w:val="ListBullet"/>
      </w:pPr>
      <w:r>
        <w:t>Time horizon — maqsadga erishishgacha investment qancha muddat ushlanishi.</w:t>
      </w:r>
    </w:p>
    <w:p>
      <w:pPr>
        <w:pStyle w:val="ListBullet"/>
      </w:pPr>
      <w:r>
        <w:t>Risk tolerance — investorning zarar ehtimolini qabul qilish qobiliyati va tayyorligi.</w:t>
      </w:r>
    </w:p>
    <w:p>
      <w:pPr>
        <w:pStyle w:val="ListBullet"/>
      </w:pPr>
      <w:r>
        <w:t>Asset allocation — kapitalni stocks, bonds, cash va boshqa asset classes o‘rtasida taqsimlash.</w:t>
      </w:r>
    </w:p>
    <w:p>
      <w:pPr>
        <w:pStyle w:val="ListBullet"/>
      </w:pPr>
      <w:r>
        <w:t>Diversification — riskni kamaytirish uchun turli investments va sectors o‘rtasida tarqatish.</w:t>
      </w:r>
    </w:p>
    <w:p>
      <w:pPr>
        <w:pStyle w:val="ListBullet"/>
      </w:pPr>
      <w:r>
        <w:t>Rebalancing — portfolio allocation maqsaddan og‘ib ketganda uni qayta maqsadli nisbatga keltirish.</w:t>
      </w:r>
    </w:p>
    <w:p>
      <w:r>
        <w:t>SEC Investor.gov ta’kidlaganidek, asset allocation time horizon va risk tolerance bilan bog‘liq; diversification esa riskni turli investitsiyalar orasida yoyishga yordam beradi, lekin barcha zararlarni yo‘q qilishni kafolatlamaydi.</w:t>
      </w:r>
    </w:p>
    <w:p>
      <w:pPr>
        <w:pStyle w:val="Heading2"/>
      </w:pPr>
      <w:r>
        <w:t>Day 1 mashqi</w:t>
      </w:r>
    </w:p>
    <w:p>
      <w:pPr>
        <w:pStyle w:val="ListNumber"/>
      </w:pPr>
      <w:r>
        <w:t>Nega 100% kapitalni bitta kompaniyaga joylashtirish concentration risk yaratadi?</w:t>
      </w:r>
    </w:p>
    <w:p>
      <w:pPr>
        <w:pStyle w:val="ListNumber"/>
      </w:pPr>
      <w:r>
        <w:t>Nega 2 yillik va 20 yillik time horizon bir xil strategy talab qilmasligi mumkin?</w:t>
      </w:r>
    </w:p>
    <w:p>
      <w:pPr>
        <w:pStyle w:val="ListNumber"/>
      </w:pPr>
      <w:r>
        <w:t>ETF avtomatik ravishda diversified degani emasligini tushuntiring.</w:t>
      </w:r>
    </w:p>
    <w:p>
      <w:pPr>
        <w:pStyle w:val="ListNumber"/>
      </w:pPr>
      <w:r>
        <w:t>Moderate-risk client uchun qanday savollarni avval berardingiz?</w:t>
      </w:r>
    </w:p>
    <w:p>
      <w:pPr>
        <w:pStyle w:val="Heading1"/>
      </w:pPr>
      <w:r>
        <w:t>5. Day 2 — Company Analysis</w:t>
      </w:r>
    </w:p>
    <w:p>
      <w:r>
        <w:t>Har bir company uchun quyidagi 7 savolga javob bering:</w:t>
      </w:r>
    </w:p>
    <w:p>
      <w:pPr>
        <w:pStyle w:val="ListNumber"/>
      </w:pPr>
      <w:r>
        <w:t>Business model: kompaniya nima qiladi?</w:t>
      </w:r>
    </w:p>
    <w:p>
      <w:pPr>
        <w:pStyle w:val="ListNumber"/>
      </w:pPr>
      <w:r>
        <w:t>Revenue model: pul qayerdan keladi?</w:t>
      </w:r>
    </w:p>
    <w:p>
      <w:pPr>
        <w:pStyle w:val="ListNumber"/>
      </w:pPr>
      <w:r>
        <w:t>Customers: kim pul to‘laydi?</w:t>
      </w:r>
    </w:p>
    <w:p>
      <w:pPr>
        <w:pStyle w:val="ListNumber"/>
      </w:pPr>
      <w:r>
        <w:t>Growth drivers: kelajakdagi o‘sishni nima boshqaradi?</w:t>
      </w:r>
    </w:p>
    <w:p>
      <w:pPr>
        <w:pStyle w:val="ListNumber"/>
      </w:pPr>
      <w:r>
        <w:t>Competitive advantage / moat: kompaniyaning ustunligi nimada?</w:t>
      </w:r>
    </w:p>
    <w:p>
      <w:pPr>
        <w:pStyle w:val="ListNumber"/>
      </w:pPr>
      <w:r>
        <w:t>Risks: investment thesis’ni nima buzishi mumkin?</w:t>
      </w:r>
    </w:p>
    <w:p>
      <w:pPr>
        <w:pStyle w:val="ListNumber"/>
      </w:pPr>
      <w:r>
        <w:t>Client fit: nega bu investment aynan clientning maqsadlariga mos?</w:t>
      </w:r>
    </w:p>
    <w:tbl>
      <w:tblPr>
        <w:tblStyle w:val="TableGrid"/>
        <w:tblW w:type="auto" w:w="0"/>
        <w:tblLook w:firstColumn="1" w:firstRow="1" w:lastColumn="0" w:lastRow="0" w:noHBand="0" w:noVBand="1" w:val="04A0"/>
      </w:tblPr>
      <w:tblGrid>
        <w:gridCol w:w="10080"/>
      </w:tblGrid>
      <w:tr>
        <w:tc>
          <w:tcPr>
            <w:tcW w:type="dxa" w:w="10080"/>
            <w:shd w:fill="EEF5FA"/>
          </w:tcPr>
          <w:p>
            <w:r>
              <w:rPr>
                <w:b/>
                <w:sz w:val="22"/>
              </w:rPr>
              <w:t>Mini deliverable</w:t>
              <w:br/>
            </w:r>
            <w:r>
              <w:rPr>
                <w:sz w:val="20"/>
              </w:rPr>
              <w:t>Bitta kompaniya uchun 5 jumlalik thesis: business → growth → moat → risk → client fit.</w:t>
            </w:r>
          </w:p>
        </w:tc>
      </w:tr>
    </w:tbl>
    <w:p/>
    <w:p>
      <w:pPr>
        <w:pStyle w:val="Heading1"/>
      </w:pPr>
      <w:r>
        <w:t>6. Day 3 — Financial Statements</w:t>
      </w:r>
    </w:p>
    <w:p>
      <w:pPr>
        <w:pStyle w:val="Heading2"/>
      </w:pPr>
      <w:r>
        <w:t>Income Statement</w:t>
      </w:r>
    </w:p>
    <w:p>
      <w:r>
        <w:t>Kompaniyaning ma’lum davrdagi revenue, expenses va profitability holatini ko‘rsatadi.</w:t>
      </w:r>
    </w:p>
    <w:p>
      <w:pPr>
        <w:pStyle w:val="ListBullet"/>
      </w:pPr>
      <w:r>
        <w:t>Revenue</w:t>
      </w:r>
    </w:p>
    <w:p>
      <w:pPr>
        <w:pStyle w:val="ListBullet"/>
      </w:pPr>
      <w:r>
        <w:t>Gross Profit</w:t>
      </w:r>
    </w:p>
    <w:p>
      <w:pPr>
        <w:pStyle w:val="ListBullet"/>
      </w:pPr>
      <w:r>
        <w:t>Operating Income</w:t>
      </w:r>
    </w:p>
    <w:p>
      <w:pPr>
        <w:pStyle w:val="ListBullet"/>
      </w:pPr>
      <w:r>
        <w:t>Net Income</w:t>
      </w:r>
    </w:p>
    <w:p>
      <w:pPr>
        <w:pStyle w:val="ListBullet"/>
      </w:pPr>
      <w:r>
        <w:t>EPS</w:t>
      </w:r>
    </w:p>
    <w:p>
      <w:pPr>
        <w:pStyle w:val="Heading2"/>
      </w:pPr>
      <w:r>
        <w:t>Balance Sheet</w:t>
      </w:r>
    </w:p>
    <w:p>
      <w:r>
        <w:t>Asosiy tenglama: Assets = Liabilities + Equity.</w:t>
      </w:r>
    </w:p>
    <w:p>
      <w:pPr>
        <w:pStyle w:val="ListBullet"/>
      </w:pPr>
      <w:r>
        <w:t>Cash</w:t>
      </w:r>
    </w:p>
    <w:p>
      <w:pPr>
        <w:pStyle w:val="ListBullet"/>
      </w:pPr>
      <w:r>
        <w:t>Total Assets</w:t>
      </w:r>
    </w:p>
    <w:p>
      <w:pPr>
        <w:pStyle w:val="ListBullet"/>
      </w:pPr>
      <w:r>
        <w:t>Debt</w:t>
      </w:r>
    </w:p>
    <w:p>
      <w:pPr>
        <w:pStyle w:val="ListBullet"/>
      </w:pPr>
      <w:r>
        <w:t>Total Liabilities</w:t>
      </w:r>
    </w:p>
    <w:p>
      <w:pPr>
        <w:pStyle w:val="ListBullet"/>
      </w:pPr>
      <w:r>
        <w:t>Shareholders’ Equity</w:t>
      </w:r>
    </w:p>
    <w:p>
      <w:pPr>
        <w:pStyle w:val="Heading2"/>
      </w:pPr>
      <w:r>
        <w:t>Cash Flow Statement</w:t>
      </w:r>
    </w:p>
    <w:p>
      <w:pPr>
        <w:pStyle w:val="ListBullet"/>
      </w:pPr>
      <w:r>
        <w:t>Operating Cash Flow</w:t>
      </w:r>
    </w:p>
    <w:p>
      <w:pPr>
        <w:pStyle w:val="ListBullet"/>
      </w:pPr>
      <w:r>
        <w:t>Investing Cash Flow</w:t>
      </w:r>
    </w:p>
    <w:p>
      <w:pPr>
        <w:pStyle w:val="ListBullet"/>
      </w:pPr>
      <w:r>
        <w:t>Financing Cash Flow</w:t>
      </w:r>
    </w:p>
    <w:p>
      <w:pPr>
        <w:pStyle w:val="ListBullet"/>
      </w:pPr>
      <w:r>
        <w:t>Free Cash Flow — keyingi bosqichda alohida hisoblash/interpretatsiya</w:t>
      </w:r>
    </w:p>
    <w:tbl>
      <w:tblPr>
        <w:tblStyle w:val="TableGrid"/>
        <w:tblW w:type="auto" w:w="0"/>
        <w:tblLook w:firstColumn="1" w:firstRow="1" w:lastColumn="0" w:lastRow="0" w:noHBand="0" w:noVBand="1" w:val="04A0"/>
      </w:tblPr>
      <w:tblGrid>
        <w:gridCol w:w="10080"/>
      </w:tblGrid>
      <w:tr>
        <w:tc>
          <w:tcPr>
            <w:tcW w:type="dxa" w:w="10080"/>
            <w:shd w:fill="EEF5FA"/>
          </w:tcPr>
          <w:p>
            <w:r>
              <w:rPr>
                <w:b/>
                <w:sz w:val="22"/>
              </w:rPr>
              <w:t>Mashq</w:t>
              <w:br/>
            </w:r>
            <w:r>
              <w:rPr>
                <w:sz w:val="20"/>
              </w:rPr>
              <w:t>Bitta public company annual reportidan uchala statementni toping va har biridan 3–5 muhim raqamni yozib chiqing.</w:t>
            </w:r>
          </w:p>
        </w:tc>
      </w:tr>
    </w:tbl>
    <w:p/>
    <w:p>
      <w:pPr>
        <w:pStyle w:val="Heading1"/>
      </w:pPr>
      <w:r>
        <w:t>7. Day 4 — Ratios va Financial Interpretation</w:t>
      </w:r>
    </w:p>
    <w:p>
      <w:r>
        <w:t>Formula yodlashdan ko‘ra, metric nimani anglatishini tushunish muhim.</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r/>
            <w:r>
              <w:rPr>
                <w:b/>
                <w:sz w:val="19"/>
              </w:rPr>
              <w:t>Metric</w:t>
            </w:r>
          </w:p>
        </w:tc>
        <w:tc>
          <w:tcPr>
            <w:tcW w:type="dxa" w:w="3384"/>
            <w:vAlign w:val="center"/>
            <w:shd w:fill="D9EAF7"/>
          </w:tcPr>
          <w:p>
            <w:r/>
            <w:r>
              <w:rPr>
                <w:b/>
                <w:sz w:val="19"/>
              </w:rPr>
              <w:t>Formula / mazmuni</w:t>
            </w:r>
          </w:p>
        </w:tc>
        <w:tc>
          <w:tcPr>
            <w:tcW w:type="dxa" w:w="4320"/>
            <w:vAlign w:val="center"/>
            <w:shd w:fill="D9EAF7"/>
          </w:tcPr>
          <w:p>
            <w:r/>
            <w:r>
              <w:rPr>
                <w:b/>
                <w:sz w:val="19"/>
              </w:rPr>
              <w:t>Savol</w:t>
            </w:r>
          </w:p>
        </w:tc>
      </w:tr>
      <w:tr>
        <w:tc>
          <w:tcPr>
            <w:tcW w:type="dxa" w:w="1800"/>
            <w:vAlign w:val="center"/>
          </w:tcPr>
          <w:p>
            <w:r/>
            <w:r>
              <w:rPr>
                <w:b w:val="0"/>
                <w:sz w:val="19"/>
              </w:rPr>
              <w:t>Revenue Growth</w:t>
            </w:r>
          </w:p>
        </w:tc>
        <w:tc>
          <w:tcPr>
            <w:tcW w:type="dxa" w:w="3384"/>
            <w:vAlign w:val="center"/>
          </w:tcPr>
          <w:p>
            <w:r/>
            <w:r>
              <w:rPr>
                <w:b w:val="0"/>
                <w:sz w:val="19"/>
              </w:rPr>
              <w:t>(New − Old) / Old</w:t>
            </w:r>
          </w:p>
        </w:tc>
        <w:tc>
          <w:tcPr>
            <w:tcW w:type="dxa" w:w="4320"/>
            <w:vAlign w:val="center"/>
          </w:tcPr>
          <w:p>
            <w:r/>
            <w:r>
              <w:rPr>
                <w:b w:val="0"/>
                <w:sz w:val="19"/>
              </w:rPr>
              <w:t>Sales qanchalik tez o‘smoqda?</w:t>
            </w:r>
          </w:p>
        </w:tc>
      </w:tr>
      <w:tr>
        <w:tc>
          <w:tcPr>
            <w:tcW w:type="dxa" w:w="1800"/>
            <w:vAlign w:val="center"/>
          </w:tcPr>
          <w:p>
            <w:r/>
            <w:r>
              <w:rPr>
                <w:b w:val="0"/>
                <w:sz w:val="19"/>
              </w:rPr>
              <w:t>Net Margin</w:t>
            </w:r>
          </w:p>
        </w:tc>
        <w:tc>
          <w:tcPr>
            <w:tcW w:type="dxa" w:w="3384"/>
            <w:vAlign w:val="center"/>
          </w:tcPr>
          <w:p>
            <w:r/>
            <w:r>
              <w:rPr>
                <w:b w:val="0"/>
                <w:sz w:val="19"/>
              </w:rPr>
              <w:t>Net Income / Revenue</w:t>
            </w:r>
          </w:p>
        </w:tc>
        <w:tc>
          <w:tcPr>
            <w:tcW w:type="dxa" w:w="4320"/>
            <w:vAlign w:val="center"/>
          </w:tcPr>
          <w:p>
            <w:r/>
            <w:r>
              <w:rPr>
                <w:b w:val="0"/>
                <w:sz w:val="19"/>
              </w:rPr>
              <w:t>Har $1 revenue’dan qancha profit qolmoqda?</w:t>
            </w:r>
          </w:p>
        </w:tc>
      </w:tr>
      <w:tr>
        <w:tc>
          <w:tcPr>
            <w:tcW w:type="dxa" w:w="1800"/>
            <w:vAlign w:val="center"/>
          </w:tcPr>
          <w:p>
            <w:r/>
            <w:r>
              <w:rPr>
                <w:b w:val="0"/>
                <w:sz w:val="19"/>
              </w:rPr>
              <w:t>EPS</w:t>
            </w:r>
          </w:p>
        </w:tc>
        <w:tc>
          <w:tcPr>
            <w:tcW w:type="dxa" w:w="3384"/>
            <w:vAlign w:val="center"/>
          </w:tcPr>
          <w:p>
            <w:r/>
            <w:r>
              <w:rPr>
                <w:b w:val="0"/>
                <w:sz w:val="19"/>
              </w:rPr>
              <w:t>Earnings per share</w:t>
            </w:r>
          </w:p>
        </w:tc>
        <w:tc>
          <w:tcPr>
            <w:tcW w:type="dxa" w:w="4320"/>
            <w:vAlign w:val="center"/>
          </w:tcPr>
          <w:p>
            <w:r/>
            <w:r>
              <w:rPr>
                <w:b w:val="0"/>
                <w:sz w:val="19"/>
              </w:rPr>
              <w:t>Har bir share’ga qancha earnings to‘g‘ri keladi?</w:t>
            </w:r>
          </w:p>
        </w:tc>
      </w:tr>
      <w:tr>
        <w:tc>
          <w:tcPr>
            <w:tcW w:type="dxa" w:w="1800"/>
            <w:vAlign w:val="center"/>
          </w:tcPr>
          <w:p>
            <w:r/>
            <w:r>
              <w:rPr>
                <w:b w:val="0"/>
                <w:sz w:val="19"/>
              </w:rPr>
              <w:t>P/E</w:t>
            </w:r>
          </w:p>
        </w:tc>
        <w:tc>
          <w:tcPr>
            <w:tcW w:type="dxa" w:w="3384"/>
            <w:vAlign w:val="center"/>
          </w:tcPr>
          <w:p>
            <w:r/>
            <w:r>
              <w:rPr>
                <w:b w:val="0"/>
                <w:sz w:val="19"/>
              </w:rPr>
              <w:t>Share Price / EPS</w:t>
            </w:r>
          </w:p>
        </w:tc>
        <w:tc>
          <w:tcPr>
            <w:tcW w:type="dxa" w:w="4320"/>
            <w:vAlign w:val="center"/>
          </w:tcPr>
          <w:p>
            <w:r/>
            <w:r>
              <w:rPr>
                <w:b w:val="0"/>
                <w:sz w:val="19"/>
              </w:rPr>
              <w:t>Market earnings uchun qancha multiple to‘lamoqda?</w:t>
            </w:r>
          </w:p>
        </w:tc>
      </w:tr>
      <w:tr>
        <w:tc>
          <w:tcPr>
            <w:tcW w:type="dxa" w:w="1800"/>
            <w:vAlign w:val="center"/>
          </w:tcPr>
          <w:p>
            <w:r/>
            <w:r>
              <w:rPr>
                <w:b w:val="0"/>
                <w:sz w:val="19"/>
              </w:rPr>
              <w:t>ROE</w:t>
            </w:r>
          </w:p>
        </w:tc>
        <w:tc>
          <w:tcPr>
            <w:tcW w:type="dxa" w:w="3384"/>
            <w:vAlign w:val="center"/>
          </w:tcPr>
          <w:p>
            <w:r/>
            <w:r>
              <w:rPr>
                <w:b w:val="0"/>
                <w:sz w:val="19"/>
              </w:rPr>
              <w:t>Net Income / Equity</w:t>
            </w:r>
          </w:p>
        </w:tc>
        <w:tc>
          <w:tcPr>
            <w:tcW w:type="dxa" w:w="4320"/>
            <w:vAlign w:val="center"/>
          </w:tcPr>
          <w:p>
            <w:r/>
            <w:r>
              <w:rPr>
                <w:b w:val="0"/>
                <w:sz w:val="19"/>
              </w:rPr>
              <w:t>Equity’dan qay darajada return olinmoqda?</w:t>
            </w:r>
          </w:p>
        </w:tc>
      </w:tr>
      <w:tr>
        <w:tc>
          <w:tcPr>
            <w:tcW w:type="dxa" w:w="1800"/>
            <w:vAlign w:val="center"/>
          </w:tcPr>
          <w:p>
            <w:r/>
            <w:r>
              <w:rPr>
                <w:b w:val="0"/>
                <w:sz w:val="19"/>
              </w:rPr>
              <w:t>Debt metrics</w:t>
            </w:r>
          </w:p>
        </w:tc>
        <w:tc>
          <w:tcPr>
            <w:tcW w:type="dxa" w:w="3384"/>
            <w:vAlign w:val="center"/>
          </w:tcPr>
          <w:p>
            <w:r/>
            <w:r>
              <w:rPr>
                <w:b w:val="0"/>
                <w:sz w:val="19"/>
              </w:rPr>
              <w:t>Debt bilan bog‘liq ko‘rsatkichlar</w:t>
            </w:r>
          </w:p>
        </w:tc>
        <w:tc>
          <w:tcPr>
            <w:tcW w:type="dxa" w:w="4320"/>
            <w:vAlign w:val="center"/>
          </w:tcPr>
          <w:p>
            <w:r/>
            <w:r>
              <w:rPr>
                <w:b w:val="0"/>
                <w:sz w:val="19"/>
              </w:rPr>
              <w:t>Leverage xavfi qanchalik katta?</w:t>
            </w:r>
          </w:p>
        </w:tc>
      </w:tr>
      <w:tr>
        <w:tc>
          <w:tcPr>
            <w:tcW w:type="dxa" w:w="1800"/>
            <w:vAlign w:val="center"/>
          </w:tcPr>
          <w:p>
            <w:r/>
            <w:r>
              <w:rPr>
                <w:b w:val="0"/>
                <w:sz w:val="19"/>
              </w:rPr>
              <w:t>Free Cash Flow</w:t>
            </w:r>
          </w:p>
        </w:tc>
        <w:tc>
          <w:tcPr>
            <w:tcW w:type="dxa" w:w="3384"/>
            <w:vAlign w:val="center"/>
          </w:tcPr>
          <w:p>
            <w:r/>
            <w:r>
              <w:rPr>
                <w:b w:val="0"/>
                <w:sz w:val="19"/>
              </w:rPr>
              <w:t>Operating CF − CapEx (basic)</w:t>
            </w:r>
          </w:p>
        </w:tc>
        <w:tc>
          <w:tcPr>
            <w:tcW w:type="dxa" w:w="4320"/>
            <w:vAlign w:val="center"/>
          </w:tcPr>
          <w:p>
            <w:r/>
            <w:r>
              <w:rPr>
                <w:b w:val="0"/>
                <w:sz w:val="19"/>
              </w:rPr>
              <w:t>Business qancha discretionary cash yaratmoqda?</w:t>
            </w:r>
          </w:p>
        </w:tc>
      </w:tr>
    </w:tbl>
    <w:p/>
    <w:p>
      <w:r>
        <w:t>Eslatma: past P/E avtomatik “yaxshi”, yuqori P/E avtomatik “yomon” degani emas. Growth, quality, industry, risk va peer comparison birga ko‘riladi.</w:t>
      </w:r>
    </w:p>
    <w:p>
      <w:pPr>
        <w:pStyle w:val="Heading1"/>
      </w:pPr>
      <w:r>
        <w:t>8. Day 5 — Valuation</w:t>
      </w:r>
    </w:p>
    <w:p>
      <w:r>
        <w:t>Savol: “Bu yaxshi kompaniyami?” emas, balki “Bu valuation’da yaxshi investment opportunity’mi?”</w:t>
      </w:r>
    </w:p>
    <w:p>
      <w:pPr>
        <w:pStyle w:val="ListBullet"/>
      </w:pPr>
      <w:r>
        <w:t>Relative valuation: kompaniyani o‘xshash peers bilan solishtirish.</w:t>
      </w:r>
    </w:p>
    <w:p>
      <w:pPr>
        <w:pStyle w:val="ListBullet"/>
      </w:pPr>
      <w:r>
        <w:t>Growth vs valuation: yuqori multiple qaysi growth/quality assumptions’ni talab qilmoqda?</w:t>
      </w:r>
    </w:p>
    <w:p>
      <w:pPr>
        <w:pStyle w:val="ListBullet"/>
      </w:pPr>
      <w:r>
        <w:t>Historical comparison: kompaniyaning current multiple’i o‘z tarixiga nisbatan qanday?</w:t>
      </w:r>
    </w:p>
    <w:p>
      <w:pPr>
        <w:pStyle w:val="ListBullet"/>
      </w:pPr>
      <w:r>
        <w:t>DCF: kelajak cash flows’ini present value’ga diskontlash konsepsiyasini basic darajada tushunish.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vAlign w:val="center"/>
            <w:shd w:fill="D9EAF7"/>
          </w:tcPr>
          <w:p>
            <w:r/>
            <w:r>
              <w:rPr>
                <w:b/>
                <w:sz w:val="19"/>
              </w:rPr>
              <w:t>Metric</w:t>
            </w:r>
          </w:p>
        </w:tc>
        <w:tc>
          <w:tcPr>
            <w:tcW w:type="dxa" w:w="2160"/>
            <w:vAlign w:val="center"/>
            <w:shd w:fill="D9EAF7"/>
          </w:tcPr>
          <w:p>
            <w:r/>
            <w:r>
              <w:rPr>
                <w:b/>
                <w:sz w:val="19"/>
              </w:rPr>
              <w:t>Company A</w:t>
            </w:r>
          </w:p>
        </w:tc>
        <w:tc>
          <w:tcPr>
            <w:tcW w:type="dxa" w:w="2160"/>
            <w:vAlign w:val="center"/>
            <w:shd w:fill="D9EAF7"/>
          </w:tcPr>
          <w:p>
            <w:r/>
            <w:r>
              <w:rPr>
                <w:b/>
                <w:sz w:val="19"/>
              </w:rPr>
              <w:t>Peer B</w:t>
            </w:r>
          </w:p>
        </w:tc>
        <w:tc>
          <w:tcPr>
            <w:tcW w:type="dxa" w:w="2160"/>
            <w:vAlign w:val="center"/>
            <w:shd w:fill="D9EAF7"/>
          </w:tcPr>
          <w:p>
            <w:r/>
            <w:r>
              <w:rPr>
                <w:b/>
                <w:sz w:val="19"/>
              </w:rPr>
              <w:t>Peer C</w:t>
            </w:r>
          </w:p>
        </w:tc>
      </w:tr>
      <w:tr>
        <w:tc>
          <w:tcPr>
            <w:tcW w:type="dxa" w:w="2592"/>
            <w:vAlign w:val="center"/>
          </w:tcPr>
          <w:p>
            <w:r/>
            <w:r>
              <w:rPr>
                <w:b w:val="0"/>
                <w:sz w:val="19"/>
              </w:rPr>
              <w:t>Revenue Growth</w:t>
            </w:r>
          </w:p>
        </w:tc>
        <w:tc>
          <w:tcPr>
            <w:tcW w:type="dxa" w:w="2160"/>
            <w:vAlign w:val="center"/>
          </w:tcPr>
          <w:p>
            <w:r/>
            <w:r>
              <w:rPr>
                <w:b w:val="0"/>
                <w:sz w:val="19"/>
              </w:rPr>
            </w:r>
          </w:p>
        </w:tc>
        <w:tc>
          <w:tcPr>
            <w:tcW w:type="dxa" w:w="2160"/>
            <w:vAlign w:val="center"/>
          </w:tcPr>
          <w:p>
            <w:r/>
            <w:r>
              <w:rPr>
                <w:b w:val="0"/>
                <w:sz w:val="19"/>
              </w:rPr>
            </w:r>
          </w:p>
        </w:tc>
        <w:tc>
          <w:tcPr>
            <w:tcW w:type="dxa" w:w="2160"/>
            <w:vAlign w:val="center"/>
          </w:tcPr>
          <w:p>
            <w:r/>
            <w:r>
              <w:rPr>
                <w:b w:val="0"/>
                <w:sz w:val="19"/>
              </w:rPr>
            </w:r>
          </w:p>
        </w:tc>
      </w:tr>
      <w:tr>
        <w:tc>
          <w:tcPr>
            <w:tcW w:type="dxa" w:w="2592"/>
            <w:vAlign w:val="center"/>
          </w:tcPr>
          <w:p>
            <w:r/>
            <w:r>
              <w:rPr>
                <w:b w:val="0"/>
                <w:sz w:val="19"/>
              </w:rPr>
              <w:t>P/E</w:t>
            </w:r>
          </w:p>
        </w:tc>
        <w:tc>
          <w:tcPr>
            <w:tcW w:type="dxa" w:w="2160"/>
            <w:vAlign w:val="center"/>
          </w:tcPr>
          <w:p>
            <w:r/>
            <w:r>
              <w:rPr>
                <w:b w:val="0"/>
                <w:sz w:val="19"/>
              </w:rPr>
            </w:r>
          </w:p>
        </w:tc>
        <w:tc>
          <w:tcPr>
            <w:tcW w:type="dxa" w:w="2160"/>
            <w:vAlign w:val="center"/>
          </w:tcPr>
          <w:p>
            <w:r/>
            <w:r>
              <w:rPr>
                <w:b w:val="0"/>
                <w:sz w:val="19"/>
              </w:rPr>
            </w:r>
          </w:p>
        </w:tc>
        <w:tc>
          <w:tcPr>
            <w:tcW w:type="dxa" w:w="2160"/>
            <w:vAlign w:val="center"/>
          </w:tcPr>
          <w:p>
            <w:r/>
            <w:r>
              <w:rPr>
                <w:b w:val="0"/>
                <w:sz w:val="19"/>
              </w:rPr>
            </w:r>
          </w:p>
        </w:tc>
      </w:tr>
      <w:tr>
        <w:tc>
          <w:tcPr>
            <w:tcW w:type="dxa" w:w="2592"/>
            <w:vAlign w:val="center"/>
          </w:tcPr>
          <w:p>
            <w:r/>
            <w:r>
              <w:rPr>
                <w:b w:val="0"/>
                <w:sz w:val="19"/>
              </w:rPr>
              <w:t>Operating Margin</w:t>
            </w:r>
          </w:p>
        </w:tc>
        <w:tc>
          <w:tcPr>
            <w:tcW w:type="dxa" w:w="2160"/>
            <w:vAlign w:val="center"/>
          </w:tcPr>
          <w:p>
            <w:r/>
            <w:r>
              <w:rPr>
                <w:b w:val="0"/>
                <w:sz w:val="19"/>
              </w:rPr>
            </w:r>
          </w:p>
        </w:tc>
        <w:tc>
          <w:tcPr>
            <w:tcW w:type="dxa" w:w="2160"/>
            <w:vAlign w:val="center"/>
          </w:tcPr>
          <w:p>
            <w:r/>
            <w:r>
              <w:rPr>
                <w:b w:val="0"/>
                <w:sz w:val="19"/>
              </w:rPr>
            </w:r>
          </w:p>
        </w:tc>
        <w:tc>
          <w:tcPr>
            <w:tcW w:type="dxa" w:w="2160"/>
            <w:vAlign w:val="center"/>
          </w:tcPr>
          <w:p>
            <w:r/>
            <w:r>
              <w:rPr>
                <w:b w:val="0"/>
                <w:sz w:val="19"/>
              </w:rPr>
            </w:r>
          </w:p>
        </w:tc>
      </w:tr>
      <w:tr>
        <w:tc>
          <w:tcPr>
            <w:tcW w:type="dxa" w:w="2592"/>
            <w:vAlign w:val="center"/>
          </w:tcPr>
          <w:p>
            <w:r/>
            <w:r>
              <w:rPr>
                <w:b w:val="0"/>
                <w:sz w:val="19"/>
              </w:rPr>
              <w:t>ROE</w:t>
            </w:r>
          </w:p>
        </w:tc>
        <w:tc>
          <w:tcPr>
            <w:tcW w:type="dxa" w:w="2160"/>
            <w:vAlign w:val="center"/>
          </w:tcPr>
          <w:p>
            <w:r/>
            <w:r>
              <w:rPr>
                <w:b w:val="0"/>
                <w:sz w:val="19"/>
              </w:rPr>
            </w:r>
          </w:p>
        </w:tc>
        <w:tc>
          <w:tcPr>
            <w:tcW w:type="dxa" w:w="2160"/>
            <w:vAlign w:val="center"/>
          </w:tcPr>
          <w:p>
            <w:r/>
            <w:r>
              <w:rPr>
                <w:b w:val="0"/>
                <w:sz w:val="19"/>
              </w:rPr>
            </w:r>
          </w:p>
        </w:tc>
        <w:tc>
          <w:tcPr>
            <w:tcW w:type="dxa" w:w="2160"/>
            <w:vAlign w:val="center"/>
          </w:tcPr>
          <w:p>
            <w:r/>
            <w:r>
              <w:rPr>
                <w:b w:val="0"/>
                <w:sz w:val="19"/>
              </w:rPr>
            </w:r>
          </w:p>
        </w:tc>
      </w:tr>
      <w:tr>
        <w:tc>
          <w:tcPr>
            <w:tcW w:type="dxa" w:w="2592"/>
            <w:vAlign w:val="center"/>
          </w:tcPr>
          <w:p>
            <w:r/>
            <w:r>
              <w:rPr>
                <w:b w:val="0"/>
                <w:sz w:val="19"/>
              </w:rPr>
              <w:t>Debt</w:t>
            </w:r>
          </w:p>
        </w:tc>
        <w:tc>
          <w:tcPr>
            <w:tcW w:type="dxa" w:w="2160"/>
            <w:vAlign w:val="center"/>
          </w:tcPr>
          <w:p>
            <w:r/>
            <w:r>
              <w:rPr>
                <w:b w:val="0"/>
                <w:sz w:val="19"/>
              </w:rPr>
            </w:r>
          </w:p>
        </w:tc>
        <w:tc>
          <w:tcPr>
            <w:tcW w:type="dxa" w:w="2160"/>
            <w:vAlign w:val="center"/>
          </w:tcPr>
          <w:p>
            <w:r/>
            <w:r>
              <w:rPr>
                <w:b w:val="0"/>
                <w:sz w:val="19"/>
              </w:rPr>
            </w:r>
          </w:p>
        </w:tc>
        <w:tc>
          <w:tcPr>
            <w:tcW w:type="dxa" w:w="2160"/>
            <w:vAlign w:val="center"/>
          </w:tcPr>
          <w:p>
            <w:r/>
            <w:r>
              <w:rPr>
                <w:b w:val="0"/>
                <w:sz w:val="19"/>
              </w:rPr>
            </w:r>
          </w:p>
        </w:tc>
      </w:tr>
    </w:tbl>
    <w:p/>
    <w:p>
      <w:pPr>
        <w:pStyle w:val="Heading1"/>
      </w:pPr>
      <w:r>
        <w:t>9. Day 6 — Industry &amp; Competitive Analysis</w:t>
      </w:r>
    </w:p>
    <w:p>
      <w:r>
        <w:t>Company’ni faqat o‘z raqamlari bilan emas, industry kontekstida baholang.</w:t>
      </w:r>
    </w:p>
    <w:p>
      <w:pPr>
        <w:pStyle w:val="ListBullet"/>
      </w:pPr>
      <w:r>
        <w:t>Industry growth va cyclicality</w:t>
      </w:r>
    </w:p>
    <w:p>
      <w:pPr>
        <w:pStyle w:val="ListBullet"/>
      </w:pPr>
      <w:r>
        <w:t>Market size va addressable opportunity</w:t>
      </w:r>
    </w:p>
    <w:p>
      <w:pPr>
        <w:pStyle w:val="ListBullet"/>
      </w:pPr>
      <w:r>
        <w:t>Market share</w:t>
      </w:r>
    </w:p>
    <w:p>
      <w:pPr>
        <w:pStyle w:val="ListBullet"/>
      </w:pPr>
      <w:r>
        <w:t>Major competitors</w:t>
      </w:r>
    </w:p>
    <w:p>
      <w:pPr>
        <w:pStyle w:val="ListBullet"/>
      </w:pPr>
      <w:r>
        <w:t>Barriers to entry</w:t>
      </w:r>
    </w:p>
    <w:p>
      <w:pPr>
        <w:pStyle w:val="ListBullet"/>
      </w:pPr>
      <w:r>
        <w:t>Pricing power</w:t>
      </w:r>
    </w:p>
    <w:p>
      <w:pPr>
        <w:pStyle w:val="ListBullet"/>
      </w:pPr>
      <w:r>
        <w:t>Regulatory risk</w:t>
      </w:r>
    </w:p>
    <w:p>
      <w:pPr>
        <w:pStyle w:val="ListBullet"/>
      </w:pPr>
      <w:r>
        <w:t>Technological disruption</w:t>
      </w:r>
    </w:p>
    <w:p>
      <w:pPr>
        <w:pStyle w:val="ListBullet"/>
      </w:pPr>
      <w:r>
        <w:t>Supply-chain yoki input-cost risks</w:t>
      </w:r>
    </w:p>
    <w:p>
      <w:pPr>
        <w:pStyle w:val="ListBullet"/>
      </w:pPr>
      <w:r>
        <w:t>Basic Porter’s Five Forces: rivalry, new entrants, substitutes, supplier power, buyer power</w:t>
      </w:r>
    </w:p>
    <w:p>
      <w:pPr>
        <w:pStyle w:val="Heading1"/>
      </w:pPr>
      <w:r>
        <w:t>10. Day 7 — Portfolio Construction &amp; Risk</w:t>
      </w:r>
    </w:p>
    <w:p>
      <w:r>
        <w:t>Portfolio — yoqqan stocks ro‘yxati emas. U client objective, time horizon, risk tolerance va constraints’ni amalga oshiradigan tizimli strategy bo‘lishi kerak.</w:t>
      </w:r>
    </w:p>
    <w:p>
      <w:pPr>
        <w:pStyle w:val="ListBullet"/>
      </w:pPr>
      <w:r>
        <w:t>Asset allocation</w:t>
      </w:r>
    </w:p>
    <w:p>
      <w:pPr>
        <w:pStyle w:val="ListBullet"/>
      </w:pPr>
      <w:r>
        <w:t>Sector allocation</w:t>
      </w:r>
    </w:p>
    <w:p>
      <w:pPr>
        <w:pStyle w:val="ListBullet"/>
      </w:pPr>
      <w:r>
        <w:t>Position sizing</w:t>
      </w:r>
    </w:p>
    <w:p>
      <w:pPr>
        <w:pStyle w:val="ListBullet"/>
      </w:pPr>
      <w:r>
        <w:t>Concentration risk</w:t>
      </w:r>
    </w:p>
    <w:p>
      <w:pPr>
        <w:pStyle w:val="ListBullet"/>
      </w:pPr>
      <w:r>
        <w:t>Diversification</w:t>
      </w:r>
    </w:p>
    <w:p>
      <w:pPr>
        <w:pStyle w:val="ListBullet"/>
      </w:pPr>
      <w:r>
        <w:t>Correlation — basic concept</w:t>
      </w:r>
    </w:p>
    <w:p>
      <w:pPr>
        <w:pStyle w:val="ListBullet"/>
      </w:pPr>
      <w:r>
        <w:t>Volatility — basic concept</w:t>
      </w:r>
    </w:p>
    <w:p>
      <w:pPr>
        <w:pStyle w:val="ListBullet"/>
      </w:pPr>
      <w:r>
        <w:t>Drawdown — basic concept</w:t>
      </w:r>
    </w:p>
    <w:p>
      <w:pPr>
        <w:pStyle w:val="ListBullet"/>
      </w:pPr>
      <w:r>
        <w:t>Rebalancing</w:t>
      </w:r>
    </w:p>
    <w:p>
      <w:r>
        <w:t>Investor.gov materiallariga ko‘ra, diversification ikki darajada ko‘rilishi mumkin: asset categories orasida va har bir category ichida. Biroq diversification bozor pasayganda zarar bo‘lmasligini kafolatlamaydi.</w:t>
      </w:r>
    </w:p>
    <w:p>
      <w:pPr>
        <w:pStyle w:val="Heading1"/>
      </w:pPr>
      <w:r>
        <w:t>11. Day 8 — Investment Thesis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
              <w:rPr>
                <w:b/>
                <w:sz w:val="19"/>
              </w:rPr>
              <w:t>Bo‘lim</w:t>
            </w:r>
          </w:p>
        </w:tc>
        <w:tc>
          <w:tcPr>
            <w:tcW w:type="dxa" w:w="7344"/>
            <w:vAlign w:val="center"/>
            <w:shd w:fill="D9EAF7"/>
          </w:tcPr>
          <w:p>
            <w:r/>
            <w:r>
              <w:rPr>
                <w:b/>
                <w:sz w:val="19"/>
              </w:rPr>
              <w:t>Yoziladigan savol</w:t>
            </w:r>
          </w:p>
        </w:tc>
      </w:tr>
      <w:tr>
        <w:tc>
          <w:tcPr>
            <w:tcW w:type="dxa" w:w="2160"/>
            <w:vAlign w:val="center"/>
          </w:tcPr>
          <w:p>
            <w:r/>
            <w:r>
              <w:rPr>
                <w:b w:val="0"/>
                <w:sz w:val="19"/>
              </w:rPr>
              <w:t>1. Thesis</w:t>
            </w:r>
          </w:p>
        </w:tc>
        <w:tc>
          <w:tcPr>
            <w:tcW w:type="dxa" w:w="7344"/>
            <w:vAlign w:val="center"/>
          </w:tcPr>
          <w:p>
            <w:r/>
            <w:r>
              <w:rPr>
                <w:b w:val="0"/>
                <w:sz w:val="19"/>
              </w:rPr>
              <w:t>Nega bu investment opportunity ishlashi mumkin?</w:t>
            </w:r>
          </w:p>
        </w:tc>
      </w:tr>
      <w:tr>
        <w:tc>
          <w:tcPr>
            <w:tcW w:type="dxa" w:w="2160"/>
            <w:vAlign w:val="center"/>
          </w:tcPr>
          <w:p>
            <w:r/>
            <w:r>
              <w:rPr>
                <w:b w:val="0"/>
                <w:sz w:val="19"/>
              </w:rPr>
              <w:t>2. Evidence</w:t>
            </w:r>
          </w:p>
        </w:tc>
        <w:tc>
          <w:tcPr>
            <w:tcW w:type="dxa" w:w="7344"/>
            <w:vAlign w:val="center"/>
          </w:tcPr>
          <w:p>
            <w:r/>
            <w:r>
              <w:rPr>
                <w:b w:val="0"/>
                <w:sz w:val="19"/>
              </w:rPr>
              <w:t>Qaysi financial/industry evidence thesisni qo‘llab-quvvatlaydi?</w:t>
            </w:r>
          </w:p>
        </w:tc>
      </w:tr>
      <w:tr>
        <w:tc>
          <w:tcPr>
            <w:tcW w:type="dxa" w:w="2160"/>
            <w:vAlign w:val="center"/>
          </w:tcPr>
          <w:p>
            <w:r/>
            <w:r>
              <w:rPr>
                <w:b w:val="0"/>
                <w:sz w:val="19"/>
              </w:rPr>
              <w:t>3. Catalysts</w:t>
            </w:r>
          </w:p>
        </w:tc>
        <w:tc>
          <w:tcPr>
            <w:tcW w:type="dxa" w:w="7344"/>
            <w:vAlign w:val="center"/>
          </w:tcPr>
          <w:p>
            <w:r/>
            <w:r>
              <w:rPr>
                <w:b w:val="0"/>
                <w:sz w:val="19"/>
              </w:rPr>
              <w:t>Qaysi voqealar yoki business drivers qiymatni ochishi mumkin?</w:t>
            </w:r>
          </w:p>
        </w:tc>
      </w:tr>
      <w:tr>
        <w:tc>
          <w:tcPr>
            <w:tcW w:type="dxa" w:w="2160"/>
            <w:vAlign w:val="center"/>
          </w:tcPr>
          <w:p>
            <w:r/>
            <w:r>
              <w:rPr>
                <w:b w:val="0"/>
                <w:sz w:val="19"/>
              </w:rPr>
              <w:t>4. Valuation</w:t>
            </w:r>
          </w:p>
        </w:tc>
        <w:tc>
          <w:tcPr>
            <w:tcW w:type="dxa" w:w="7344"/>
            <w:vAlign w:val="center"/>
          </w:tcPr>
          <w:p>
            <w:r/>
            <w:r>
              <w:rPr>
                <w:b w:val="0"/>
                <w:sz w:val="19"/>
              </w:rPr>
              <w:t>Current price/valuation thesis bilan mosmi?</w:t>
            </w:r>
          </w:p>
        </w:tc>
      </w:tr>
      <w:tr>
        <w:tc>
          <w:tcPr>
            <w:tcW w:type="dxa" w:w="2160"/>
            <w:vAlign w:val="center"/>
          </w:tcPr>
          <w:p>
            <w:r/>
            <w:r>
              <w:rPr>
                <w:b w:val="0"/>
                <w:sz w:val="19"/>
              </w:rPr>
              <w:t>5. Risks</w:t>
            </w:r>
          </w:p>
        </w:tc>
        <w:tc>
          <w:tcPr>
            <w:tcW w:type="dxa" w:w="7344"/>
            <w:vAlign w:val="center"/>
          </w:tcPr>
          <w:p>
            <w:r/>
            <w:r>
              <w:rPr>
                <w:b w:val="0"/>
                <w:sz w:val="19"/>
              </w:rPr>
              <w:t>Biz nimada xato qilayotgan bo‘lishimiz mumkin?</w:t>
            </w:r>
          </w:p>
        </w:tc>
      </w:tr>
      <w:tr>
        <w:tc>
          <w:tcPr>
            <w:tcW w:type="dxa" w:w="2160"/>
            <w:vAlign w:val="center"/>
          </w:tcPr>
          <w:p>
            <w:r/>
            <w:r>
              <w:rPr>
                <w:b w:val="0"/>
                <w:sz w:val="19"/>
              </w:rPr>
              <w:t>6. Client Fit</w:t>
            </w:r>
          </w:p>
        </w:tc>
        <w:tc>
          <w:tcPr>
            <w:tcW w:type="dxa" w:w="7344"/>
            <w:vAlign w:val="center"/>
          </w:tcPr>
          <w:p>
            <w:r/>
            <w:r>
              <w:rPr>
                <w:b w:val="0"/>
                <w:sz w:val="19"/>
              </w:rPr>
              <w:t>Nega aynan client objectives uchun mos?</w:t>
            </w:r>
          </w:p>
        </w:tc>
      </w:tr>
      <w:tr>
        <w:tc>
          <w:tcPr>
            <w:tcW w:type="dxa" w:w="2160"/>
            <w:vAlign w:val="center"/>
          </w:tcPr>
          <w:p>
            <w:r/>
            <w:r>
              <w:rPr>
                <w:b w:val="0"/>
                <w:sz w:val="19"/>
              </w:rPr>
              <w:t>7. Portfolio Role</w:t>
            </w:r>
          </w:p>
        </w:tc>
        <w:tc>
          <w:tcPr>
            <w:tcW w:type="dxa" w:w="7344"/>
            <w:vAlign w:val="center"/>
          </w:tcPr>
          <w:p>
            <w:r/>
            <w:r>
              <w:rPr>
                <w:b w:val="0"/>
                <w:sz w:val="19"/>
              </w:rPr>
              <w:t>Growth, stability, diversification yoki boshqa qanday rol?</w:t>
            </w:r>
          </w:p>
        </w:tc>
      </w:tr>
    </w:tbl>
    <w:p/>
    <w:tbl>
      <w:tblPr>
        <w:tblStyle w:val="TableGrid"/>
        <w:tblW w:type="auto" w:w="0"/>
        <w:tblLook w:firstColumn="1" w:firstRow="1" w:lastColumn="0" w:lastRow="0" w:noHBand="0" w:noVBand="1" w:val="04A0"/>
      </w:tblPr>
      <w:tblGrid>
        <w:gridCol w:w="10080"/>
      </w:tblGrid>
      <w:tr>
        <w:tc>
          <w:tcPr>
            <w:tcW w:type="dxa" w:w="10080"/>
            <w:shd w:fill="EEF5FA"/>
          </w:tcPr>
          <w:p>
            <w:r>
              <w:rPr>
                <w:b/>
                <w:sz w:val="22"/>
              </w:rPr>
              <w:t>Day 8 deliverable</w:t>
              <w:br/>
            </w:r>
            <w:r>
              <w:rPr>
                <w:sz w:val="20"/>
              </w:rPr>
              <w:t>Har bir jamoa a’zosi bitta kompaniya uchun 1-page investment memo tayyorlaydi.</w:t>
            </w:r>
          </w:p>
        </w:tc>
      </w:tr>
    </w:tbl>
    <w:p/>
    <w:p>
      <w:pPr>
        <w:pStyle w:val="Heading1"/>
      </w:pPr>
      <w:r>
        <w:t>12. Day 9 — Mock Wharton Simulation</w:t>
      </w:r>
    </w:p>
    <w:p>
      <w:r>
        <w:t>Bu faqat practice scenario; rasmiy 2026–27 Wharton case emas.</w:t>
      </w:r>
    </w:p>
    <w:tbl>
      <w:tblPr>
        <w:tblStyle w:val="TableGrid"/>
        <w:tblW w:type="auto" w:w="0"/>
        <w:tblLook w:firstColumn="1" w:firstRow="1" w:lastColumn="0" w:lastRow="0" w:noHBand="0" w:noVBand="1" w:val="04A0"/>
      </w:tblPr>
      <w:tblGrid>
        <w:gridCol w:w="10080"/>
      </w:tblGrid>
      <w:tr>
        <w:tc>
          <w:tcPr>
            <w:tcW w:type="dxa" w:w="10080"/>
            <w:shd w:fill="EEF5FA"/>
          </w:tcPr>
          <w:p>
            <w:r>
              <w:rPr>
                <w:b/>
                <w:sz w:val="22"/>
              </w:rPr>
              <w:t>Practice client</w:t>
              <w:br/>
            </w:r>
            <w:r>
              <w:rPr>
                <w:sz w:val="20"/>
              </w:rPr>
              <w:t>Virtual portfolio: $500,000. Time horizon: 15 years. Risk tolerance: moderate. Client uzoq muddatli moliyaviy maqsadga ega. Jamoa avval clientni tushunadi, keyin strategy quradi; tasodifiy stock picking qilmaydi.</w:t>
            </w:r>
          </w:p>
        </w:tc>
      </w:tr>
    </w:tbl>
    <w:p/>
    <w:p>
      <w:pPr>
        <w:pStyle w:val="ListNumber"/>
      </w:pPr>
      <w:r>
        <w:t>Client analysis: goals, time horizon, risk tolerance, constraints.</w:t>
      </w:r>
    </w:p>
    <w:p>
      <w:pPr>
        <w:pStyle w:val="ListNumber"/>
      </w:pPr>
      <w:r>
        <w:t>Investment philosophy: qanday principles asosida qaror qilasiz?</w:t>
      </w:r>
    </w:p>
    <w:p>
      <w:pPr>
        <w:pStyle w:val="ListNumber"/>
      </w:pPr>
      <w:r>
        <w:t>Portfolio framework: allocation va risk limits.</w:t>
      </w:r>
    </w:p>
    <w:p>
      <w:pPr>
        <w:pStyle w:val="ListNumber"/>
      </w:pPr>
      <w:r>
        <w:t>Company/asset screening: qaysi criteria asosida ideas tanlanadi?</w:t>
      </w:r>
    </w:p>
    <w:p>
      <w:pPr>
        <w:pStyle w:val="ListNumber"/>
      </w:pPr>
      <w:r>
        <w:t>Investment thesis: asosiy positions uchun evidence.</w:t>
      </w:r>
    </w:p>
    <w:p>
      <w:pPr>
        <w:pStyle w:val="ListNumber"/>
      </w:pPr>
      <w:r>
        <w:t>Risk analysis: thesis noto‘g‘ri bo‘lsa nima bo‘ladi?</w:t>
      </w:r>
    </w:p>
    <w:p>
      <w:pPr>
        <w:pStyle w:val="ListNumber"/>
      </w:pPr>
      <w:r>
        <w:t>5-minute defense: jamoa strategy’ni qisqa va mantiqli himoya qiladi.</w:t>
      </w:r>
    </w:p>
    <w:p>
      <w:pPr>
        <w:pStyle w:val="Heading1"/>
      </w:pPr>
      <w:r>
        <w:t>13. 15-sentabrda Team Leader checklist</w:t>
      </w:r>
    </w:p>
    <w:p>
      <w:pPr>
        <w:pStyle w:val="ListBullet"/>
      </w:pPr>
      <w:r>
        <w:t>SurveyMonkey Apply invitation kelganini tekshirish.</w:t>
      </w:r>
    </w:p>
    <w:p>
      <w:pPr>
        <w:pStyle w:val="ListBullet"/>
      </w:pPr>
      <w:r>
        <w:t>Case study’ni to‘liq yuklab/saqlab olish.</w:t>
      </w:r>
    </w:p>
    <w:p>
      <w:pPr>
        <w:pStyle w:val="ListBullet"/>
      </w:pPr>
      <w:r>
        <w:t>Trading requirements’ni o‘qish.</w:t>
      </w:r>
    </w:p>
    <w:p>
      <w:pPr>
        <w:pStyle w:val="ListBullet"/>
      </w:pPr>
      <w:r>
        <w:t>IPS instructions va rubric’ni o‘qish.</w:t>
      </w:r>
    </w:p>
    <w:p>
      <w:pPr>
        <w:pStyle w:val="ListBullet"/>
      </w:pPr>
      <w:r>
        <w:t>Final Report instructions va rubric’ni o‘qish.</w:t>
      </w:r>
    </w:p>
    <w:p>
      <w:pPr>
        <w:pStyle w:val="ListBullet"/>
      </w:pPr>
      <w:r>
        <w:t>Barcha deadlines’ni jamoaga yetkazish.</w:t>
      </w:r>
    </w:p>
    <w:p>
      <w:pPr>
        <w:pStyle w:val="ListBullet"/>
      </w:pPr>
      <w:r>
        <w:t>WInS practice account/access’ni tekshirish.</w:t>
      </w:r>
    </w:p>
    <w:p>
      <w:pPr>
        <w:pStyle w:val="ListBullet"/>
      </w:pPr>
      <w:r>
        <w:t>Rasmiy materiallarda ushbu qo‘llanmadagi practice assumptions bilan farq bo‘lsa, har doim Wharton rasmiy qoidalarini ustun qo‘yish.</w:t>
      </w:r>
    </w:p>
    <w:p>
      <w:pPr>
        <w:pStyle w:val="Heading1"/>
      </w:pPr>
      <w:r>
        <w:t>14. 15–25 sentabr: WInS Practice Plan</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r/>
            <w:r>
              <w:rPr>
                <w:b/>
                <w:sz w:val="19"/>
              </w:rPr>
              <w:t>Practice day</w:t>
            </w:r>
          </w:p>
        </w:tc>
        <w:tc>
          <w:tcPr>
            <w:tcW w:type="dxa" w:w="7776"/>
            <w:vAlign w:val="center"/>
            <w:shd w:fill="D9EAF7"/>
          </w:tcPr>
          <w:p>
            <w:r/>
            <w:r>
              <w:rPr>
                <w:b/>
                <w:sz w:val="19"/>
              </w:rPr>
              <w:t>Fokus</w:t>
            </w:r>
          </w:p>
        </w:tc>
      </w:tr>
      <w:tr>
        <w:tc>
          <w:tcPr>
            <w:tcW w:type="dxa" w:w="1728"/>
            <w:vAlign w:val="center"/>
          </w:tcPr>
          <w:p>
            <w:r/>
            <w:r>
              <w:rPr>
                <w:b w:val="0"/>
                <w:sz w:val="19"/>
              </w:rPr>
              <w:t>1</w:t>
            </w:r>
          </w:p>
        </w:tc>
        <w:tc>
          <w:tcPr>
            <w:tcW w:type="dxa" w:w="7776"/>
            <w:vAlign w:val="center"/>
          </w:tcPr>
          <w:p>
            <w:r/>
            <w:r>
              <w:rPr>
                <w:b w:val="0"/>
                <w:sz w:val="19"/>
              </w:rPr>
              <w:t>Interface va account access</w:t>
            </w:r>
          </w:p>
        </w:tc>
      </w:tr>
      <w:tr>
        <w:tc>
          <w:tcPr>
            <w:tcW w:type="dxa" w:w="1728"/>
            <w:vAlign w:val="center"/>
          </w:tcPr>
          <w:p>
            <w:r/>
            <w:r>
              <w:rPr>
                <w:b w:val="0"/>
                <w:sz w:val="19"/>
              </w:rPr>
              <w:t>2</w:t>
            </w:r>
          </w:p>
        </w:tc>
        <w:tc>
          <w:tcPr>
            <w:tcW w:type="dxa" w:w="7776"/>
            <w:vAlign w:val="center"/>
          </w:tcPr>
          <w:p>
            <w:r/>
            <w:r>
              <w:rPr>
                <w:b w:val="0"/>
                <w:sz w:val="19"/>
              </w:rPr>
              <w:t>Approved securities’ni qidirish</w:t>
            </w:r>
          </w:p>
        </w:tc>
      </w:tr>
      <w:tr>
        <w:tc>
          <w:tcPr>
            <w:tcW w:type="dxa" w:w="1728"/>
            <w:vAlign w:val="center"/>
          </w:tcPr>
          <w:p>
            <w:r/>
            <w:r>
              <w:rPr>
                <w:b w:val="0"/>
                <w:sz w:val="19"/>
              </w:rPr>
              <w:t>3</w:t>
            </w:r>
          </w:p>
        </w:tc>
        <w:tc>
          <w:tcPr>
            <w:tcW w:type="dxa" w:w="7776"/>
            <w:vAlign w:val="center"/>
          </w:tcPr>
          <w:p>
            <w:r/>
            <w:r>
              <w:rPr>
                <w:b w:val="0"/>
                <w:sz w:val="19"/>
              </w:rPr>
              <w:t>Order workflow va simulator mechanics</w:t>
            </w:r>
          </w:p>
        </w:tc>
      </w:tr>
      <w:tr>
        <w:tc>
          <w:tcPr>
            <w:tcW w:type="dxa" w:w="1728"/>
            <w:vAlign w:val="center"/>
          </w:tcPr>
          <w:p>
            <w:r/>
            <w:r>
              <w:rPr>
                <w:b w:val="0"/>
                <w:sz w:val="19"/>
              </w:rPr>
              <w:t>4</w:t>
            </w:r>
          </w:p>
        </w:tc>
        <w:tc>
          <w:tcPr>
            <w:tcW w:type="dxa" w:w="7776"/>
            <w:vAlign w:val="center"/>
          </w:tcPr>
          <w:p>
            <w:r/>
            <w:r>
              <w:rPr>
                <w:b w:val="0"/>
                <w:sz w:val="19"/>
              </w:rPr>
              <w:t>Portfolio construction practice</w:t>
            </w:r>
          </w:p>
        </w:tc>
      </w:tr>
      <w:tr>
        <w:tc>
          <w:tcPr>
            <w:tcW w:type="dxa" w:w="1728"/>
            <w:vAlign w:val="center"/>
          </w:tcPr>
          <w:p>
            <w:r/>
            <w:r>
              <w:rPr>
                <w:b w:val="0"/>
                <w:sz w:val="19"/>
              </w:rPr>
              <w:t>5</w:t>
            </w:r>
          </w:p>
        </w:tc>
        <w:tc>
          <w:tcPr>
            <w:tcW w:type="dxa" w:w="7776"/>
            <w:vAlign w:val="center"/>
          </w:tcPr>
          <w:p>
            <w:r/>
            <w:r>
              <w:rPr>
                <w:b w:val="0"/>
                <w:sz w:val="19"/>
              </w:rPr>
              <w:t>Diversification / concentration checks</w:t>
            </w:r>
          </w:p>
        </w:tc>
      </w:tr>
      <w:tr>
        <w:tc>
          <w:tcPr>
            <w:tcW w:type="dxa" w:w="1728"/>
            <w:vAlign w:val="center"/>
          </w:tcPr>
          <w:p>
            <w:r/>
            <w:r>
              <w:rPr>
                <w:b w:val="0"/>
                <w:sz w:val="19"/>
              </w:rPr>
              <w:t>6</w:t>
            </w:r>
          </w:p>
        </w:tc>
        <w:tc>
          <w:tcPr>
            <w:tcW w:type="dxa" w:w="7776"/>
            <w:vAlign w:val="center"/>
          </w:tcPr>
          <w:p>
            <w:r/>
            <w:r>
              <w:rPr>
                <w:b w:val="0"/>
                <w:sz w:val="19"/>
              </w:rPr>
              <w:t>Trade rationale yozish</w:t>
            </w:r>
          </w:p>
        </w:tc>
      </w:tr>
      <w:tr>
        <w:tc>
          <w:tcPr>
            <w:tcW w:type="dxa" w:w="1728"/>
            <w:vAlign w:val="center"/>
          </w:tcPr>
          <w:p>
            <w:r/>
            <w:r>
              <w:rPr>
                <w:b w:val="0"/>
                <w:sz w:val="19"/>
              </w:rPr>
              <w:t>7</w:t>
            </w:r>
          </w:p>
        </w:tc>
        <w:tc>
          <w:tcPr>
            <w:tcW w:type="dxa" w:w="7776"/>
            <w:vAlign w:val="center"/>
          </w:tcPr>
          <w:p>
            <w:r/>
            <w:r>
              <w:rPr>
                <w:b w:val="0"/>
                <w:sz w:val="19"/>
              </w:rPr>
              <w:t>Portfolio monitoring</w:t>
            </w:r>
          </w:p>
        </w:tc>
      </w:tr>
      <w:tr>
        <w:tc>
          <w:tcPr>
            <w:tcW w:type="dxa" w:w="1728"/>
            <w:vAlign w:val="center"/>
          </w:tcPr>
          <w:p>
            <w:r/>
            <w:r>
              <w:rPr>
                <w:b w:val="0"/>
                <w:sz w:val="19"/>
              </w:rPr>
              <w:t>8</w:t>
            </w:r>
          </w:p>
        </w:tc>
        <w:tc>
          <w:tcPr>
            <w:tcW w:type="dxa" w:w="7776"/>
            <w:vAlign w:val="center"/>
          </w:tcPr>
          <w:p>
            <w:r/>
            <w:r>
              <w:rPr>
                <w:b w:val="0"/>
                <w:sz w:val="19"/>
              </w:rPr>
              <w:t>Case strategy’ni simulatorga implement qilish</w:t>
            </w:r>
          </w:p>
        </w:tc>
      </w:tr>
      <w:tr>
        <w:tc>
          <w:tcPr>
            <w:tcW w:type="dxa" w:w="1728"/>
            <w:vAlign w:val="center"/>
          </w:tcPr>
          <w:p>
            <w:r/>
            <w:r>
              <w:rPr>
                <w:b w:val="0"/>
                <w:sz w:val="19"/>
              </w:rPr>
              <w:t>9</w:t>
            </w:r>
          </w:p>
        </w:tc>
        <w:tc>
          <w:tcPr>
            <w:tcW w:type="dxa" w:w="7776"/>
            <w:vAlign w:val="center"/>
          </w:tcPr>
          <w:p>
            <w:r/>
            <w:r>
              <w:rPr>
                <w:b w:val="0"/>
                <w:sz w:val="19"/>
              </w:rPr>
              <w:t>Full mini-simulation</w:t>
            </w:r>
          </w:p>
        </w:tc>
      </w:tr>
      <w:tr>
        <w:tc>
          <w:tcPr>
            <w:tcW w:type="dxa" w:w="1728"/>
            <w:vAlign w:val="center"/>
          </w:tcPr>
          <w:p>
            <w:r/>
            <w:r>
              <w:rPr>
                <w:b w:val="0"/>
                <w:sz w:val="19"/>
              </w:rPr>
              <w:t>10</w:t>
            </w:r>
          </w:p>
        </w:tc>
        <w:tc>
          <w:tcPr>
            <w:tcW w:type="dxa" w:w="7776"/>
            <w:vAlign w:val="center"/>
          </w:tcPr>
          <w:p>
            <w:r/>
            <w:r>
              <w:rPr>
                <w:b w:val="0"/>
                <w:sz w:val="19"/>
              </w:rPr>
              <w:t>Mistakes review va final process</w:t>
            </w:r>
          </w:p>
        </w:tc>
      </w:tr>
    </w:tbl>
    <w:p/>
    <w:p>
      <w:pPr>
        <w:pStyle w:val="Heading1"/>
      </w:pPr>
      <w:r>
        <w:t>15. 4 kishilik jamoa uchun sodda ish tartibi</w:t>
      </w:r>
    </w:p>
    <w:p>
      <w:r>
        <w:t>Rollarni jamoa o‘zi belgilashi mumkin. Muhimi — har bir vazifaning egasi, deadline’i va aniq output’i bo‘lsin.</w:t>
      </w:r>
    </w:p>
    <w:tbl>
      <w:tblPr>
        <w:tblStyle w:val="TableGrid"/>
        <w:tblW w:type="auto" w:w="0"/>
        <w:tblLook w:firstColumn="1" w:firstRow="1" w:lastColumn="0" w:lastRow="0" w:noHBand="0" w:noVBand="1" w:val="04A0"/>
      </w:tblPr>
      <w:tblGrid>
        <w:gridCol w:w="10080"/>
      </w:tblGrid>
      <w:tr>
        <w:tc>
          <w:tcPr>
            <w:tcW w:type="dxa" w:w="10080"/>
            <w:shd w:fill="EEF5FA"/>
          </w:tcPr>
          <w:p>
            <w:r>
              <w:rPr>
                <w:b/>
                <w:sz w:val="22"/>
              </w:rPr>
              <w:t>Har bir vazifa formati</w:t>
              <w:br/>
            </w:r>
            <w:r>
              <w:rPr>
                <w:sz w:val="20"/>
              </w:rPr>
              <w:t>TASK → OWNER → DEADLINE → OUTPUT</w:t>
              <w:br/>
              <w:t>Masalan: “Company X research → Member 2 → Thursday 20:00 → 1-page memo.”</w:t>
            </w:r>
          </w:p>
        </w:tc>
      </w:tr>
    </w:tbl>
    <w:p/>
    <w:p>
      <w:r>
        <w:t>Haftalik 45–60 minutlik Investment Committee:</w:t>
      </w:r>
    </w:p>
    <w:p>
      <w:pPr>
        <w:pStyle w:val="ListBullet"/>
      </w:pPr>
      <w:r>
        <w:t>10 min — case/client va strategy holati</w:t>
      </w:r>
    </w:p>
    <w:p>
      <w:pPr>
        <w:pStyle w:val="ListBullet"/>
      </w:pPr>
      <w:r>
        <w:t>10 min — market/industry research</w:t>
      </w:r>
    </w:p>
    <w:p>
      <w:pPr>
        <w:pStyle w:val="ListBullet"/>
      </w:pPr>
      <w:r>
        <w:t>20–25 min — investment pitches</w:t>
      </w:r>
    </w:p>
    <w:p>
      <w:pPr>
        <w:pStyle w:val="ListBullet"/>
      </w:pPr>
      <w:r>
        <w:t>10 min — risk, objections va decisions</w:t>
      </w:r>
    </w:p>
    <w:p>
      <w:pPr>
        <w:pStyle w:val="ListBullet"/>
      </w:pPr>
      <w:r>
        <w:t>5 min — keyingi vazifalar</w:t>
      </w:r>
    </w:p>
    <w:p>
      <w:pPr>
        <w:pStyle w:val="Heading1"/>
      </w:pPr>
      <w:r>
        <w:t>16. Research Standard</w:t>
      </w:r>
    </w:p>
    <w:p>
      <w:r>
        <w:t>Har bir investment idea uchun imkon qadar primary va authoritative sources’dan foydalaning:</w:t>
      </w:r>
    </w:p>
    <w:p>
      <w:pPr>
        <w:pStyle w:val="ListBullet"/>
      </w:pPr>
      <w:r>
        <w:t>Company annual reports / 10-K / 10-Q va investor relations materials</w:t>
      </w:r>
    </w:p>
    <w:p>
      <w:pPr>
        <w:pStyle w:val="ListBullet"/>
      </w:pPr>
      <w:r>
        <w:t>SEC filings va boshqa rasmiy regulatory filings</w:t>
      </w:r>
    </w:p>
    <w:p>
      <w:pPr>
        <w:pStyle w:val="ListBullet"/>
      </w:pPr>
      <w:r>
        <w:t>Wharton tomonidan berilgan rasmiy case va competition resources</w:t>
      </w:r>
    </w:p>
    <w:p>
      <w:pPr>
        <w:pStyle w:val="ListBullet"/>
      </w:pPr>
      <w:r>
        <w:t>Government/statistical sources</w:t>
      </w:r>
    </w:p>
    <w:p>
      <w:pPr>
        <w:pStyle w:val="ListBullet"/>
      </w:pPr>
      <w:r>
        <w:t>High-quality financial data sources — faqat raqamni ko‘rish emas, original filing bilan tekshirish</w:t>
      </w:r>
    </w:p>
    <w:p>
      <w:r>
        <w:t>Har bir claim uchun savol: “Bu fikrni qaysi evidence qo‘llab-quvvatlaydi?”</w:t>
      </w:r>
    </w:p>
    <w:p>
      <w:pPr>
        <w:pStyle w:val="Heading1"/>
      </w:pPr>
      <w:r>
        <w:t>17. Quick templates</w:t>
      </w:r>
    </w:p>
    <w:p>
      <w:pPr>
        <w:pStyle w:val="Heading2"/>
      </w:pPr>
      <w:r>
        <w:t>A. Company Research Card</w:t>
      </w:r>
    </w:p>
    <w:p>
      <w:r>
        <w:t>Company:</w:t>
        <w:br/>
        <w:t>Ticker:</w:t>
        <w:br/>
        <w:t>Analyst:</w:t>
        <w:br/>
        <w:t>Date:</w:t>
        <w:br/>
        <w:br/>
        <w:t>Business model:</w:t>
        <w:br/>
        <w:t>Revenue drivers:</w:t>
        <w:br/>
        <w:t>Industry / competitors:</w:t>
        <w:br/>
        <w:t>Financial trend:</w:t>
        <w:br/>
        <w:t>Valuation:</w:t>
        <w:br/>
        <w:t>Competitive advantage:</w:t>
        <w:br/>
        <w:t>Catalysts:</w:t>
        <w:br/>
        <w:t>Main risks:</w:t>
        <w:br/>
        <w:t>Client fit:</w:t>
        <w:br/>
        <w:t>Portfolio role:</w:t>
        <w:br/>
        <w:t>Recommendation: RESEARCH MORE / CONSIDER / REJECT</w:t>
        <w:br/>
        <w:t>Confidence: 1–5</w:t>
      </w:r>
    </w:p>
    <w:p>
      <w:pPr>
        <w:pStyle w:val="Heading2"/>
      </w:pPr>
      <w:r>
        <w:t>B. Decision Note</w:t>
      </w:r>
    </w:p>
    <w:p>
      <w:r>
        <w:t>Date:</w:t>
        <w:br/>
        <w:t>Security:</w:t>
        <w:br/>
        <w:t>Decision:</w:t>
        <w:br/>
        <w:t>Reason:</w:t>
        <w:br/>
        <w:t>Evidence:</w:t>
        <w:br/>
        <w:t>Main risk:</w:t>
        <w:br/>
        <w:t>Client fit:</w:t>
        <w:br/>
        <w:t>What would make us change our mind?</w:t>
      </w:r>
    </w:p>
    <w:p>
      <w:pPr>
        <w:pStyle w:val="Heading1"/>
      </w:pPr>
      <w:r>
        <w:t>18. Manbalar</w:t>
      </w:r>
    </w:p>
    <w:p>
      <w:pPr>
        <w:pStyle w:val="SmallNote"/>
      </w:pPr>
      <w:r>
        <w:rPr>
          <w:b/>
        </w:rPr>
        <w:t>Wharton Global Youth — Investment Competition</w:t>
        <w:br/>
      </w:r>
      <w:r>
        <w:t>https://globalyouth.wharton.upenn.edu/competitions/investment-competition/</w:t>
      </w:r>
    </w:p>
    <w:p>
      <w:pPr>
        <w:pStyle w:val="SmallNote"/>
      </w:pPr>
      <w:r>
        <w:rPr>
          <w:b/>
        </w:rPr>
        <w:t>Wharton Global Youth — Investment Competition FAQ</w:t>
        <w:br/>
      </w:r>
      <w:r>
        <w:t>https://globalyouth.wharton.upenn.edu/competitions/investment-competition/faq/</w:t>
      </w:r>
    </w:p>
    <w:p>
      <w:pPr>
        <w:pStyle w:val="SmallNote"/>
      </w:pPr>
      <w:r>
        <w:rPr>
          <w:b/>
        </w:rPr>
        <w:t>Wharton Global Youth — Registration Rules</w:t>
        <w:br/>
      </w:r>
      <w:r>
        <w:t>https://globalyouth.wharton.upenn.edu/competitions/investment-competition/register-now/</w:t>
      </w:r>
    </w:p>
    <w:p>
      <w:pPr>
        <w:pStyle w:val="SmallNote"/>
      </w:pPr>
      <w:r>
        <w:rPr>
          <w:b/>
        </w:rPr>
        <w:t>SEC Investor.gov — Introduction to Investing</w:t>
        <w:br/>
      </w:r>
      <w:r>
        <w:t>https://www.investor.gov/introduction-investing</w:t>
      </w:r>
    </w:p>
    <w:p>
      <w:pPr>
        <w:pStyle w:val="SmallNote"/>
      </w:pPr>
      <w:r>
        <w:rPr>
          <w:b/>
        </w:rPr>
        <w:t>SEC Investor.gov — Asset Allocation and Diversification</w:t>
        <w:br/>
      </w:r>
      <w:r>
        <w:t>https://www.investor.gov/introduction-investing/getting-started/asset-allocation</w:t>
      </w:r>
    </w:p>
    <w:p>
      <w:pPr>
        <w:pStyle w:val="SmallNote"/>
      </w:pPr>
      <w:r>
        <w:rPr>
          <w:b/>
        </w:rPr>
        <w:t>SEC Investor.gov — Beginner’s Guide to Asset Allocation, Diversification and Rebalancing</w:t>
        <w:br/>
      </w:r>
      <w:r>
        <w:t>https://www.investor.gov/additional-resources/general-resources/publications-research/info-sheets/beginners-guide-asset</w:t>
      </w:r>
    </w:p>
    <w:p/>
    <w:p>
      <w:pPr>
        <w:pStyle w:val="SmallNote"/>
        <w:jc w:val="center"/>
      </w:pPr>
      <w:r>
        <w:t>Prepared for pre-competition study • Updated 6 September 2026 • Always follow the official Wharton materials released to your team.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Wharton Investment Competition Preparation Guide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