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100" w:after="440"/>
        <w:jc w:val="center"/>
      </w:pPr>
      <w:r>
        <w:rPr>
          <w:rFonts w:ascii="Arial Unicode MS" w:hAnsi="Arial Unicode MS" w:eastAsia="Arial Unicode MS"/>
          <w:b/>
          <w:color w:val="000000"/>
          <w:sz w:val="48"/>
        </w:rPr>
        <w:t>中证 A500 指数增强基金设计与实证研究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000000"/>
          <w:sz w:val="28"/>
        </w:rPr>
        <w:t>第一次小组作业报告底稿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9EAF2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课程</w:t>
            </w:r>
          </w:p>
        </w:tc>
        <w:tc>
          <w:tcPr>
            <w:tcW w:type="dxa" w:w="510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硕士组合管理</w:t>
            </w:r>
          </w:p>
        </w:tc>
      </w:tr>
      <w:tr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9EAF2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小组</w:t>
            </w:r>
          </w:p>
        </w:tc>
        <w:tc>
          <w:tcPr>
            <w:tcW w:type="dxa" w:w="510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第    组</w:t>
            </w:r>
          </w:p>
        </w:tc>
      </w:tr>
      <w:tr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9EAF2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成员</w:t>
            </w:r>
          </w:p>
        </w:tc>
        <w:tc>
          <w:tcPr>
            <w:tcW w:type="dxa" w:w="510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填写姓名与学号</w:t>
            </w:r>
          </w:p>
        </w:tc>
      </w:tr>
      <w:tr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9EAF2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提交日期</w:t>
            </w:r>
          </w:p>
        </w:tc>
        <w:tc>
          <w:tcPr>
            <w:tcW w:type="dxa" w:w="510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2026 年    月    日</w:t>
            </w:r>
          </w:p>
        </w:tc>
      </w:tr>
      <w:tr>
        <w:tc>
          <w:tcPr>
            <w:tcW w:type="dxa" w:w="22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D9EAF2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000000"/>
                <w:sz w:val="21"/>
              </w:rPr>
              <w:t>正式回测状态</w:t>
            </w:r>
          </w:p>
        </w:tc>
        <w:tc>
          <w:tcPr>
            <w:tcW w:type="dxa" w:w="510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Arial Unicode MS" w:hAnsi="Arial Unicode MS" w:eastAsia="Arial Unicode MS"/>
                <w:b w:val="0"/>
                <w:color w:val="000000"/>
                <w:sz w:val="21"/>
              </w:rPr>
              <w:t>导入 Wind 数据后更新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摘要</w:t>
      </w:r>
    </w:p>
    <w:p>
      <w:pPr>
        <w:spacing w:line="324" w:lineRule="auto" w:after="120"/>
        <w:ind w:firstLine="420"/>
      </w:pPr>
      <w:r>
        <w:rPr>
          <w:rFonts w:ascii="Arial Unicode MS" w:hAnsi="Arial Unicode MS" w:eastAsia="Arial Unicode MS"/>
          <w:b w:val="0"/>
          <w:color w:val="000000"/>
          <w:sz w:val="21"/>
        </w:rPr>
        <w:t>本文以中证 A500 指数为基准，构建周频调仓的股票型指数增强组合。策略使用价值、质量、动量和低波动因子形成主动收益观点，通过 Black-Litterman 模型与市场均衡收益融合，再使用带跟踪误差、行业偏离、个股偏离和换手约束的 Markowitz 模型确定组合权重。正式 Wind 数据导入后，本节将自动汇总样本期、年化收益、超额收益、信息比率及实现跟踪误差。</w:t>
      </w:r>
    </w:p>
    <w:p>
      <w:pPr>
        <w:spacing w:line="324" w:lineRule="auto" w:after="120"/>
        <w:ind w:firstLine="420"/>
      </w:pPr>
      <w:r>
        <w:rPr>
          <w:rFonts w:ascii="Arial Unicode MS" w:hAnsi="Arial Unicode MS" w:eastAsia="Arial Unicode MS"/>
          <w:b w:val="0"/>
          <w:color w:val="000000"/>
          <w:sz w:val="21"/>
        </w:rPr>
        <w:t>关键词：中证 A500；指数增强；多因子模型；Black-Litterman；Markowitz；跟踪误差</w:t>
      </w: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一 我国股票型指数增强基金概况</w:t>
      </w:r>
    </w:p>
    <w:p>
      <w:pPr>
        <w:spacing w:line="324" w:lineRule="auto" w:after="120"/>
        <w:ind w:firstLine="420"/>
      </w:pPr>
      <w:r>
        <w:rPr>
          <w:rFonts w:ascii="Arial Unicode MS" w:hAnsi="Arial Unicode MS" w:eastAsia="Arial Unicode MS"/>
          <w:b w:val="0"/>
          <w:color w:val="000000"/>
          <w:sz w:val="21"/>
        </w:rPr>
        <w:t>指数增强基金在控制相对基准风险的前提下，通过股票选择、行业配置、交易执行或衍生工具争取超额收益。报告应重点说明国内股票型指数增强基金的产品形态、收益来源、风险控制和评价方法，并使用中证指数公司、基金合同、招募说明书和定期报告等原始资料核验事实。</w:t>
      </w:r>
    </w:p>
    <w:p>
      <w:pPr>
        <w:pStyle w:val="Heading2"/>
        <w:spacing w:before="180" w:after="120"/>
      </w:pPr>
      <w:r>
        <w:rPr>
          <w:rFonts w:ascii="Arial Unicode MS" w:hAnsi="Arial Unicode MS" w:eastAsia="Arial Unicode MS"/>
          <w:b/>
          <w:color w:val="000000"/>
          <w:sz w:val="26"/>
        </w:rPr>
        <w:t>中证 A500 指数及相关产品</w:t>
      </w:r>
    </w:p>
    <w:p>
      <w:pPr>
        <w:spacing w:line="324" w:lineRule="auto" w:after="120"/>
        <w:ind w:firstLine="420"/>
      </w:pPr>
      <w:r>
        <w:rPr>
          <w:rFonts w:ascii="Arial Unicode MS" w:hAnsi="Arial Unicode MS" w:eastAsia="Arial Unicode MS"/>
          <w:b w:val="0"/>
          <w:color w:val="000000"/>
          <w:sz w:val="21"/>
        </w:rPr>
        <w:t>本节填写指数编制目标、样本空间、行业覆盖、权重规则和调整机制，并比较具有可比性的中证 A500 指数增强产品。产品规模、费率和业绩信息必须注明统计日期，避免混用不同份额或不同收益口径。</w:t>
      </w: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二 数据与处理</w:t>
      </w:r>
    </w:p>
    <w:p>
      <w:pPr>
        <w:spacing w:line="324" w:lineRule="auto" w:after="120"/>
        <w:ind w:firstLine="420"/>
      </w:pPr>
      <w:r>
        <w:rPr>
          <w:rFonts w:ascii="Arial Unicode MS" w:hAnsi="Arial Unicode MS" w:eastAsia="Arial Unicode MS"/>
          <w:b w:val="0"/>
          <w:color w:val="000000"/>
          <w:sz w:val="21"/>
        </w:rPr>
        <w:t>研究数据从 Wind 终端手工导出。原始文件不做数值修改，清洗程序从 CSV 或 XLSX 开始运行。所有信号仅使用调仓日前已经公开的数据，财务指标自公告日后的下一交易日起生效。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数据表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频率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防前视处理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benchmark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价格指数与全收益指数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日频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使用当日已公布收盘值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constituents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历史成分股与权重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周频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只用最近生效的历史快照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prices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前复权行情与交易状态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日频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信号日收盘后计算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industry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申万一级行业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事件频率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按生效日向后匹配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valuation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PE PB PS 股息率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周频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只取信号日前记录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fundamentals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质量和杠杆指标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报告期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按公告日匹配并限制陈旧期</w:t>
            </w:r>
          </w:p>
        </w:tc>
      </w:tr>
    </w:tbl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三 模型设计</w:t>
      </w:r>
    </w:p>
    <w:p>
      <w:pPr>
        <w:pStyle w:val="Heading2"/>
        <w:spacing w:before="180" w:after="120"/>
      </w:pPr>
      <w:r>
        <w:rPr>
          <w:rFonts w:ascii="Arial Unicode MS" w:hAnsi="Arial Unicode MS" w:eastAsia="Arial Unicode MS"/>
          <w:b/>
          <w:color w:val="000000"/>
          <w:sz w:val="26"/>
        </w:rPr>
        <w:t>多因子预期收益</w:t>
      </w:r>
    </w:p>
    <w:p>
      <w:pPr>
        <w:spacing w:line="324" w:lineRule="auto" w:after="120"/>
        <w:ind w:firstLine="420"/>
      </w:pPr>
      <w:r>
        <w:rPr>
          <w:rFonts w:ascii="Arial Unicode MS" w:hAnsi="Arial Unicode MS" w:eastAsia="Arial Unicode MS"/>
          <w:b w:val="0"/>
          <w:color w:val="000000"/>
          <w:sz w:val="21"/>
        </w:rPr>
        <w:t>价值因子由 EP、BP、SP 和股息率构成；质量因子由 ROE、毛利率、经营现金流质量和低杠杆构成；动量使用过去 12 个月收益并剔除最近 1 个月；低波动因子使用近 60 个交易日波动率和下行波动率。每周截面进行 1% 和 99% 去极值及行业内标准化，滚动 Rank IC 和 ICIR 决定因子权重。</w:t>
      </w:r>
    </w:p>
    <w:p>
      <w:pPr>
        <w:pStyle w:val="Heading2"/>
        <w:spacing w:before="180" w:after="120"/>
      </w:pPr>
      <w:r>
        <w:rPr>
          <w:rFonts w:ascii="Arial Unicode MS" w:hAnsi="Arial Unicode MS" w:eastAsia="Arial Unicode MS"/>
          <w:b/>
          <w:color w:val="000000"/>
          <w:sz w:val="26"/>
        </w:rPr>
        <w:t>Black-Litterman 后验收益</w:t>
      </w:r>
    </w:p>
    <w:p>
      <w:pPr>
        <w:spacing w:line="324" w:lineRule="auto" w:after="120"/>
        <w:ind w:firstLine="420"/>
      </w:pPr>
      <w:r>
        <w:rPr>
          <w:rFonts w:ascii="Arial Unicode MS" w:hAnsi="Arial Unicode MS" w:eastAsia="Arial Unicode MS"/>
          <w:b w:val="0"/>
          <w:color w:val="000000"/>
          <w:sz w:val="21"/>
        </w:rPr>
        <w:t>模型以基准权重和协方差矩阵推导市场均衡收益，将综合因子得分映射为逐股相对收益观点，并依据滚动 IC 稳定性设置置信度。后验收益同时保留基准隐含信息与因子信号，供组合优化使用。</w:t>
      </w:r>
    </w:p>
    <w:p>
      <w:pPr>
        <w:pStyle w:val="Heading2"/>
        <w:spacing w:before="180" w:after="120"/>
      </w:pPr>
      <w:r>
        <w:rPr>
          <w:rFonts w:ascii="Arial Unicode MS" w:hAnsi="Arial Unicode MS" w:eastAsia="Arial Unicode MS"/>
          <w:b/>
          <w:color w:val="000000"/>
          <w:sz w:val="26"/>
        </w:rPr>
        <w:t>带约束的 Markowitz 优化</w:t>
      </w:r>
    </w:p>
    <w:p>
      <w:pPr>
        <w:spacing w:line="324" w:lineRule="auto" w:after="120"/>
        <w:ind w:firstLine="420"/>
      </w:pPr>
      <w:r>
        <w:rPr>
          <w:rFonts w:ascii="Arial Unicode MS" w:hAnsi="Arial Unicode MS" w:eastAsia="Arial Unicode MS"/>
          <w:b w:val="0"/>
          <w:color w:val="000000"/>
          <w:sz w:val="21"/>
        </w:rPr>
        <w:t>目标函数最大化预期主动收益，并惩罚主动风险与换手。组合仅允许多头且保持满仓；年化预期跟踪误差不超过 6%；申万一级行业主动偏离不超过 2 个百分点；个股主动权重偏离不超过 1 个百分点；单周单边换手率不超过 20%。优化器每期保存状态并重新检查硬约束，失败时终止回测。</w:t>
      </w: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四 回测设计</w:t>
      </w:r>
    </w:p>
    <w:p>
      <w:pPr>
        <w:spacing w:line="324" w:lineRule="auto" w:after="120"/>
        <w:ind w:firstLine="420"/>
      </w:pPr>
      <w:r>
        <w:rPr>
          <w:rFonts w:ascii="Arial Unicode MS" w:hAnsi="Arial Unicode MS" w:eastAsia="Arial Unicode MS"/>
          <w:b w:val="0"/>
          <w:color w:val="000000"/>
          <w:sz w:val="21"/>
        </w:rPr>
        <w:t>每周最后一个交易日收盘后计算信号，下一个交易日执行。主结果采用单边 20bp 交易成本，并分别测试 10bp 和 30bp。停牌或涨跌停股票保持原权重，其余股票在剩余可行空间内优化。协方差矩阵使用近 120 个交易日收益估计。</w:t>
      </w: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五 实证结果</w:t>
      </w:r>
    </w:p>
    <w:p>
      <w:pPr>
        <w:spacing w:line="324" w:lineRule="auto" w:after="120"/>
        <w:ind w:firstLine="420"/>
      </w:pPr>
      <w:r>
        <w:rPr>
          <w:rFonts w:ascii="Arial Unicode MS" w:hAnsi="Arial Unicode MS" w:eastAsia="Arial Unicode MS"/>
          <w:b w:val="0"/>
          <w:color w:val="000000"/>
          <w:sz w:val="21"/>
        </w:rPr>
        <w:t>正式 Wind 回测完成后，从 Result/official 导入绩效表和图表。本节必须报告累计收益、年化收益、年化超额收益、波动率、Sharpe、最大回撤、信息比率、实现跟踪误差、胜率、换手率和交易成本。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完整策略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仅多因子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中证 A500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年化收益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年化超额收益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年化波动率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最大回撤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信息比率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实现跟踪误差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平均单边换手率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正式回测后填入</w:t>
            </w:r>
          </w:p>
        </w:tc>
      </w:tr>
    </w:tbl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六 稳健性检验</w:t>
      </w:r>
    </w:p>
    <w:p>
      <w:pPr>
        <w:spacing w:line="324" w:lineRule="auto" w:after="120"/>
        <w:ind w:firstLine="420"/>
      </w:pPr>
      <w:r>
        <w:rPr>
          <w:rFonts w:ascii="Arial Unicode MS" w:hAnsi="Arial Unicode MS" w:eastAsia="Arial Unicode MS"/>
          <w:b w:val="0"/>
          <w:color w:val="000000"/>
          <w:sz w:val="21"/>
        </w:rPr>
        <w:t>比较交易成本 10bp、20bp 和 30bp，跟踪误差预算 4%、5% 和 6%，逐类剔除因子，并增加不使用 Black-Litterman 的对照组合。报告全部预设实验，不依据结果选择性删除。</w:t>
      </w: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七 结论与局限</w:t>
      </w:r>
    </w:p>
    <w:p>
      <w:pPr>
        <w:spacing w:line="324" w:lineRule="auto" w:after="120"/>
        <w:ind w:firstLine="420"/>
      </w:pPr>
      <w:r>
        <w:rPr>
          <w:rFonts w:ascii="Arial Unicode MS" w:hAnsi="Arial Unicode MS" w:eastAsia="Arial Unicode MS"/>
          <w:b w:val="0"/>
          <w:color w:val="000000"/>
          <w:sz w:val="21"/>
        </w:rPr>
        <w:t>结论区分样本内分析与样本外表现，并讨论中证 A500 历史长度、财务数据更新频率、交易成本假设、协方差估计误差和优化参数敏感性。正式结论应由实证结果支持。</w:t>
      </w: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八 小组成员分工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成员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负责内容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具体文件或图表</w:t>
            </w:r>
          </w:p>
        </w:tc>
        <w:tc>
          <w:tcPr>
            <w:tcW w:type="dxa" w:w="2351"/>
            <w:shd w:fill="1F4E79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9"/>
              </w:rPr>
              <w:t>交叉核验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A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产品与文献研究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填写实际产出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填写核验对象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B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Wind 行情与成分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填写实际产出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填写核验对象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财务数据与清洗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填写实际产出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填写核验对象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D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因子与 IC 检验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填写实际产出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填写核验对象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E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回测与绩效评价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填写实际产出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填写核验对象</w:t>
            </w:r>
          </w:p>
        </w:tc>
      </w:tr>
      <w:tr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F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BL 模型与优化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填写实际产出</w:t>
            </w:r>
          </w:p>
        </w:tc>
        <w:tc>
          <w:tcPr>
            <w:tcW w:type="dxa" w:w="235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 w:val="0"/>
                <w:color w:val="000000"/>
                <w:sz w:val="18"/>
              </w:rPr>
              <w:t>填写核验对象</w:t>
            </w:r>
          </w:p>
        </w:tc>
      </w:tr>
    </w:tbl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九 AI 工具使用说明</w:t>
      </w:r>
    </w:p>
    <w:p>
      <w:pPr>
        <w:spacing w:line="324" w:lineRule="auto" w:after="120"/>
        <w:ind w:firstLine="420"/>
      </w:pPr>
      <w:r>
        <w:rPr>
          <w:rFonts w:ascii="Arial Unicode MS" w:hAnsi="Arial Unicode MS" w:eastAsia="Arial Unicode MS"/>
          <w:b w:val="0"/>
          <w:color w:val="000000"/>
          <w:sz w:val="21"/>
        </w:rPr>
        <w:t>本项目使用 OpenAI Codex 协助设计研究流程、搭建代码框架、生成文档和演示模板，并辅助检查代码结构。小组成员负责从 Wind 导出数据、核验字段与来源、运行和检查全部代码、解释实证结果、补充文献及完成最终写作。报告中的数据、结论和引用均由小组成员从原始来源复核。</w:t>
      </w:r>
    </w:p>
    <w:p>
      <w:pPr>
        <w:pStyle w:val="Heading1"/>
        <w:spacing w:before="280" w:after="120"/>
      </w:pPr>
      <w:r>
        <w:rPr>
          <w:rFonts w:ascii="Arial Unicode MS" w:hAnsi="Arial Unicode MS" w:eastAsia="Arial Unicode MS"/>
          <w:b/>
          <w:color w:val="000000"/>
          <w:sz w:val="32"/>
        </w:rPr>
        <w:t>参考文献</w:t>
      </w:r>
    </w:p>
    <w:p>
      <w:pPr>
        <w:spacing w:line="324" w:lineRule="auto" w:after="120"/>
        <w:ind w:firstLine="420"/>
      </w:pPr>
      <w:r>
        <w:rPr>
          <w:rFonts w:ascii="Arial Unicode MS" w:hAnsi="Arial Unicode MS" w:eastAsia="Arial Unicode MS"/>
          <w:b w:val="0"/>
          <w:color w:val="000000"/>
          <w:sz w:val="21"/>
        </w:rPr>
        <w:t>按照课程要求统一格式列出中证指数公司资料、基金文件、论文、券商研报和网站资料。正文引用与文末条目一一对应，并注明网页访问日期和数据统计日期。</w:t>
      </w:r>
    </w:p>
    <w:sectPr w:rsidR="00FC693F" w:rsidRPr="0006063C" w:rsidSect="00034616">
      <w:footerReference w:type="default" r:id="rId9"/>
      <w:pgSz w:w="12240" w:h="15840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666666"/>
        <w:sz w:val="16"/>
      </w:rPr>
      <w:t>中证 A500 指数增强基金研究报告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