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基于2026-09-24陶总评审要求设计,做行业级智能体产品。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面向全公司、全市场开放，打破传统业务边界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p>
      <w:pPr>
        <w:pStyle w:val="Heading4"/>
      </w:pPr>
      <w:r>
        <w:t>1. 资管产品设计原子模型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权益类、固收类、混合类、另类投资、FOF/MOM、量化策略</w:t>
            </w:r>
          </w:p>
        </w:tc>
      </w:tr>
      <w:tr>
        <w:tc>
          <w:tcPr>
            <w:tcW w:type="dxa" w:w="4320"/>
          </w:tcPr>
          <w:p>
            <w:r>
              <w:t>配置结构</w:t>
            </w:r>
          </w:p>
        </w:tc>
        <w:tc>
          <w:tcPr>
            <w:tcW w:type="dxa" w:w="4320"/>
          </w:tcPr>
          <w:p>
            <w:r>
              <w:t>资产配置比例、投资策略、杠杆水平、衍生品使用</w:t>
            </w:r>
          </w:p>
        </w:tc>
      </w:tr>
      <w:tr>
        <w:tc>
          <w:tcPr>
            <w:tcW w:type="dxa" w:w="4320"/>
          </w:tcPr>
          <w:p>
            <w:r>
              <w:t>风险收益特征</w:t>
            </w:r>
          </w:p>
        </w:tc>
        <w:tc>
          <w:tcPr>
            <w:tcW w:type="dxa" w:w="4320"/>
          </w:tcPr>
          <w:p>
            <w:r>
              <w:t>预期收益率、最大回撤、波动率、夏普比率、索提诺比率</w:t>
            </w:r>
          </w:p>
        </w:tc>
      </w:tr>
      <w:tr>
        <w:tc>
          <w:tcPr>
            <w:tcW w:type="dxa" w:w="4320"/>
          </w:tcPr>
          <w:p>
            <w:r>
              <w:t>期限安排</w:t>
            </w:r>
          </w:p>
        </w:tc>
        <w:tc>
          <w:tcPr>
            <w:tcW w:type="dxa" w:w="4320"/>
          </w:tcPr>
          <w:p>
            <w:r>
              <w:t>封闭期、开放期、赎回条款、到期清算方式、展期安排</w:t>
            </w:r>
          </w:p>
        </w:tc>
      </w:tr>
      <w:tr>
        <w:tc>
          <w:tcPr>
            <w:tcW w:type="dxa" w:w="4320"/>
          </w:tcPr>
          <w:p>
            <w:r>
              <w:t>规模目标</w:t>
            </w:r>
          </w:p>
        </w:tc>
        <w:tc>
          <w:tcPr>
            <w:tcW w:type="dxa" w:w="4320"/>
          </w:tcPr>
          <w:p>
            <w:r>
              <w:t>最低成立规模、目标募集规模、上限规模、规模预警线</w:t>
            </w:r>
          </w:p>
        </w:tc>
      </w:tr>
      <w:tr>
        <w:tc>
          <w:tcPr>
            <w:tcW w:type="dxa" w:w="4320"/>
          </w:tcPr>
          <w:p>
            <w:r>
              <w:t>费率结构</w:t>
            </w:r>
          </w:p>
        </w:tc>
        <w:tc>
          <w:tcPr>
            <w:tcW w:type="dxa" w:w="4320"/>
          </w:tcPr>
          <w:p>
            <w:r>
              <w:t>管理费、超额报酬计提方式、认申购费、销售服务费、赎回费</w:t>
            </w:r>
          </w:p>
        </w:tc>
      </w:tr>
      <w:tr>
        <w:tc>
          <w:tcPr>
            <w:tcW w:type="dxa" w:w="4320"/>
          </w:tcPr>
          <w:p>
            <w:r>
              <w:t>投资限制</w:t>
            </w:r>
          </w:p>
        </w:tc>
        <w:tc>
          <w:tcPr>
            <w:tcW w:type="dxa" w:w="4320"/>
          </w:tcPr>
          <w:p>
            <w:r>
              <w:t>投资范围、投资比例限制、集中度限制、流动性要求</w:t>
            </w:r>
          </w:p>
        </w:tc>
      </w:tr>
    </w:tbl>
    <w:p/>
    <w:p>
      <w:pPr>
        <w:pStyle w:val="Heading4"/>
      </w:pPr>
      <w:r>
        <w:t>2. 收益测算原子模型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预期收益</w:t>
            </w:r>
          </w:p>
        </w:tc>
        <w:tc>
          <w:tcPr>
            <w:tcW w:type="dxa" w:w="4320"/>
          </w:tcPr>
          <w:p>
            <w:r>
              <w:t>基于历史数据、市场环境、策略容量的预期收益率测算</w:t>
            </w:r>
          </w:p>
        </w:tc>
      </w:tr>
      <w:tr>
        <w:tc>
          <w:tcPr>
            <w:tcW w:type="dxa" w:w="4320"/>
          </w:tcPr>
          <w:p>
            <w:r>
              <w:t>回撤压力测试</w:t>
            </w:r>
          </w:p>
        </w:tc>
        <w:tc>
          <w:tcPr>
            <w:tcW w:type="dxa" w:w="4320"/>
          </w:tcPr>
          <w:p>
            <w:r>
              <w:t>极端市场情景（2008/2015/2020）下的最大回撤测算</w:t>
            </w:r>
          </w:p>
        </w:tc>
      </w:tr>
      <w:tr>
        <w:tc>
          <w:tcPr>
            <w:tcW w:type="dxa" w:w="4320"/>
          </w:tcPr>
          <w:p>
            <w:r>
              <w:t>场景模拟</w:t>
            </w:r>
          </w:p>
        </w:tc>
        <w:tc>
          <w:tcPr>
            <w:tcW w:type="dxa" w:w="4320"/>
          </w:tcPr>
          <w:p>
            <w:r>
              <w:t>牛市/熊市/震荡市/黑天鹅事件等不同场景的收益模拟</w:t>
            </w:r>
          </w:p>
        </w:tc>
      </w:tr>
      <w:tr>
        <w:tc>
          <w:tcPr>
            <w:tcW w:type="dxa" w:w="4320"/>
          </w:tcPr>
          <w:p>
            <w:r>
              <w:t>敏感性分析</w:t>
            </w:r>
          </w:p>
        </w:tc>
        <w:tc>
          <w:tcPr>
            <w:tcW w:type="dxa" w:w="4320"/>
          </w:tcPr>
          <w:p>
            <w:r>
              <w:t>关键变量（利率、汇率、股价、信用利差）变化对收益的影响</w:t>
            </w:r>
          </w:p>
        </w:tc>
      </w:tr>
      <w:tr>
        <w:tc>
          <w:tcPr>
            <w:tcW w:type="dxa" w:w="4320"/>
          </w:tcPr>
          <w:p>
            <w:r>
              <w:t>流动性测算</w:t>
            </w:r>
          </w:p>
        </w:tc>
        <w:tc>
          <w:tcPr>
            <w:tcW w:type="dxa" w:w="4320"/>
          </w:tcPr>
          <w:p>
            <w:r>
              <w:t>大额赎回情景下的流动性压力测试</w:t>
            </w:r>
          </w:p>
        </w:tc>
      </w:tr>
      <w:tr>
        <w:tc>
          <w:tcPr>
            <w:tcW w:type="dxa" w:w="4320"/>
          </w:tcPr>
          <w:p>
            <w:r>
              <w:t>容量测算</w:t>
            </w:r>
          </w:p>
        </w:tc>
        <w:tc>
          <w:tcPr>
            <w:tcW w:type="dxa" w:w="4320"/>
          </w:tcPr>
          <w:p>
            <w:r>
              <w:t>策略容量上限测算、规模对收益的影响分析</w:t>
            </w:r>
          </w:p>
        </w:tc>
      </w:tr>
    </w:tbl>
    <w:p/>
    <w:p>
      <w:pPr>
        <w:pStyle w:val="Heading4"/>
      </w:pPr>
      <w:r>
        <w:t>3. 投资管理匹配原子模型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管理规模</w:t>
            </w:r>
          </w:p>
        </w:tc>
        <w:tc>
          <w:tcPr>
            <w:tcW w:type="dxa" w:w="4320"/>
          </w:tcPr>
          <w:p>
            <w:r>
              <w:t>当前管理规模、历史管理规模变化趋势、规模与业绩匹配度</w:t>
            </w:r>
          </w:p>
        </w:tc>
      </w:tr>
      <w:tr>
        <w:tc>
          <w:tcPr>
            <w:tcW w:type="dxa" w:w="4320"/>
          </w:tcPr>
          <w:p>
            <w:r>
              <w:t>投资业绩</w:t>
            </w:r>
          </w:p>
        </w:tc>
        <w:tc>
          <w:tcPr>
            <w:tcW w:type="dxa" w:w="4320"/>
          </w:tcPr>
          <w:p>
            <w:r>
              <w:t>近1/3/5年收益率、超额收益、业绩持续性、同类排名</w:t>
            </w:r>
          </w:p>
        </w:tc>
      </w:tr>
      <w:tr>
        <w:tc>
          <w:tcPr>
            <w:tcW w:type="dxa" w:w="4320"/>
          </w:tcPr>
          <w:p>
            <w:r>
              <w:t>风险控制</w:t>
            </w:r>
          </w:p>
        </w:tc>
        <w:tc>
          <w:tcPr>
            <w:tcW w:type="dxa" w:w="4320"/>
          </w:tcPr>
          <w:p>
            <w:r>
              <w:t>最大回撤、波动率、下行风险、风险调整后收益</w:t>
            </w:r>
          </w:p>
        </w:tc>
      </w:tr>
      <w:tr>
        <w:tc>
          <w:tcPr>
            <w:tcW w:type="dxa" w:w="4320"/>
          </w:tcPr>
          <w:p>
            <w:r>
              <w:t>投资策略</w:t>
            </w:r>
          </w:p>
        </w:tc>
        <w:tc>
          <w:tcPr>
            <w:tcW w:type="dxa" w:w="4320"/>
          </w:tcPr>
          <w:p>
            <w:r>
              <w:t>策略类型、策略容量、策略稳定性、策略独特性</w:t>
            </w:r>
          </w:p>
        </w:tc>
      </w:tr>
      <w:tr>
        <w:tc>
          <w:tcPr>
            <w:tcW w:type="dxa" w:w="4320"/>
          </w:tcPr>
          <w:p>
            <w:r>
              <w:t>团队实力</w:t>
            </w:r>
          </w:p>
        </w:tc>
        <w:tc>
          <w:tcPr>
            <w:tcW w:type="dxa" w:w="4320"/>
          </w:tcPr>
          <w:p>
            <w:r>
              <w:t>投研团队规模、核心成员稳定性、团队梯队建设</w:t>
            </w:r>
          </w:p>
        </w:tc>
      </w:tr>
      <w:tr>
        <w:tc>
          <w:tcPr>
            <w:tcW w:type="dxa" w:w="4320"/>
          </w:tcPr>
          <w:p>
            <w:r>
              <w:t>合规记录</w:t>
            </w:r>
          </w:p>
        </w:tc>
        <w:tc>
          <w:tcPr>
            <w:tcW w:type="dxa" w:w="4320"/>
          </w:tcPr>
          <w:p>
            <w:r>
              <w:t>监管处罚记录、自律处分记录、合规运作情况</w:t>
            </w:r>
          </w:p>
        </w:tc>
      </w:tr>
      <w:tr>
        <w:tc>
          <w:tcPr>
            <w:tcW w:type="dxa" w:w="4320"/>
          </w:tcPr>
          <w:p>
            <w:r>
              <w:t>经营财务</w:t>
            </w:r>
          </w:p>
        </w:tc>
        <w:tc>
          <w:tcPr>
            <w:tcW w:type="dxa" w:w="4320"/>
          </w:tcPr>
          <w:p>
            <w:r>
              <w:t>所在机构财务状况、盈利能力、资本实力</w:t>
            </w:r>
          </w:p>
        </w:tc>
      </w:tr>
    </w:tbl>
    <w:p/>
    <w:p>
      <w:pPr>
        <w:pStyle w:val="Heading3"/>
      </w:pPr>
      <w:r>
        <w:t>资金募集原子模型</w:t>
      </w:r>
    </w:p>
    <w:p>
      <w:pPr>
        <w:pStyle w:val="Heading4"/>
      </w:pPr>
      <w:r>
        <w:t>4. 客户分类原子模型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个人客户分层</w:t>
            </w:r>
          </w:p>
        </w:tc>
        <w:tc>
          <w:tcPr>
            <w:tcW w:type="dxa" w:w="4320"/>
          </w:tcPr>
          <w:p>
            <w:r>
              <w:t>高净值客户（金融资产≥300万）、超高净值客户（金融资产≥1000万）、家族办公室客户、普通投资者</w:t>
            </w:r>
          </w:p>
        </w:tc>
      </w:tr>
      <w:tr>
        <w:tc>
          <w:tcPr>
            <w:tcW w:type="dxa" w:w="4320"/>
          </w:tcPr>
          <w:p>
            <w:r>
              <w:t>机构客户分类</w:t>
            </w:r>
          </w:p>
        </w:tc>
        <w:tc>
          <w:tcPr>
            <w:tcW w:type="dxa" w:w="4320"/>
          </w:tcPr>
          <w:p>
            <w:r>
              <w:t>银行/银行理财子、保险/保险资管、券商/券商资管、私募/公募、企业/财务公司、政府引导基金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自有资金、受托资金、募集资金、专项资金、长期资金/短期资金</w:t>
            </w:r>
          </w:p>
        </w:tc>
      </w:tr>
      <w:tr>
        <w:tc>
          <w:tcPr>
            <w:tcW w:type="dxa" w:w="4320"/>
          </w:tcPr>
          <w:p>
            <w:r>
              <w:t>投资经验</w:t>
            </w:r>
          </w:p>
        </w:tc>
        <w:tc>
          <w:tcPr>
            <w:tcW w:type="dxa" w:w="4320"/>
          </w:tcPr>
          <w:p>
            <w:r>
              <w:t>投资经验满2年/不满2年、专业投资者/普通投资者、私募合格投资者</w:t>
            </w:r>
          </w:p>
        </w:tc>
      </w:tr>
      <w:tr>
        <w:tc>
          <w:tcPr>
            <w:tcW w:type="dxa" w:w="4320"/>
          </w:tcPr>
          <w:p>
            <w:r>
              <w:t>风险承受能力</w:t>
            </w:r>
          </w:p>
        </w:tc>
        <w:tc>
          <w:tcPr>
            <w:tcW w:type="dxa" w:w="4320"/>
          </w:tcPr>
          <w:p>
            <w:r>
              <w:t>保守型/稳健型/平衡型/成长型/进取型（R1-R5）</w:t>
            </w:r>
          </w:p>
        </w:tc>
      </w:tr>
      <w:tr>
        <w:tc>
          <w:tcPr>
            <w:tcW w:type="dxa" w:w="4320"/>
          </w:tcPr>
          <w:p>
            <w:r>
              <w:t>投资偏好</w:t>
            </w:r>
          </w:p>
        </w:tc>
        <w:tc>
          <w:tcPr>
            <w:tcW w:type="dxa" w:w="4320"/>
          </w:tcPr>
          <w:p>
            <w:r>
              <w:t>权益偏好、固收偏好、混合偏好、另类偏好、量化偏好、ESG偏好</w:t>
            </w:r>
          </w:p>
        </w:tc>
      </w:tr>
    </w:tbl>
    <w:p/>
    <w:p>
      <w:pPr>
        <w:pStyle w:val="Heading4"/>
      </w:pPr>
      <w:r>
        <w:t>5. 客户与资管产品匹配规则原子模型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合格投资者认定：金融资产≥300万/近3年年均收入≥50万/家庭金融总资产≥500万；投资经验满2年；风险测评有效期内</w:t>
            </w:r>
          </w:p>
        </w:tc>
      </w:tr>
      <w:tr>
        <w:tc>
          <w:tcPr>
            <w:tcW w:type="dxa" w:w="4320"/>
          </w:tcPr>
          <w:p>
            <w:r>
              <w:t>投资能力匹配</w:t>
            </w:r>
          </w:p>
        </w:tc>
        <w:tc>
          <w:tcPr>
            <w:tcW w:type="dxa" w:w="4320"/>
          </w:tcPr>
          <w:p>
            <w:r>
              <w:t>客户资金规模与产品起投金额匹配（通常100万起投）；机构客户净资产要求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客户风险承受能力等级（R1-R5）与产品风险等级（R1-R5）匹配，不允许向下错配</w:t>
            </w:r>
          </w:p>
        </w:tc>
      </w:tr>
      <w:tr>
        <w:tc>
          <w:tcPr>
            <w:tcW w:type="dxa" w:w="4320"/>
          </w:tcPr>
          <w:p>
            <w:r>
              <w:t>投资意愿匹配</w:t>
            </w:r>
          </w:p>
        </w:tc>
        <w:tc>
          <w:tcPr>
            <w:tcW w:type="dxa" w:w="4320"/>
          </w:tcPr>
          <w:p>
            <w:r>
              <w:t>客户投资倾向（权益/固收/混合/另类）与产品投资策略匹配</w:t>
            </w:r>
          </w:p>
        </w:tc>
      </w:tr>
      <w:tr>
        <w:tc>
          <w:tcPr>
            <w:tcW w:type="dxa" w:w="4320"/>
          </w:tcPr>
          <w:p>
            <w:r>
              <w:t>投资期限匹配</w:t>
            </w:r>
          </w:p>
        </w:tc>
        <w:tc>
          <w:tcPr>
            <w:tcW w:type="dxa" w:w="4320"/>
          </w:tcPr>
          <w:p>
            <w:r>
              <w:t>客户资金期限与产品封闭期/开放期匹配，防止期限错配</w:t>
            </w:r>
          </w:p>
        </w:tc>
      </w:tr>
      <w:tr>
        <w:tc>
          <w:tcPr>
            <w:tcW w:type="dxa" w:w="4320"/>
          </w:tcPr>
          <w:p>
            <w:r>
              <w:t>集中度匹配</w:t>
            </w:r>
          </w:p>
        </w:tc>
        <w:tc>
          <w:tcPr>
            <w:tcW w:type="dxa" w:w="4320"/>
          </w:tcPr>
          <w:p>
            <w:r>
              <w:t>单一客户投资比例限制、关联客户合并计算</w:t>
            </w:r>
          </w:p>
        </w:tc>
      </w:tr>
    </w:tbl>
    <w:p/>
    <w:p>
      <w:pPr>
        <w:pStyle w:val="Heading4"/>
      </w:pPr>
      <w:r>
        <w:t>6. 资管产品内容推介生成原子模型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合规宣传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不得公开宣传产品收益率、不得承诺保本保收益、不得使用极端词汇、不得夸大宣传</w:t>
            </w:r>
          </w:p>
        </w:tc>
      </w:tr>
      <w:tr>
        <w:tc>
          <w:tcPr>
            <w:tcW w:type="dxa" w:w="4320"/>
          </w:tcPr>
          <w:p>
            <w:r>
              <w:t>产品特征</w:t>
            </w:r>
          </w:p>
        </w:tc>
        <w:tc>
          <w:tcPr>
            <w:tcW w:type="dxa" w:w="4320"/>
          </w:tcPr>
          <w:p>
            <w:r>
              <w:t>客观描述产品类型、配置结构、风险收益特征、期限安排、费率结构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充分揭示市场风险、信用风险、流动性风险、操作风险、策略风险</w:t>
            </w:r>
          </w:p>
        </w:tc>
      </w:tr>
      <w:tr>
        <w:tc>
          <w:tcPr>
            <w:tcW w:type="dxa" w:w="4320"/>
          </w:tcPr>
          <w:p>
            <w:r>
              <w:t>业绩展示</w:t>
            </w:r>
          </w:p>
        </w:tc>
        <w:tc>
          <w:tcPr>
            <w:tcW w:type="dxa" w:w="4320"/>
          </w:tcPr>
          <w:p>
            <w:r>
              <w:t>历史业绩需注明"过往业绩不代表未来表现"，展示完整业绩区间</w:t>
            </w:r>
          </w:p>
        </w:tc>
      </w:tr>
      <w:tr>
        <w:tc>
          <w:tcPr>
            <w:tcW w:type="dxa" w:w="4320"/>
          </w:tcPr>
          <w:p>
            <w:r>
              <w:t>适配说明</w:t>
            </w:r>
          </w:p>
        </w:tc>
        <w:tc>
          <w:tcPr>
            <w:tcW w:type="dxa" w:w="4320"/>
          </w:tcPr>
          <w:p>
            <w:r>
              <w:t>明确产品适合的客户类型、风险承受能力要求、最低投资金额</w:t>
            </w:r>
          </w:p>
        </w:tc>
      </w:tr>
      <w:tr>
        <w:tc>
          <w:tcPr>
            <w:tcW w:type="dxa" w:w="4320"/>
          </w:tcPr>
          <w:p>
            <w:r>
              <w:t>发行安排</w:t>
            </w:r>
          </w:p>
        </w:tc>
        <w:tc>
          <w:tcPr>
            <w:tcW w:type="dxa" w:w="4320"/>
          </w:tcPr>
          <w:p>
            <w:r>
              <w:t>募集期、成立条件、开放日安排、信息披露方式</w:t>
            </w:r>
          </w:p>
        </w:tc>
      </w:tr>
      <w:tr>
        <w:tc>
          <w:tcPr>
            <w:tcW w:type="dxa" w:w="4320"/>
          </w:tcPr>
          <w:p>
            <w:r>
              <w:t>冷静期提示</w:t>
            </w:r>
          </w:p>
        </w:tc>
        <w:tc>
          <w:tcPr>
            <w:tcW w:type="dxa" w:w="4320"/>
          </w:tcPr>
          <w:p>
            <w:r>
              <w:t>私募产品认购后24小时冷静期、回访确认安排</w:t>
            </w:r>
          </w:p>
        </w:tc>
      </w:tr>
    </w:tbl>
    <w:p/>
    <w:p>
      <w:pPr>
        <w:pStyle w:val="Heading4"/>
      </w:pPr>
      <w:r>
        <w:t>7. 客户合作原子模型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已准入银行</w:t>
            </w:r>
          </w:p>
        </w:tc>
        <w:tc>
          <w:tcPr>
            <w:tcW w:type="dxa" w:w="4320"/>
          </w:tcPr>
          <w:p>
            <w:r>
              <w:t>总行/分行准入名单内，直接办理产品准入，满足白名单要求</w:t>
            </w:r>
          </w:p>
        </w:tc>
      </w:tr>
      <w:tr>
        <w:tc>
          <w:tcPr>
            <w:tcW w:type="dxa" w:w="4320"/>
          </w:tcPr>
          <w:p>
            <w:r>
              <w:t>新拓展银行</w:t>
            </w:r>
          </w:p>
        </w:tc>
        <w:tc>
          <w:tcPr>
            <w:tcW w:type="dxa" w:w="4320"/>
          </w:tcPr>
          <w:p>
            <w:r>
              <w:t>先办机构准入（资质审核、尽职调查、协议签署、系统对接），再办产品准入</w:t>
            </w:r>
          </w:p>
        </w:tc>
      </w:tr>
      <w:tr>
        <w:tc>
          <w:tcPr>
            <w:tcW w:type="dxa" w:w="4320"/>
          </w:tcPr>
          <w:p>
            <w:r>
              <w:t>银行理财子</w:t>
            </w:r>
          </w:p>
        </w:tc>
        <w:tc>
          <w:tcPr>
            <w:tcW w:type="dxa" w:w="4320"/>
          </w:tcPr>
          <w:p>
            <w:r>
              <w:t>满足理财子委外要求、投资范围匹配、费率谈判、投决会审批</w:t>
            </w:r>
          </w:p>
        </w:tc>
      </w:tr>
      <w:tr>
        <w:tc>
          <w:tcPr>
            <w:tcW w:type="dxa" w:w="4320"/>
          </w:tcPr>
          <w:p>
            <w:r>
              <w:t>三方财富</w:t>
            </w:r>
          </w:p>
        </w:tc>
        <w:tc>
          <w:tcPr>
            <w:tcW w:type="dxa" w:w="4320"/>
          </w:tcPr>
          <w:p>
            <w:r>
              <w:t>准入标准、合规要求、销售协议、培训认证、系统对接</w:t>
            </w:r>
          </w:p>
        </w:tc>
      </w:tr>
      <w:tr>
        <w:tc>
          <w:tcPr>
            <w:tcW w:type="dxa" w:w="4320"/>
          </w:tcPr>
          <w:p>
            <w:r>
              <w:t>互联网平台</w:t>
            </w:r>
          </w:p>
        </w:tc>
        <w:tc>
          <w:tcPr>
            <w:tcW w:type="dxa" w:w="4320"/>
          </w:tcPr>
          <w:p>
            <w:r>
              <w:t>监管许可、合规审查、技术对接、投资者适当性管理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机构准入任务、产品准入确认、合作协议/销售协议/补充协议</w:t>
            </w:r>
          </w:p>
        </w:tc>
      </w:tr>
    </w:tbl>
    <w:p/>
    <w:p>
      <w:pPr>
        <w:pStyle w:val="Heading3"/>
      </w:pPr>
      <w:r>
        <w:t>投资运作原子模型</w:t>
      </w:r>
    </w:p>
    <w:p>
      <w:pPr>
        <w:pStyle w:val="Heading4"/>
      </w:pPr>
      <w:r>
        <w:t>8. 资产配置及交易原子模型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投资启动</w:t>
            </w:r>
          </w:p>
        </w:tc>
        <w:tc>
          <w:tcPr>
            <w:tcW w:type="dxa" w:w="4320"/>
          </w:tcPr>
          <w:p>
            <w:r>
              <w:t>产品成立确认、资金到位确认、投资范围确认、投资策略确认</w:t>
            </w:r>
          </w:p>
        </w:tc>
      </w:tr>
      <w:tr>
        <w:tc>
          <w:tcPr>
            <w:tcW w:type="dxa" w:w="4320"/>
          </w:tcPr>
          <w:p>
            <w:r>
              <w:t>交易执行</w:t>
            </w:r>
          </w:p>
        </w:tc>
        <w:tc>
          <w:tcPr>
            <w:tcW w:type="dxa" w:w="4320"/>
          </w:tcPr>
          <w:p>
            <w:r>
              <w:t>投资指令生成、审批流程、交易执行、成交确认、清算交收</w:t>
            </w:r>
          </w:p>
        </w:tc>
      </w:tr>
      <w:tr>
        <w:tc>
          <w:tcPr>
            <w:tcW w:type="dxa" w:w="4320"/>
          </w:tcPr>
          <w:p>
            <w:r>
              <w:t>持仓管理</w:t>
            </w:r>
          </w:p>
        </w:tc>
        <w:tc>
          <w:tcPr>
            <w:tcW w:type="dxa" w:w="4320"/>
          </w:tcPr>
          <w:p>
            <w:r>
              <w:t>持仓监控、集中度控制、风险敞口管理、行业配置调整</w:t>
            </w:r>
          </w:p>
        </w:tc>
      </w:tr>
      <w:tr>
        <w:tc>
          <w:tcPr>
            <w:tcW w:type="dxa" w:w="4320"/>
          </w:tcPr>
          <w:p>
            <w:r>
              <w:t>估值核算</w:t>
            </w:r>
          </w:p>
        </w:tc>
        <w:tc>
          <w:tcPr>
            <w:tcW w:type="dxa" w:w="4320"/>
          </w:tcPr>
          <w:p>
            <w:r>
              <w:t>每日估值、净值计算、会计核算、份额登记、费用计提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定期报告编制、重大事项披露、净值披露、临时公告</w:t>
            </w:r>
          </w:p>
        </w:tc>
      </w:tr>
      <w:tr>
        <w:tc>
          <w:tcPr>
            <w:tcW w:type="dxa" w:w="4320"/>
          </w:tcPr>
          <w:p>
            <w:r>
              <w:t>跟投评估</w:t>
            </w:r>
          </w:p>
        </w:tc>
        <w:tc>
          <w:tcPr>
            <w:tcW w:type="dxa" w:w="4320"/>
          </w:tcPr>
          <w:p>
            <w:r>
              <w:t>模式五特有：跟投比例、风险评估、资金来源、退出机制</w:t>
            </w:r>
          </w:p>
        </w:tc>
      </w:tr>
    </w:tbl>
    <w:p/>
    <w:p>
      <w:pPr>
        <w:pStyle w:val="Heading4"/>
      </w:pPr>
      <w:r>
        <w:t>9.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净值回撤</w:t>
            </w:r>
          </w:p>
        </w:tc>
        <w:tc>
          <w:tcPr>
            <w:tcW w:type="dxa" w:w="2880"/>
          </w:tcPr>
          <w:p>
            <w:r>
              <w:t>当日回撤≥3%预警、近一周回撤≥5%预警、历史最大回撤≥10%预警</w:t>
            </w:r>
          </w:p>
        </w:tc>
        <w:tc>
          <w:tcPr>
            <w:tcW w:type="dxa" w:w="2880"/>
          </w:tcPr>
          <w:p>
            <w:r>
              <w:t>自动报警→投资经理说明→风控复核→客户沟通预案</w:t>
            </w:r>
          </w:p>
        </w:tc>
      </w:tr>
      <w:tr>
        <w:tc>
          <w:tcPr>
            <w:tcW w:type="dxa" w:w="2880"/>
          </w:tcPr>
          <w:p>
            <w:r>
              <w:t>集中度风险</w:t>
            </w:r>
          </w:p>
        </w:tc>
        <w:tc>
          <w:tcPr>
            <w:tcW w:type="dxa" w:w="2880"/>
          </w:tcPr>
          <w:p>
            <w:r>
              <w:t>单一标的持仓≥10%预警、单一行业≥30%预警、关联方合并计算</w:t>
            </w:r>
          </w:p>
        </w:tc>
        <w:tc>
          <w:tcPr>
            <w:tcW w:type="dxa" w:w="2880"/>
          </w:tcPr>
          <w:p>
            <w:r>
              <w:t>超限预警→强制减仓→合规报告</w:t>
            </w:r>
          </w:p>
        </w:tc>
      </w:tr>
      <w:tr>
        <w:tc>
          <w:tcPr>
            <w:tcW w:type="dxa" w:w="2880"/>
          </w:tcPr>
          <w:p>
            <w:r>
              <w:t>流动性风险</w:t>
            </w:r>
          </w:p>
        </w:tc>
        <w:tc>
          <w:tcPr>
            <w:tcW w:type="dxa" w:w="2880"/>
          </w:tcPr>
          <w:p>
            <w:r>
              <w:t>流动性覆盖率&lt;120%预警、大额赎回≥产品规模20%预警</w:t>
            </w:r>
          </w:p>
        </w:tc>
        <w:tc>
          <w:tcPr>
            <w:tcW w:type="dxa" w:w="2880"/>
          </w:tcPr>
          <w:p>
            <w:r>
              <w:t>流动性预案启动→暂停赎回→资产变现安排</w:t>
            </w:r>
          </w:p>
        </w:tc>
      </w:tr>
      <w:tr>
        <w:tc>
          <w:tcPr>
            <w:tcW w:type="dxa" w:w="2880"/>
          </w:tcPr>
          <w:p>
            <w:r>
              <w:t>合规风控线</w:t>
            </w:r>
          </w:p>
        </w:tc>
        <w:tc>
          <w:tcPr>
            <w:tcW w:type="dxa" w:w="2880"/>
          </w:tcPr>
          <w:p>
            <w:r>
              <w:t>投资范围超限、杠杆比例超限、投资限制违反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持仓债券信用评级下调、发行人负面舆情</w:t>
            </w:r>
          </w:p>
        </w:tc>
        <w:tc>
          <w:tcPr>
            <w:tcW w:type="dxa" w:w="2880"/>
          </w:tcPr>
          <w:p>
            <w:r>
              <w:t>信用评估→减仓建议→风险预案</w:t>
            </w:r>
          </w:p>
        </w:tc>
      </w:tr>
    </w:tbl>
    <w:p/>
    <w:p>
      <w:pPr>
        <w:pStyle w:val="Heading4"/>
      </w:pPr>
      <w:r>
        <w:t>10. 持续服务原子模型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按监管要求（季报/年报）和产品合同约定</w:t>
            </w:r>
          </w:p>
        </w:tc>
        <w:tc>
          <w:tcPr>
            <w:tcW w:type="dxa" w:w="2160"/>
          </w:tcPr>
          <w:p>
            <w:r>
              <w:t>按时编制、审核、披露、发送客户</w:t>
            </w:r>
          </w:p>
        </w:tc>
        <w:tc>
          <w:tcPr>
            <w:tcW w:type="dxa" w:w="2160"/>
          </w:tcPr>
          <w:p>
            <w:r>
              <w:t>信息披露</w:t>
            </w:r>
          </w:p>
        </w:tc>
      </w:tr>
      <w:tr>
        <w:tc>
          <w:tcPr>
            <w:tcW w:type="dxa" w:w="2160"/>
          </w:tcPr>
          <w:p>
            <w:r>
              <w:t>净值波动沟通</w:t>
            </w:r>
          </w:p>
        </w:tc>
        <w:tc>
          <w:tcPr>
            <w:tcW w:type="dxa" w:w="2160"/>
          </w:tcPr>
          <w:p>
            <w:r>
              <w:t>当日净值回撤≥3%或近一周≥5%</w:t>
            </w:r>
          </w:p>
        </w:tc>
        <w:tc>
          <w:tcPr>
            <w:tcW w:type="dxa" w:w="2160"/>
          </w:tcPr>
          <w:p>
            <w:r>
              <w:t>24小时内主动沟通客户，解释原因和应对措施</w:t>
            </w:r>
          </w:p>
        </w:tc>
        <w:tc>
          <w:tcPr>
            <w:tcW w:type="dxa" w:w="2160"/>
          </w:tcPr>
          <w:p>
            <w:r>
              <w:t>客户经理/投资经理</w:t>
            </w:r>
          </w:p>
        </w:tc>
      </w:tr>
      <w:tr>
        <w:tc>
          <w:tcPr>
            <w:tcW w:type="dxa" w:w="2160"/>
          </w:tcPr>
          <w:p>
            <w:r>
              <w:t>重大变化沟通</w:t>
            </w:r>
          </w:p>
        </w:tc>
        <w:tc>
          <w:tcPr>
            <w:tcW w:type="dxa" w:w="2160"/>
          </w:tcPr>
          <w:p>
            <w:r>
              <w:t>投资经理变更、投资策略调整、产品要素变更、费率调整</w:t>
            </w:r>
          </w:p>
        </w:tc>
        <w:tc>
          <w:tcPr>
            <w:tcW w:type="dxa" w:w="2160"/>
          </w:tcPr>
          <w:p>
            <w:r>
              <w:t>提前通知客户，获取书面确认，安排开放退出</w:t>
            </w:r>
          </w:p>
        </w:tc>
        <w:tc>
          <w:tcPr>
            <w:tcW w:type="dxa" w:w="2160"/>
          </w:tcPr>
          <w:p>
            <w:r>
              <w:t>产品运营</w:t>
            </w:r>
          </w:p>
        </w:tc>
      </w:tr>
      <w:tr>
        <w:tc>
          <w:tcPr>
            <w:tcW w:type="dxa" w:w="2160"/>
          </w:tcPr>
          <w:p>
            <w:r>
              <w:t>大额赎回沟通</w:t>
            </w:r>
          </w:p>
        </w:tc>
        <w:tc>
          <w:tcPr>
            <w:tcW w:type="dxa" w:w="2160"/>
          </w:tcPr>
          <w:p>
            <w:r>
              <w:t>单笔赎回≥产品规模10%或客户月累计赎回≥30%</w:t>
            </w:r>
          </w:p>
        </w:tc>
        <w:tc>
          <w:tcPr>
            <w:tcW w:type="dxa" w:w="2160"/>
          </w:tcPr>
          <w:p>
            <w:r>
              <w:t>主动沟通了解原因，挽留或安排流动性，预警剩余投资者</w:t>
            </w:r>
          </w:p>
        </w:tc>
        <w:tc>
          <w:tcPr>
            <w:tcW w:type="dxa" w:w="2160"/>
          </w:tcPr>
          <w:p>
            <w:r>
              <w:t>客户经理/流动性管理</w:t>
            </w:r>
          </w:p>
        </w:tc>
      </w:tr>
      <w:tr>
        <w:tc>
          <w:tcPr>
            <w:tcW w:type="dxa" w:w="2160"/>
          </w:tcPr>
          <w:p>
            <w:r>
              <w:t>客户咨询响应</w:t>
            </w:r>
          </w:p>
        </w:tc>
        <w:tc>
          <w:tcPr>
            <w:tcW w:type="dxa" w:w="2160"/>
          </w:tcPr>
          <w:p>
            <w:r>
              <w:t>客户主动咨询产品情况、投资策略、市场观点</w:t>
            </w:r>
          </w:p>
        </w:tc>
        <w:tc>
          <w:tcPr>
            <w:tcW w:type="dxa" w:w="2160"/>
          </w:tcPr>
          <w:p>
            <w:r>
              <w:t>24小时内响应，专业解答，记录归档</w:t>
            </w:r>
          </w:p>
        </w:tc>
        <w:tc>
          <w:tcPr>
            <w:tcW w:type="dxa" w:w="2160"/>
          </w:tcPr>
          <w:p>
            <w:r>
              <w:t>客户经理</w:t>
            </w:r>
          </w:p>
        </w:tc>
      </w:tr>
      <w:tr>
        <w:tc>
          <w:tcPr>
            <w:tcW w:type="dxa" w:w="2160"/>
          </w:tcPr>
          <w:p>
            <w:r>
              <w:t>投诉处理</w:t>
            </w:r>
          </w:p>
        </w:tc>
        <w:tc>
          <w:tcPr>
            <w:tcW w:type="dxa" w:w="2160"/>
          </w:tcPr>
          <w:p>
            <w:r>
              <w:t>客户投诉产品或服务</w:t>
            </w:r>
          </w:p>
        </w:tc>
        <w:tc>
          <w:tcPr>
            <w:tcW w:type="dxa" w:w="2160"/>
          </w:tcPr>
          <w:p>
            <w:r>
              <w:t>2小时内响应，48小时给出解决方案，全程留痕</w:t>
            </w:r>
          </w:p>
        </w:tc>
        <w:tc>
          <w:tcPr>
            <w:tcW w:type="dxa" w:w="2160"/>
          </w:tcPr>
          <w:p>
            <w:r>
              <w:t>客服/合规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11. 资管产品合规模型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宣传合规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不得公开宣传产品收益率、不得承诺保本保收益、不得使用"安全""保证""无风险"等词汇</w:t>
            </w:r>
          </w:p>
        </w:tc>
      </w:tr>
      <w:tr>
        <w:tc>
          <w:tcPr>
            <w:tcW w:type="dxa" w:w="4320"/>
          </w:tcPr>
          <w:p>
            <w:r>
              <w:t>合格投资者</w:t>
            </w:r>
          </w:p>
        </w:tc>
        <w:tc>
          <w:tcPr>
            <w:tcW w:type="dxa" w:w="4320"/>
          </w:tcPr>
          <w:p>
            <w:r>
              <w:t>金融资产≥300万/近3年年均收入≥50万/家庭金融总资产≥500万；投资经验满2年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销售前充分揭示产品风险，确保投资者签署风险揭示书</w:t>
            </w:r>
          </w:p>
        </w:tc>
      </w:tr>
      <w:tr>
        <w:tc>
          <w:tcPr>
            <w:tcW w:type="dxa" w:w="4320"/>
          </w:tcPr>
          <w:p>
            <w:r>
              <w:t>适当性匹配</w:t>
            </w:r>
          </w:p>
        </w:tc>
        <w:tc>
          <w:tcPr>
            <w:tcW w:type="dxa" w:w="4320"/>
          </w:tcPr>
          <w:p>
            <w:r>
              <w:t>产品风险等级与客户风险承受能力匹配，不允许向下错配</w:t>
            </w:r>
          </w:p>
        </w:tc>
      </w:tr>
      <w:tr>
        <w:tc>
          <w:tcPr>
            <w:tcW w:type="dxa" w:w="4320"/>
          </w:tcPr>
          <w:p>
            <w:r>
              <w:t>购买回访</w:t>
            </w:r>
          </w:p>
        </w:tc>
        <w:tc>
          <w:tcPr>
            <w:tcW w:type="dxa" w:w="4320"/>
          </w:tcPr>
          <w:p>
            <w:r>
              <w:t>私募产品签约24小时内购买意愿再确认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按监管要求披露净值、定期报告、重大事项</w:t>
            </w:r>
          </w:p>
        </w:tc>
      </w:tr>
      <w:tr>
        <w:tc>
          <w:tcPr>
            <w:tcW w:type="dxa" w:w="4320"/>
          </w:tcPr>
          <w:p>
            <w:r>
              <w:t>投资运作合规</w:t>
            </w:r>
          </w:p>
        </w:tc>
        <w:tc>
          <w:tcPr>
            <w:tcW w:type="dxa" w:w="4320"/>
          </w:tcPr>
          <w:p>
            <w:r>
              <w:t>投资范围/比例限制/杠杆比例符合监管要求</w:t>
            </w:r>
          </w:p>
        </w:tc>
      </w:tr>
    </w:tbl>
    <w:p/>
    <w:p>
      <w:pPr>
        <w:pStyle w:val="Heading4"/>
      </w:pPr>
      <w:r>
        <w:t>12.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任务进度跟踪、节点检查、延期预警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输出物质量审核、合规检查、完整性验证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任务滞留自动督促、升级处理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13. 资管产品员工贡献计量分配原子模型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产品发起人/引入人</w:t>
            </w:r>
          </w:p>
        </w:tc>
        <w:tc>
          <w:tcPr>
            <w:tcW w:type="dxa" w:w="2160"/>
          </w:tcPr>
          <w:p>
            <w:r>
              <w:t>引入产品规模×运行周期×引入费率</w:t>
            </w:r>
          </w:p>
        </w:tc>
        <w:tc>
          <w:tcPr>
            <w:tcW w:type="dxa" w:w="2160"/>
          </w:tcPr>
          <w:p>
            <w:r>
              <w:t>引入费率：0.03%-0.05%/年</w:t>
            </w:r>
          </w:p>
        </w:tc>
        <w:tc>
          <w:tcPr>
            <w:tcW w:type="dxa" w:w="2160"/>
          </w:tcPr>
          <w:p>
            <w:r>
              <w:t>产品实际成立、运行满约定周期；引入人全程参与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管理费收入×15%-20%</w:t>
            </w:r>
          </w:p>
        </w:tc>
        <w:tc>
          <w:tcPr>
            <w:tcW w:type="dxa" w:w="2160"/>
          </w:tcPr>
          <w:p>
            <w:r>
              <w:t>产品表现达到业绩基准；设计文档完整、可执行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实际募集金额×销售费率</w:t>
            </w:r>
          </w:p>
        </w:tc>
        <w:tc>
          <w:tcPr>
            <w:tcW w:type="dxa" w:w="2160"/>
          </w:tcPr>
          <w:p>
            <w:r>
              <w:t>销售费率：0.5%-1.0%</w:t>
            </w:r>
          </w:p>
        </w:tc>
        <w:tc>
          <w:tcPr>
            <w:tcW w:type="dxa" w:w="2160"/>
          </w:tcPr>
          <w:p>
            <w:r>
              <w:t>资金实际到位、客户适当性匹配完成、无投诉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管理费+超额报酬分成</w:t>
            </w:r>
          </w:p>
        </w:tc>
        <w:tc>
          <w:tcPr>
            <w:tcW w:type="dxa" w:w="2160"/>
          </w:tcPr>
          <w:p>
            <w:r>
              <w:t>管理费×40%-50% + 超额报酬×50%-60%</w:t>
            </w:r>
          </w:p>
        </w:tc>
        <w:tc>
          <w:tcPr>
            <w:tcW w:type="dxa" w:w="2160"/>
          </w:tcPr>
          <w:p>
            <w:r>
              <w:t>业绩达到基准、回撤控制在约定范围内、合规运作</w:t>
            </w:r>
          </w:p>
        </w:tc>
      </w:tr>
      <w:tr>
        <w:tc>
          <w:tcPr>
            <w:tcW w:type="dxa" w:w="2160"/>
          </w:tcPr>
          <w:p>
            <w:r>
              <w:t>筛选评估人（委外）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一次性计提：0.02%-0.03%</w:t>
            </w:r>
          </w:p>
        </w:tc>
        <w:tc>
          <w:tcPr>
            <w:tcW w:type="dxa" w:w="2160"/>
          </w:tcPr>
          <w:p>
            <w:r>
              <w:t>尽调报告完整、评估准确、无重大遗漏</w:t>
            </w:r>
          </w:p>
        </w:tc>
      </w:tr>
      <w:tr>
        <w:tc>
          <w:tcPr>
            <w:tcW w:type="dxa" w:w="2160"/>
          </w:tcPr>
          <w:p>
            <w:r>
              <w:t>投后管理人（委外）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管理费×5%-10%</w:t>
            </w:r>
          </w:p>
        </w:tc>
        <w:tc>
          <w:tcPr>
            <w:tcW w:type="dxa" w:w="2160"/>
          </w:tcPr>
          <w:p>
            <w:r>
              <w:t>监测及时、异常处置得当、报告完整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支持工作有明确交付物、被服务方确认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平台服务费率×产品收入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平台稳定运行、系统可用性≥99.9%</w:t>
            </w:r>
          </w:p>
        </w:tc>
      </w:tr>
    </w:tbl>
    <w:p/>
    <w:p>
      <w:r>
        <w:t>**递延支付约束：**</w:t>
      </w:r>
    </w:p>
    <w:p>
      <w:r>
        <w:t>- 投资经理、引入人：当期支付50%，递延支付50%（分12个月）</w:t>
      </w:r>
    </w:p>
    <w:p>
      <w:r>
        <w:t>- 募集销售人：当期支付80%，递延支付20%（分6个月）</w:t>
      </w:r>
    </w:p>
    <w:p>
      <w:r>
        <w:t>- 产品表现未达基准或出现重大风险事件：暂停递延支付部分</w:t>
      </w:r>
    </w:p>
    <w:p>
      <w:r>
        <w:t>**统一约束：** 举手之后未达80%扣20%提成；重大合规违规取消当年度全部业务计量</w:t>
      </w:r>
    </w:p>
    <w:p>
      <w:r>
        <w:t>**计提比例明细（参考零售业务标准）：**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按基准</w:t>
            </w:r>
          </w:p>
        </w:tc>
        <w:tc>
          <w:tcPr>
            <w:tcW w:type="dxa" w:w="2160"/>
          </w:tcPr>
          <w:p>
            <w:r>
              <w:t>按超额</w:t>
            </w:r>
          </w:p>
        </w:tc>
        <w:tc>
          <w:tcPr>
            <w:tcW w:type="dxa" w:w="2160"/>
          </w:tcPr>
          <w:p>
            <w:r>
              <w:t>具体场景</w:t>
            </w:r>
          </w:p>
        </w:tc>
      </w:tr>
      <w:tr>
        <w:tc>
          <w:tcPr>
            <w:tcW w:type="dxa" w:w="2160"/>
          </w:tcPr>
          <w:p>
            <w:r>
              <w:t>产品引入人员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0%-50%</w:t>
            </w:r>
          </w:p>
        </w:tc>
        <w:tc>
          <w:tcPr>
            <w:tcW w:type="dxa" w:w="216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160"/>
          </w:tcPr>
          <w:p>
            <w:r>
              <w:t>产品销售人员</w:t>
            </w:r>
          </w:p>
        </w:tc>
        <w:tc>
          <w:tcPr>
            <w:tcW w:type="dxa" w:w="2160"/>
          </w:tcPr>
          <w:p>
            <w:r>
              <w:t>0%-80%</w:t>
            </w:r>
          </w:p>
        </w:tc>
        <w:tc>
          <w:tcPr>
            <w:tcW w:type="dxa" w:w="2160"/>
          </w:tcPr>
          <w:p>
            <w:r>
              <w:t>0%-45%</w:t>
            </w:r>
          </w:p>
        </w:tc>
        <w:tc>
          <w:tcPr>
            <w:tcW w:type="dxa" w:w="216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160"/>
          </w:tcPr>
          <w:p>
            <w:r>
              <w:t>产品售后人员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0%-5%</w:t>
            </w:r>
          </w:p>
        </w:tc>
        <w:tc>
          <w:tcPr>
            <w:tcW w:type="dxa" w:w="2160"/>
          </w:tcPr>
          <w:p>
            <w:r>
              <w:t>按基准：按时10%/超期已完成5%/超期未完成0%；超额部分：按时5%/超期已完成2.5%/超期未完成0%</w:t>
            </w:r>
          </w:p>
        </w:tc>
      </w:tr>
    </w:tbl>
    <w:p/>
    <w:p>
      <w:pPr>
        <w:pStyle w:val="Heading4"/>
      </w:pPr>
      <w:r>
        <w:t>14. 资管产品总绩效计量原子模型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管理费收入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按产品实际收到管理费计提</w:t>
            </w:r>
          </w:p>
        </w:tc>
      </w:tr>
      <w:tr>
        <w:tc>
          <w:tcPr>
            <w:tcW w:type="dxa" w:w="2160"/>
          </w:tcPr>
          <w:p>
            <w:r>
              <w:t>交易佣金收入</w:t>
            </w:r>
          </w:p>
        </w:tc>
        <w:tc>
          <w:tcPr>
            <w:tcW w:type="dxa" w:w="2160"/>
          </w:tcPr>
          <w:p>
            <w:r>
              <w:t>20%×(实际佣金率-0.0001)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扣除基础佣金后计提</w:t>
            </w:r>
          </w:p>
        </w:tc>
      </w:tr>
      <w:tr>
        <w:tc>
          <w:tcPr>
            <w:tcW w:type="dxa" w:w="2160"/>
          </w:tcPr>
          <w:p>
            <w:r>
              <w:t>超额报酬收入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按实际收到的超额报酬计提</w:t>
            </w:r>
          </w:p>
        </w:tc>
      </w:tr>
      <w:tr>
        <w:tc>
          <w:tcPr>
            <w:tcW w:type="dxa" w:w="2160"/>
          </w:tcPr>
          <w:p>
            <w:r>
              <w:t>认/申购费收入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全额计入销售业绩</w:t>
            </w:r>
          </w:p>
        </w:tc>
      </w:tr>
      <w:tr>
        <w:tc>
          <w:tcPr>
            <w:tcW w:type="dxa" w:w="2160"/>
          </w:tcPr>
          <w:p>
            <w:r>
              <w:t>销售服务费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按年计提，持续服务期间</w:t>
            </w:r>
          </w:p>
        </w:tc>
      </w:tr>
    </w:tbl>
    <w:p/>
    <w:p>
      <w:r>
        <w:t>**业绩基准调整机制：**</w:t>
      </w:r>
    </w:p>
    <w:p>
      <w:r>
        <w:t>- 每季度根据市场情况调整业绩基准</w:t>
      </w:r>
    </w:p>
    <w:p>
      <w:r>
        <w:t>- 连续2期未达基准：降低投资经理分成比例5%</w:t>
      </w:r>
    </w:p>
    <w:p>
      <w:r>
        <w:t>- 连续3期未达基准：启动投资经理更换程序</w:t>
      </w:r>
    </w:p>
    <w:p>
      <w:pPr>
        <w:pStyle w:val="Heading4"/>
      </w:pPr>
      <w:r>
        <w:t>16. 任务组管理模型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任务组建组</w:t>
            </w:r>
          </w:p>
        </w:tc>
        <w:tc>
          <w:tcPr>
            <w:tcW w:type="dxa" w:w="4320"/>
          </w:tcPr>
          <w:p>
            <w:r>
              <w:t>按业务任务组建组、明确任务边界</w:t>
            </w:r>
          </w:p>
        </w:tc>
      </w:tr>
      <w:tr>
        <w:tc>
          <w:tcPr>
            <w:tcW w:type="dxa" w:w="4320"/>
          </w:tcPr>
          <w:p>
            <w:r>
              <w:t>任务分派</w:t>
            </w:r>
          </w:p>
        </w:tc>
        <w:tc>
          <w:tcPr>
            <w:tcW w:type="dxa" w:w="4320"/>
          </w:tcPr>
          <w:p>
            <w:r>
              <w:t>按角色能力分派、支持抢单模式</w:t>
            </w:r>
          </w:p>
        </w:tc>
      </w:tr>
      <w:tr>
        <w:tc>
          <w:tcPr>
            <w:tcW w:type="dxa" w:w="4320"/>
          </w:tcPr>
          <w:p>
            <w:r>
              <w:t>任务监督</w:t>
            </w:r>
          </w:p>
        </w:tc>
        <w:tc>
          <w:tcPr>
            <w:tcW w:type="dxa" w:w="4320"/>
          </w:tcPr>
          <w:p>
            <w:r>
              <w:t>进度跟踪、质量检查、异常报警</w:t>
            </w:r>
          </w:p>
        </w:tc>
      </w:tr>
      <w:tr>
        <w:tc>
          <w:tcPr>
            <w:tcW w:type="dxa" w:w="4320"/>
          </w:tcPr>
          <w:p>
            <w:r>
              <w:t>任务关闭</w:t>
            </w:r>
          </w:p>
        </w:tc>
        <w:tc>
          <w:tcPr>
            <w:tcW w:type="dxa" w:w="4320"/>
          </w:tcPr>
          <w:p>
            <w:r>
              <w:t>验收确认、计量核算、资料归档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任务组管理模型</w:t>
            </w:r>
          </w:p>
        </w:tc>
        <w:tc>
          <w:tcPr>
            <w:tcW w:type="dxa" w:w="4320"/>
          </w:tcPr>
          <w:p>
            <w:r>
              <w:t>任务组建组/分派/监督/关闭，管理任务全生命周期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同时调用任务组管理模型，为发起人创建任务组，明确任务边界。</w:t>
      </w:r>
    </w:p>
    <w:p>
      <w:r>
        <w:rPr>
          <w:rFonts w:ascii="Courier New" w:hAnsi="Courier New"/>
          <w:sz w:val="18"/>
        </w:rPr>
        <w:t>并发调用客户分类原子模型初步识别目标客户群，</w:t>
      </w:r>
    </w:p>
    <w:p>
      <w:r>
        <w:rPr>
          <w:rFonts w:ascii="Courier New" w:hAnsi="Courier New"/>
          <w:sz w:val="18"/>
        </w:rPr>
        <w:t>调用客户合作原子模型匹配潜在合作渠道，</w:t>
      </w:r>
    </w:p>
    <w:p>
      <w:r>
        <w:rPr>
          <w:rFonts w:ascii="Courier New" w:hAnsi="Courier New"/>
          <w:sz w:val="18"/>
        </w:rPr>
        <w:t>调用持续服务原子模型预设服务方案框架。</w:t>
      </w:r>
    </w:p>
    <w:p>
      <w:r>
        <w:t>**调用原子模型**：驱动模型、任务组管理模型、客户分类原子模型、客户合作原子模型、持续服务原子模型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调用"收益测算原子模型"进行收益测算，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调用"投资管理匹配原子模型"（六维评价），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调用"投资管理匹配原子模型"筛选匹配的私募管理人，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**调用原子模型**：资管产品设计原子模型、收益测算原子模型、投资管理匹配原子模型、资管产品合规模型、资管产品准入标准费率原子模型、资管产品总绩效计量原子模型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生成机构准入任务（银行准入/客户合作），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**调用原子模型**：客户合作原子模型、资管产品合规模型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**调用原子模型**：监督模型、资管产品合规模型、资管产品员工贡献计量分配原子模型、任务组管理模型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任务1触发：投资经理发起或业务团队发起募集需求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同一角色同一贡献标准，不因团队/资历/关系而异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