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基于2026-09-24陶总评审要求设计。对标贝莱德、彭博，做行业级智能体产品。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面向全公司、全市场开放，打破资管部部门边界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资管产品设计原子模型</w:t>
            </w:r>
          </w:p>
        </w:tc>
        <w:tc>
          <w:tcPr>
            <w:tcW w:type="dxa" w:w="2880"/>
          </w:tcPr>
          <w:p>
            <w:r>
              <w:t>3维</w:t>
            </w:r>
          </w:p>
        </w:tc>
        <w:tc>
          <w:tcPr>
            <w:tcW w:type="dxa" w:w="2880"/>
          </w:tcPr>
          <w:p>
            <w:r>
              <w:t>配置结构 / 风险收益特征 / 期限安排</w:t>
            </w:r>
          </w:p>
        </w:tc>
      </w:tr>
      <w:tr>
        <w:tc>
          <w:tcPr>
            <w:tcW w:type="dxa" w:w="2880"/>
          </w:tcPr>
          <w:p>
            <w:r>
              <w:t>同业比对原子模型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市面十几万只资管产品蒸馏比对</w:t>
            </w:r>
          </w:p>
        </w:tc>
      </w:tr>
      <w:tr>
        <w:tc>
          <w:tcPr>
            <w:tcW w:type="dxa" w:w="2880"/>
          </w:tcPr>
          <w:p>
            <w:r>
              <w:t>收益测算原子模型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预期收益、回撤压力测试</w:t>
            </w:r>
          </w:p>
        </w:tc>
      </w:tr>
      <w:tr>
        <w:tc>
          <w:tcPr>
            <w:tcW w:type="dxa" w:w="2880"/>
          </w:tcPr>
          <w:p>
            <w:r>
              <w:t>投资经理准入原子模型</w:t>
            </w:r>
          </w:p>
        </w:tc>
        <w:tc>
          <w:tcPr>
            <w:tcW w:type="dxa" w:w="2880"/>
          </w:tcPr>
          <w:p>
            <w:r>
              <w:t>6维评价</w:t>
            </w:r>
          </w:p>
        </w:tc>
        <w:tc>
          <w:tcPr>
            <w:tcW w:type="dxa" w:w="2880"/>
          </w:tcPr>
          <w:p>
            <w:r>
              <w:t>管理规模/处罚信息/经营财务/团队实力/投资能力/风控能力</w:t>
            </w:r>
          </w:p>
        </w:tc>
      </w:tr>
    </w:tbl>
    <w:p/>
    <w:p>
      <w:pPr>
        <w:pStyle w:val="Heading3"/>
      </w:pPr>
      <w:r>
        <w:t>资金募集原子模型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客户分类原子模型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个人客户分层、机构客户分类</w:t>
            </w:r>
          </w:p>
        </w:tc>
      </w:tr>
      <w:tr>
        <w:tc>
          <w:tcPr>
            <w:tcW w:type="dxa" w:w="2880"/>
          </w:tcPr>
          <w:p>
            <w:r>
              <w:t>客户与资管产品匹配规则原子模型</w:t>
            </w:r>
          </w:p>
        </w:tc>
        <w:tc>
          <w:tcPr>
            <w:tcW w:type="dxa" w:w="2880"/>
          </w:tcPr>
          <w:p>
            <w:r>
              <w:t>5项匹配</w:t>
            </w:r>
          </w:p>
        </w:tc>
        <w:tc>
          <w:tcPr>
            <w:tcW w:type="dxa" w:w="2880"/>
          </w:tcPr>
          <w:p>
            <w:r>
              <w:t>合规匹配/投资能力匹配/风险偏好匹配/投资意愿匹配/投资期限匹配</w:t>
            </w:r>
          </w:p>
        </w:tc>
      </w:tr>
      <w:tr>
        <w:tc>
          <w:tcPr>
            <w:tcW w:type="dxa" w:w="2880"/>
          </w:tcPr>
          <w:p>
            <w:r>
              <w:t>资管产品内容推介生成原子模型</w:t>
            </w:r>
          </w:p>
        </w:tc>
        <w:tc>
          <w:tcPr>
            <w:tcW w:type="dxa" w:w="2880"/>
          </w:tcPr>
          <w:p>
            <w:r>
              <w:t>6项规则</w:t>
            </w:r>
          </w:p>
        </w:tc>
        <w:tc>
          <w:tcPr>
            <w:tcW w:type="dxa" w:w="2880"/>
          </w:tcPr>
          <w:p>
            <w:r>
              <w:t>合规宣传/产品特征/风险揭示/收益预期/适配说明/发行安排</w:t>
            </w:r>
          </w:p>
        </w:tc>
      </w:tr>
      <w:tr>
        <w:tc>
          <w:tcPr>
            <w:tcW w:type="dxa" w:w="2880"/>
          </w:tcPr>
          <w:p>
            <w:r>
              <w:t>渠道准入原子模型</w:t>
            </w:r>
          </w:p>
        </w:tc>
        <w:tc>
          <w:tcPr>
            <w:tcW w:type="dxa" w:w="2880"/>
          </w:tcPr>
          <w:p>
            <w:r>
              <w:t>2种情形</w:t>
            </w:r>
          </w:p>
        </w:tc>
        <w:tc>
          <w:tcPr>
            <w:tcW w:type="dxa" w:w="2880"/>
          </w:tcPr>
          <w:p>
            <w:r>
              <w:t>已准入机构（直接办产品准入）/ 新拓展机构（先办机构准入再办产品准入）</w:t>
            </w:r>
          </w:p>
        </w:tc>
      </w:tr>
    </w:tbl>
    <w:p/>
    <w:p>
      <w:pPr>
        <w:pStyle w:val="Heading3"/>
      </w:pPr>
      <w:r>
        <w:t>公司标准规则原子模型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资管产品合规模型</w:t>
            </w:r>
          </w:p>
        </w:tc>
        <w:tc>
          <w:tcPr>
            <w:tcW w:type="dxa" w:w="2880"/>
          </w:tcPr>
          <w:p>
            <w:r>
              <w:t>5项合规</w:t>
            </w:r>
          </w:p>
        </w:tc>
        <w:tc>
          <w:tcPr>
            <w:tcW w:type="dxa" w:w="2880"/>
          </w:tcPr>
          <w:p>
            <w:r>
              <w:t>宣传内容合规/合格投资者/风险提示/适当性匹配/购买回访</w:t>
            </w:r>
          </w:p>
        </w:tc>
      </w:tr>
      <w:tr>
        <w:tc>
          <w:tcPr>
            <w:tcW w:type="dxa" w:w="2880"/>
          </w:tcPr>
          <w:p>
            <w:r>
              <w:t>资管产品总绩效计量原子模型</w:t>
            </w:r>
          </w:p>
        </w:tc>
        <w:tc>
          <w:tcPr>
            <w:tcW w:type="dxa" w:w="2880"/>
          </w:tcPr>
          <w:p>
            <w:r>
              <w:t>按产品类型</w:t>
            </w:r>
          </w:p>
        </w:tc>
        <w:tc>
          <w:tcPr>
            <w:tcW w:type="dxa" w:w="2880"/>
          </w:tcPr>
          <w:p>
            <w:r>
              <w:t>管理费/超额报酬/认申购费/销售服务费，按各模式分别定义</w:t>
            </w:r>
          </w:p>
        </w:tc>
      </w:tr>
      <w:tr>
        <w:tc>
          <w:tcPr>
            <w:tcW w:type="dxa" w:w="2880"/>
          </w:tcPr>
          <w:p>
            <w:r>
              <w:t>资管产品准入标准费率原子模型</w:t>
            </w:r>
          </w:p>
        </w:tc>
        <w:tc>
          <w:tcPr>
            <w:tcW w:type="dxa" w:w="2880"/>
          </w:tcPr>
          <w:p>
            <w:r>
              <w:t>5项标准</w:t>
            </w:r>
          </w:p>
        </w:tc>
        <w:tc>
          <w:tcPr>
            <w:tcW w:type="dxa" w:w="2880"/>
          </w:tcPr>
          <w:p>
            <w:r>
              <w:t>管理费下限/超额报酬基准/认申购费/销售服务费/业绩比较基准</w:t>
            </w:r>
          </w:p>
        </w:tc>
      </w:tr>
    </w:tbl>
    <w:p/>
    <w:p>
      <w:pPr>
        <w:pStyle w:val="Heading3"/>
      </w:pPr>
      <w:r>
        <w:t>投资运作原子模型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投资运作动作原子模型</w:t>
            </w:r>
          </w:p>
        </w:tc>
        <w:tc>
          <w:tcPr>
            <w:tcW w:type="dxa" w:w="2880"/>
          </w:tcPr>
          <w:p>
            <w:r>
              <w:t>动作</w:t>
            </w:r>
          </w:p>
        </w:tc>
        <w:tc>
          <w:tcPr>
            <w:tcW w:type="dxa" w:w="2880"/>
          </w:tcPr>
          <w:p>
            <w:r>
              <w:t>投资范围确认/交易执行/持仓管理/估值核算</w:t>
            </w:r>
          </w:p>
        </w:tc>
      </w:tr>
      <w:tr>
        <w:tc>
          <w:tcPr>
            <w:tcW w:type="dxa" w:w="2880"/>
          </w:tcPr>
          <w:p>
            <w:r>
              <w:t>风险监测原子模型</w:t>
            </w:r>
          </w:p>
        </w:tc>
        <w:tc>
          <w:tcPr>
            <w:tcW w:type="dxa" w:w="2880"/>
          </w:tcPr>
          <w:p>
            <w:r>
              <w:t>监测</w:t>
            </w:r>
          </w:p>
        </w:tc>
        <w:tc>
          <w:tcPr>
            <w:tcW w:type="dxa" w:w="2880"/>
          </w:tcPr>
          <w:p>
            <w:r>
              <w:t>净值回撤/集中度/流动性/合规风控线</w:t>
            </w:r>
          </w:p>
        </w:tc>
      </w:tr>
      <w:tr>
        <w:tc>
          <w:tcPr>
            <w:tcW w:type="dxa" w:w="2880"/>
          </w:tcPr>
          <w:p>
            <w:r>
              <w:t>持续服务原子模型</w:t>
            </w:r>
          </w:p>
        </w:tc>
        <w:tc>
          <w:tcPr>
            <w:tcW w:type="dxa" w:w="2880"/>
          </w:tcPr>
          <w:p>
            <w:r>
              <w:t>5项动作</w:t>
            </w:r>
          </w:p>
        </w:tc>
        <w:tc>
          <w:tcPr>
            <w:tcW w:type="dxa" w:w="2880"/>
          </w:tcPr>
          <w:p>
            <w:r>
              <w:t>定期报告/净值波动沟通/重大变化沟通/大额赎回沟通/客户咨询响应</w:t>
            </w:r>
          </w:p>
        </w:tc>
      </w:tr>
    </w:tbl>
    <w:p/>
    <w:p>
      <w:pPr>
        <w:pStyle w:val="Heading3"/>
      </w:pPr>
      <w:r>
        <w:t>监督和计量原子模型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资管产品合规模型</w:t>
            </w:r>
          </w:p>
        </w:tc>
        <w:tc>
          <w:tcPr>
            <w:tcW w:type="dxa" w:w="2880"/>
          </w:tcPr>
          <w:p>
            <w:r>
              <w:t>5项合规</w:t>
            </w:r>
          </w:p>
        </w:tc>
        <w:tc>
          <w:tcPr>
            <w:tcW w:type="dxa" w:w="2880"/>
          </w:tcPr>
          <w:p>
            <w:r>
              <w:t>宣传合规/合格投资者/风险提示/适当性匹配/购买回访</w:t>
            </w:r>
          </w:p>
        </w:tc>
      </w:tr>
      <w:tr>
        <w:tc>
          <w:tcPr>
            <w:tcW w:type="dxa" w:w="2880"/>
          </w:tcPr>
          <w:p>
            <w:r>
              <w:t>监督模型</w:t>
            </w:r>
          </w:p>
        </w:tc>
        <w:tc>
          <w:tcPr>
            <w:tcW w:type="dxa" w:w="2880"/>
          </w:tcPr>
          <w:p>
            <w:r>
              <w:t>6项监督</w:t>
            </w:r>
          </w:p>
        </w:tc>
        <w:tc>
          <w:tcPr>
            <w:tcW w:type="dxa" w:w="2880"/>
          </w:tcPr>
          <w:p>
            <w:r>
              <w:t>进度管控/质量检查/合规留痕/异常报警/推进督促/计量核算</w:t>
            </w:r>
          </w:p>
        </w:tc>
      </w:tr>
      <w:tr>
        <w:tc>
          <w:tcPr>
            <w:tcW w:type="dxa" w:w="2880"/>
          </w:tcPr>
          <w:p>
            <w:r>
              <w:t>资管产品员工贡献计量分配原子模型</w:t>
            </w:r>
          </w:p>
        </w:tc>
        <w:tc>
          <w:tcPr>
            <w:tcW w:type="dxa" w:w="2880"/>
          </w:tcPr>
          <w:p>
            <w:r>
              <w:t>按角色</w:t>
            </w:r>
          </w:p>
        </w:tc>
        <w:tc>
          <w:tcPr>
            <w:tcW w:type="dxa" w:w="2880"/>
          </w:tcPr>
          <w:p>
            <w:r>
              <w:t>发起人/产品设计师/募集销售人/投资经理/协作支持人</w:t>
            </w:r>
          </w:p>
        </w:tc>
      </w:tr>
      <w:tr>
        <w:tc>
          <w:tcPr>
            <w:tcW w:type="dxa" w:w="2880"/>
          </w:tcPr>
          <w:p>
            <w:r>
              <w:t>资管产品总绩效计量原子模型</w:t>
            </w:r>
          </w:p>
        </w:tc>
        <w:tc>
          <w:tcPr>
            <w:tcW w:type="dxa" w:w="2880"/>
          </w:tcPr>
          <w:p>
            <w:r>
              <w:t>按模式</w:t>
            </w:r>
          </w:p>
        </w:tc>
        <w:tc>
          <w:tcPr>
            <w:tcW w:type="dxa" w:w="2880"/>
          </w:tcPr>
          <w:p>
            <w:r>
              <w:t>管理费/超额报酬/认申购费/销售服务费/五种模式分别定义</w:t>
            </w:r>
          </w:p>
        </w:tc>
      </w:tr>
      <w:tr>
        <w:tc>
          <w:tcPr>
            <w:tcW w:type="dxa" w:w="2880"/>
          </w:tcPr>
          <w:p>
            <w:r>
              <w:t>资管产品准入标准费率原子模型</w:t>
            </w:r>
          </w:p>
        </w:tc>
        <w:tc>
          <w:tcPr>
            <w:tcW w:type="dxa" w:w="2880"/>
          </w:tcPr>
          <w:p>
            <w:r>
              <w:t>5项标准</w:t>
            </w:r>
          </w:p>
        </w:tc>
        <w:tc>
          <w:tcPr>
            <w:tcW w:type="dxa" w:w="2880"/>
          </w:tcPr>
          <w:p>
            <w:r>
              <w:t>管理费下限/超额报酬基准/认申购费/销售服务费/业绩比较基准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权限模型</w:t>
            </w:r>
          </w:p>
        </w:tc>
        <w:tc>
          <w:tcPr>
            <w:tcW w:type="dxa" w:w="4320"/>
          </w:tcPr>
          <w:p>
            <w:r>
              <w:t>以任务组为边界的语料/模型/数据权限控制</w:t>
            </w:r>
          </w:p>
        </w:tc>
      </w:tr>
      <w:tr>
        <w:tc>
          <w:tcPr>
            <w:tcW w:type="dxa" w:w="4320"/>
          </w:tcPr>
          <w:p>
            <w:r>
              <w:t>跟投评估模型</w:t>
            </w:r>
          </w:p>
        </w:tc>
        <w:tc>
          <w:tcPr>
            <w:tcW w:type="dxa" w:w="4320"/>
          </w:tcPr>
          <w:p>
            <w:r>
              <w:t>模式五特有，评估跟投比例和风险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生成产品方案</w:t>
      </w:r>
    </w:p>
    <w:p>
      <w:r>
        <w:rPr>
          <w:rFonts w:ascii="Courier New" w:hAnsi="Courier New"/>
          <w:sz w:val="18"/>
        </w:rPr>
        <w:t>任务3  资金募集启动</w:t>
      </w:r>
    </w:p>
    <w:p>
      <w:r>
        <w:rPr>
          <w:rFonts w:ascii="Courier New" w:hAnsi="Courier New"/>
          <w:sz w:val="18"/>
        </w:rPr>
        <w:t>任务4  产品准入与签约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同时调用权限模型，为发起人创建任务组，赋予基础语料访问权限。</w:t>
      </w:r>
    </w:p>
    <w:p>
      <w:r>
        <w:t>**调用原子模型**：驱动模型、权限模型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任务2：生成产品方案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调用"同业比对原子模型"对比市面同类产品，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调用"投资经理准入原子模型"（六维评价），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调用"投资经理准入原子模型"筛选匹配的私募管理人，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**调用原子模型**：资管产品设计原子模型、同业比对原子模型、收益测算原子模型、投资经理准入原子模型、资管产品合规模型、资管产品准入标准费率原子模型、资管产品总绩效计量原子模型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任务4：产品准入与签约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你是资产管理自动驾驶引擎的准入与签约模块。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生成产品上架任务，</w:t>
      </w:r>
    </w:p>
    <w:p>
      <w:r>
        <w:rPr>
          <w:rFonts w:ascii="Courier New" w:hAnsi="Courier New"/>
          <w:sz w:val="18"/>
        </w:rPr>
        <w:t>签署产品销售协议。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生成机构准入任务（银行准入/渠道准入），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机构准入完成后再办理产品准入，</w:t>
      </w:r>
    </w:p>
    <w:p>
      <w:r>
        <w:rPr>
          <w:rFonts w:ascii="Courier New" w:hAnsi="Courier New"/>
          <w:sz w:val="18"/>
        </w:rPr>
        <w:t>签署合作框架协议和产品销售协议。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机构准入任务（情形B）</w:t>
      </w:r>
    </w:p>
    <w:p>
      <w:r>
        <w:rPr>
          <w:rFonts w:ascii="Courier New" w:hAnsi="Courier New"/>
          <w:sz w:val="18"/>
        </w:rPr>
        <w:t>- 产品准入确认</w:t>
      </w:r>
    </w:p>
    <w:p>
      <w:r>
        <w:rPr>
          <w:rFonts w:ascii="Courier New" w:hAnsi="Courier New"/>
          <w:sz w:val="18"/>
        </w:rPr>
        <w:t>- 合作协议/销售协议</w:t>
      </w:r>
    </w:p>
    <w:p>
      <w:r>
        <w:t>**调用原子模型**：渠道准入原子模型、资管产品合规模型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**调用原子模型**：监督模型、资管产品合规模型、资管产品员工贡献计量分配原子模型、权限模型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**调用原子模型**：资管产品员工贡献计量分配原子模型、资管产品总绩效计量原子模型、跟投评估模型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任务1触发：投资经理发起或业务部门发起募集需求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任务2特点：需额外调用跟投评估模型确定跟投比例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计量内容</w:t>
            </w:r>
          </w:p>
        </w:tc>
        <w:tc>
          <w:tcPr>
            <w:tcW w:type="dxa" w:w="2160"/>
          </w:tcPr>
          <w:p>
            <w:r>
              <w:t>分配依据</w:t>
            </w:r>
          </w:p>
        </w:tc>
        <w:tc>
          <w:tcPr>
            <w:tcW w:type="dxa" w:w="2160"/>
          </w:tcPr>
          <w:p>
            <w:r>
              <w:t>适用模式</w:t>
            </w:r>
          </w:p>
        </w:tc>
      </w:tr>
      <w:tr>
        <w:tc>
          <w:tcPr>
            <w:tcW w:type="dxa" w:w="2160"/>
          </w:tcPr>
          <w:p>
            <w:r>
              <w:t>**发起/引入人**</w:t>
            </w:r>
          </w:p>
        </w:tc>
        <w:tc>
          <w:tcPr>
            <w:tcW w:type="dxa" w:w="2160"/>
          </w:tcPr>
          <w:p>
            <w:r>
              <w:t>引入资金方、资产方、渠道方、外部投资经理</w:t>
            </w:r>
          </w:p>
        </w:tc>
        <w:tc>
          <w:tcPr>
            <w:tcW w:type="dxa" w:w="2160"/>
          </w:tcPr>
          <w:p>
            <w:r>
              <w:t>按引入产品规模×运行周期×引入费率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**产品设计师**</w:t>
            </w:r>
          </w:p>
        </w:tc>
        <w:tc>
          <w:tcPr>
            <w:tcW w:type="dxa" w:w="2160"/>
          </w:tcPr>
          <w:p>
            <w:r>
              <w:t>产品方案设计、配置结构、风险收益特征</w:t>
            </w:r>
          </w:p>
        </w:tc>
        <w:tc>
          <w:tcPr>
            <w:tcW w:type="dxa" w:w="2160"/>
          </w:tcPr>
          <w:p>
            <w:r>
              <w:t>按设计贡献比例×产品表现</w:t>
            </w:r>
          </w:p>
        </w:tc>
        <w:tc>
          <w:tcPr>
            <w:tcW w:type="dxa" w:w="2160"/>
          </w:tcPr>
          <w:p>
            <w:r>
              <w:t>模式一/二/四</w:t>
            </w:r>
          </w:p>
        </w:tc>
      </w:tr>
      <w:tr>
        <w:tc>
          <w:tcPr>
            <w:tcW w:type="dxa" w:w="2160"/>
          </w:tcPr>
          <w:p>
            <w:r>
              <w:t>**募集销售人**</w:t>
            </w:r>
          </w:p>
        </w:tc>
        <w:tc>
          <w:tcPr>
            <w:tcW w:type="dxa" w:w="2160"/>
          </w:tcPr>
          <w:p>
            <w:r>
              <w:t>实际募集资金</w:t>
            </w:r>
          </w:p>
        </w:tc>
        <w:tc>
          <w:tcPr>
            <w:tcW w:type="dxa" w:w="2160"/>
          </w:tcPr>
          <w:p>
            <w:r>
              <w:t>按募集金额×销售费率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**投资经理**</w:t>
            </w:r>
          </w:p>
        </w:tc>
        <w:tc>
          <w:tcPr>
            <w:tcW w:type="dxa" w:w="2160"/>
          </w:tcPr>
          <w:p>
            <w:r>
              <w:t>投资运作管理、业绩表现</w:t>
            </w:r>
          </w:p>
        </w:tc>
        <w:tc>
          <w:tcPr>
            <w:tcW w:type="dxa" w:w="2160"/>
          </w:tcPr>
          <w:p>
            <w:r>
              <w:t>按业绩基准提取管理费分成+超额报酬</w:t>
            </w:r>
          </w:p>
        </w:tc>
        <w:tc>
          <w:tcPr>
            <w:tcW w:type="dxa" w:w="2160"/>
          </w:tcPr>
          <w:p>
            <w:r>
              <w:t>模式一/二/四</w:t>
            </w:r>
          </w:p>
        </w:tc>
      </w:tr>
      <w:tr>
        <w:tc>
          <w:tcPr>
            <w:tcW w:type="dxa" w:w="2160"/>
          </w:tcPr>
          <w:p>
            <w:r>
              <w:t>**筛选评估人**</w:t>
            </w:r>
          </w:p>
        </w:tc>
        <w:tc>
          <w:tcPr>
            <w:tcW w:type="dxa" w:w="2160"/>
          </w:tcPr>
          <w:p>
            <w:r>
              <w:t>私募管理人筛选、委外产品评估</w:t>
            </w:r>
          </w:p>
        </w:tc>
        <w:tc>
          <w:tcPr>
            <w:tcW w:type="dxa" w:w="2160"/>
          </w:tcPr>
          <w:p>
            <w:r>
              <w:t>按准入贡献×产品规模</w:t>
            </w:r>
          </w:p>
        </w:tc>
        <w:tc>
          <w:tcPr>
            <w:tcW w:type="dxa" w:w="2160"/>
          </w:tcPr>
          <w:p>
            <w:r>
              <w:t>模式三/五</w:t>
            </w:r>
          </w:p>
        </w:tc>
      </w:tr>
      <w:tr>
        <w:tc>
          <w:tcPr>
            <w:tcW w:type="dxa" w:w="2160"/>
          </w:tcPr>
          <w:p>
            <w:r>
              <w:t>**投后管理人**</w:t>
            </w:r>
          </w:p>
        </w:tc>
        <w:tc>
          <w:tcPr>
            <w:tcW w:type="dxa" w:w="2160"/>
          </w:tcPr>
          <w:p>
            <w:r>
              <w:t>投后监测、异常处置、持续报告</w:t>
            </w:r>
          </w:p>
        </w:tc>
        <w:tc>
          <w:tcPr>
            <w:tcW w:type="dxa" w:w="2160"/>
          </w:tcPr>
          <w:p>
            <w:r>
              <w:t>按监测质量×服务周期</w:t>
            </w:r>
          </w:p>
        </w:tc>
        <w:tc>
          <w:tcPr>
            <w:tcW w:type="dxa" w:w="2160"/>
          </w:tcPr>
          <w:p>
            <w:r>
              <w:t>模式三</w:t>
            </w:r>
          </w:p>
        </w:tc>
      </w:tr>
      <w:tr>
        <w:tc>
          <w:tcPr>
            <w:tcW w:type="dxa" w:w="2160"/>
          </w:tcPr>
          <w:p>
            <w:r>
              <w:t>**协作支持人**</w:t>
            </w:r>
          </w:p>
        </w:tc>
        <w:tc>
          <w:tcPr>
            <w:tcW w:type="dxa" w:w="2160"/>
          </w:tcPr>
          <w:p>
            <w:r>
              <w:t>专业支持（法务/合规咨询等）</w:t>
            </w:r>
          </w:p>
        </w:tc>
        <w:tc>
          <w:tcPr>
            <w:tcW w:type="dxa" w:w="2160"/>
          </w:tcPr>
          <w:p>
            <w:r>
              <w:t>按支持贡献一次性或按期计提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**平台运营方**</w:t>
            </w:r>
          </w:p>
        </w:tc>
        <w:tc>
          <w:tcPr>
            <w:tcW w:type="dxa" w:w="2160"/>
          </w:tcPr>
          <w:p>
            <w:r>
              <w:t>平台技术支撑、交易能力、牌照服务</w:t>
            </w:r>
          </w:p>
        </w:tc>
        <w:tc>
          <w:tcPr>
            <w:tcW w:type="dxa" w:w="2160"/>
          </w:tcPr>
          <w:p>
            <w:r>
              <w:t>按平台服务费率从产品收入中提取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</w:tbl>
    <w:p/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同一角色同一贡献标准，不因部门/资历/关系而异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