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基于2026-09-24陶总评审要求设计。对标贝莱德，做行业级智能体产品。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资管产品设计原子模型</w:t>
            </w:r>
          </w:p>
        </w:tc>
        <w:tc>
          <w:tcPr>
            <w:tcW w:type="dxa" w:w="2880"/>
          </w:tcPr>
          <w:p>
            <w:r>
              <w:t>3维</w:t>
            </w:r>
          </w:p>
        </w:tc>
        <w:tc>
          <w:tcPr>
            <w:tcW w:type="dxa" w:w="2880"/>
          </w:tcPr>
          <w:p>
            <w:r>
              <w:t>配置结构 / 风险收益特征 / 期限安排</w:t>
            </w:r>
          </w:p>
        </w:tc>
      </w:tr>
      <w:tr>
        <w:tc>
          <w:tcPr>
            <w:tcW w:type="dxa" w:w="2880"/>
          </w:tcPr>
          <w:p>
            <w:r>
              <w:t>同业比对原子模型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市面十几万只资管产品蒸馏比对</w:t>
            </w:r>
          </w:p>
        </w:tc>
      </w:tr>
      <w:tr>
        <w:tc>
          <w:tcPr>
            <w:tcW w:type="dxa" w:w="2880"/>
          </w:tcPr>
          <w:p>
            <w:r>
              <w:t>收益测算原子模型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预期收益、回撤压力测试</w:t>
            </w:r>
          </w:p>
        </w:tc>
      </w:tr>
      <w:tr>
        <w:tc>
          <w:tcPr>
            <w:tcW w:type="dxa" w:w="2880"/>
          </w:tcPr>
          <w:p>
            <w:r>
              <w:t>投资经理准入原子模型</w:t>
            </w:r>
          </w:p>
        </w:tc>
        <w:tc>
          <w:tcPr>
            <w:tcW w:type="dxa" w:w="2880"/>
          </w:tcPr>
          <w:p>
            <w:r>
              <w:t>6维评价</w:t>
            </w:r>
          </w:p>
        </w:tc>
        <w:tc>
          <w:tcPr>
            <w:tcW w:type="dxa" w:w="2880"/>
          </w:tcPr>
          <w:p>
            <w:r>
              <w:t>管理规模/处罚信息/经营财务/团队实力/投资能力/风控能力</w:t>
            </w:r>
          </w:p>
        </w:tc>
      </w:tr>
    </w:tbl>
    <w:p/>
    <w:p>
      <w:pPr>
        <w:pStyle w:val="Heading3"/>
      </w:pPr>
      <w:r>
        <w:t>资金募集原子模型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客户分类原子模型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个人客户分层、机构客户分类</w:t>
            </w:r>
          </w:p>
        </w:tc>
      </w:tr>
      <w:tr>
        <w:tc>
          <w:tcPr>
            <w:tcW w:type="dxa" w:w="2880"/>
          </w:tcPr>
          <w:p>
            <w:r>
              <w:t>客户与资管产品匹配规则原子模型</w:t>
            </w:r>
          </w:p>
        </w:tc>
        <w:tc>
          <w:tcPr>
            <w:tcW w:type="dxa" w:w="2880"/>
          </w:tcPr>
          <w:p>
            <w:r>
              <w:t>5项匹配</w:t>
            </w:r>
          </w:p>
        </w:tc>
        <w:tc>
          <w:tcPr>
            <w:tcW w:type="dxa" w:w="2880"/>
          </w:tcPr>
          <w:p>
            <w:r>
              <w:t>合规匹配/投资能力匹配/风险偏好匹配/投资意愿匹配/投资期限匹配</w:t>
            </w:r>
          </w:p>
        </w:tc>
      </w:tr>
      <w:tr>
        <w:tc>
          <w:tcPr>
            <w:tcW w:type="dxa" w:w="2880"/>
          </w:tcPr>
          <w:p>
            <w:r>
              <w:t>资管产品内容推介生成原子模型</w:t>
            </w:r>
          </w:p>
        </w:tc>
        <w:tc>
          <w:tcPr>
            <w:tcW w:type="dxa" w:w="2880"/>
          </w:tcPr>
          <w:p>
            <w:r>
              <w:t>6项规则</w:t>
            </w:r>
          </w:p>
        </w:tc>
        <w:tc>
          <w:tcPr>
            <w:tcW w:type="dxa" w:w="2880"/>
          </w:tcPr>
          <w:p>
            <w:r>
              <w:t>合规宣传/产品特征/风险揭示/收益预期/适配说明/发行安排</w:t>
            </w:r>
          </w:p>
        </w:tc>
      </w:tr>
      <w:tr>
        <w:tc>
          <w:tcPr>
            <w:tcW w:type="dxa" w:w="2880"/>
          </w:tcPr>
          <w:p>
            <w:r>
              <w:t>渠道准入原子模型</w:t>
            </w:r>
          </w:p>
        </w:tc>
        <w:tc>
          <w:tcPr>
            <w:tcW w:type="dxa" w:w="2880"/>
          </w:tcPr>
          <w:p>
            <w:r>
              <w:t>2种情形</w:t>
            </w:r>
          </w:p>
        </w:tc>
        <w:tc>
          <w:tcPr>
            <w:tcW w:type="dxa" w:w="2880"/>
          </w:tcPr>
          <w:p>
            <w:r>
              <w:t>已准入机构（直接办产品准入）/ 新拓展机构（先办机构准入再办产品准入）</w:t>
            </w:r>
          </w:p>
        </w:tc>
      </w:tr>
    </w:tbl>
    <w:p/>
    <w:p>
      <w:pPr>
        <w:pStyle w:val="Heading3"/>
      </w:pPr>
      <w:r>
        <w:t>公司标准规则原子模型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宣传内容合规/合格投资者/风险提示/适当性匹配/购买回访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按产品类型</w:t>
            </w:r>
          </w:p>
        </w:tc>
        <w:tc>
          <w:tcPr>
            <w:tcW w:type="dxa" w:w="2880"/>
          </w:tcPr>
          <w:p>
            <w:r>
              <w:t>管理费/超额报酬/认申购费/销售服务费，按各模式分别定义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投资运作原子模型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投资运作动作原子模型</w:t>
            </w:r>
          </w:p>
        </w:tc>
        <w:tc>
          <w:tcPr>
            <w:tcW w:type="dxa" w:w="2880"/>
          </w:tcPr>
          <w:p>
            <w:r>
              <w:t>动作</w:t>
            </w:r>
          </w:p>
        </w:tc>
        <w:tc>
          <w:tcPr>
            <w:tcW w:type="dxa" w:w="2880"/>
          </w:tcPr>
          <w:p>
            <w:r>
              <w:t>投资范围确认/交易执行/持仓管理/估值核算</w:t>
            </w:r>
          </w:p>
        </w:tc>
      </w:tr>
      <w:tr>
        <w:tc>
          <w:tcPr>
            <w:tcW w:type="dxa" w:w="2880"/>
          </w:tcPr>
          <w:p>
            <w:r>
              <w:t>风险监测原子模型</w:t>
            </w:r>
          </w:p>
        </w:tc>
        <w:tc>
          <w:tcPr>
            <w:tcW w:type="dxa" w:w="2880"/>
          </w:tcPr>
          <w:p>
            <w:r>
              <w:t>监测</w:t>
            </w:r>
          </w:p>
        </w:tc>
        <w:tc>
          <w:tcPr>
            <w:tcW w:type="dxa" w:w="2880"/>
          </w:tcPr>
          <w:p>
            <w:r>
              <w:t>净值回撤/集中度/流动性/合规风控线</w:t>
            </w:r>
          </w:p>
        </w:tc>
      </w:tr>
      <w:tr>
        <w:tc>
          <w:tcPr>
            <w:tcW w:type="dxa" w:w="2880"/>
          </w:tcPr>
          <w:p>
            <w:r>
              <w:t>持续服务原子模型</w:t>
            </w:r>
          </w:p>
        </w:tc>
        <w:tc>
          <w:tcPr>
            <w:tcW w:type="dxa" w:w="2880"/>
          </w:tcPr>
          <w:p>
            <w:r>
              <w:t>5项动作</w:t>
            </w:r>
          </w:p>
        </w:tc>
        <w:tc>
          <w:tcPr>
            <w:tcW w:type="dxa" w:w="2880"/>
          </w:tcPr>
          <w:p>
            <w:r>
              <w:t>定期报告/净值波动沟通/重大变化沟通/大额赎回沟通/客户咨询响应</w:t>
            </w:r>
          </w:p>
        </w:tc>
      </w:tr>
    </w:tbl>
    <w:p/>
    <w:p>
      <w:pPr>
        <w:pStyle w:val="Heading3"/>
      </w:pPr>
      <w:r>
        <w:t>监督和计量原子模型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监督模型</w:t>
            </w:r>
          </w:p>
        </w:tc>
        <w:tc>
          <w:tcPr>
            <w:tcW w:type="dxa" w:w="2880"/>
          </w:tcPr>
          <w:p>
            <w:r>
              <w:t>6项监督</w:t>
            </w:r>
          </w:p>
        </w:tc>
        <w:tc>
          <w:tcPr>
            <w:tcW w:type="dxa" w:w="2880"/>
          </w:tcPr>
          <w:p>
            <w:r>
              <w:t>进度管控/质量检查/合规留痕/异常报警/推进督促/计量核算</w:t>
            </w:r>
          </w:p>
        </w:tc>
      </w:tr>
      <w:tr>
        <w:tc>
          <w:tcPr>
            <w:tcW w:type="dxa" w:w="2880"/>
          </w:tcPr>
          <w:p>
            <w:r>
              <w:t>资管产品员工贡献计量分配原子模型</w:t>
            </w:r>
          </w:p>
        </w:tc>
        <w:tc>
          <w:tcPr>
            <w:tcW w:type="dxa" w:w="2880"/>
          </w:tcPr>
          <w:p>
            <w:r>
              <w:t>按角色</w:t>
            </w:r>
          </w:p>
        </w:tc>
        <w:tc>
          <w:tcPr>
            <w:tcW w:type="dxa" w:w="2880"/>
          </w:tcPr>
          <w:p>
            <w:r>
              <w:t>发起人/产品设计师/募集销售人/投资经理/协作支持人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按模式</w:t>
            </w:r>
          </w:p>
        </w:tc>
        <w:tc>
          <w:tcPr>
            <w:tcW w:type="dxa" w:w="2880"/>
          </w:tcPr>
          <w:p>
            <w:r>
              <w:t>管理费/超额报酬/认申购费/销售服务费/五种模式分别定义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权限模型</w:t>
            </w:r>
          </w:p>
        </w:tc>
        <w:tc>
          <w:tcPr>
            <w:tcW w:type="dxa" w:w="4320"/>
          </w:tcPr>
          <w:p>
            <w:r>
              <w:t>以任务组为边界的语料/模型/数据权限控制</w:t>
            </w:r>
          </w:p>
        </w:tc>
      </w:tr>
      <w:tr>
        <w:tc>
          <w:tcPr>
            <w:tcW w:type="dxa" w:w="4320"/>
          </w:tcPr>
          <w:p>
            <w:r>
              <w:t>跟投评估模型</w:t>
            </w:r>
          </w:p>
        </w:tc>
        <w:tc>
          <w:tcPr>
            <w:tcW w:type="dxa" w:w="4320"/>
          </w:tcPr>
          <w:p>
            <w:r>
              <w:t>模式五特有，评估跟投比例和风险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产品准入与签约</w:t>
      </w:r>
    </w:p>
    <w:p>
      <w:r>
        <w:rPr>
          <w:rFonts w:ascii="Courier New" w:hAnsi="Courier New"/>
          <w:sz w:val="18"/>
        </w:rPr>
        <w:t>任务4  资金募集启动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同时调用权限模型，为发起人创建任务组，赋予基础语料访问权限。</w:t>
      </w:r>
    </w:p>
    <w:p>
      <w:r>
        <w:t>**调用原子模型**：驱动模型、权限模型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调用"同业比对原子模型"对比市面同类产品，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调用"投资经理准入原子模型"（六维评价），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调用"投资经理准入原子模型"筛选匹配的私募管理人，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**调用原子模型**：资管产品设计原子模型、同业比对原子模型、收益测算原子模型、投资经理准入原子模型、资管产品合规模型、资管产品准入标准费率原子模型、资管产品总绩效计量原子模型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生成机构准入任务（银行准入/渠道准入），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**调用原子模型**：渠道准入原子模型、资管产品合规模型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**调用原子模型**：监督模型、资管产品合规模型、资管产品员工贡献计量分配原子模型、权限模型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**调用原子模型**：资管产品员工贡献计量分配原子模型、资管产品总绩效计量原子模型、跟投评估模型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任务2特点：需额外调用跟投评估模型确定跟投比例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p>
      <w:r>
        <w:t>**角色分配标准：**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**产品引入人员**</w:t>
            </w:r>
          </w:p>
        </w:tc>
        <w:tc>
          <w:tcPr>
            <w:tcW w:type="dxa" w:w="2880"/>
          </w:tcPr>
          <w:p>
            <w:r>
              <w:t>按基准0%-10%·超额0%-50%</w:t>
            </w:r>
          </w:p>
        </w:tc>
        <w:tc>
          <w:tcPr>
            <w:tcW w:type="dxa" w:w="288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880"/>
          </w:tcPr>
          <w:p>
            <w:r>
              <w:t>**产品销售人员**</w:t>
            </w:r>
          </w:p>
        </w:tc>
        <w:tc>
          <w:tcPr>
            <w:tcW w:type="dxa" w:w="2880"/>
          </w:tcPr>
          <w:p>
            <w:r>
              <w:t>按基准0%-80%·超额0%-45%</w:t>
            </w:r>
          </w:p>
        </w:tc>
        <w:tc>
          <w:tcPr>
            <w:tcW w:type="dxa" w:w="288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880"/>
          </w:tcPr>
          <w:p>
            <w:r>
              <w:t>**产品售后人员**</w:t>
            </w:r>
          </w:p>
        </w:tc>
        <w:tc>
          <w:tcPr>
            <w:tcW w:type="dxa" w:w="2880"/>
          </w:tcPr>
          <w:p>
            <w:r>
              <w:t>按基准0%-10%·超额0%-5%</w:t>
            </w:r>
          </w:p>
        </w:tc>
        <w:tc>
          <w:tcPr>
            <w:tcW w:type="dxa" w:w="2880"/>
          </w:tcPr>
          <w:p>
            <w:r>
              <w:t>按基准：按时10%/超期已完成5%/超期未完成0%；超额部分：按时5%/超期已完成2.5%/超期未完成0%</w:t>
            </w:r>
          </w:p>
        </w:tc>
      </w:tr>
      <w:tr>
        <w:tc>
          <w:tcPr>
            <w:tcW w:type="dxa" w:w="2880"/>
          </w:tcPr>
          <w:p>
            <w:r>
              <w:t>**投资经理**</w:t>
            </w:r>
          </w:p>
        </w:tc>
        <w:tc>
          <w:tcPr>
            <w:tcW w:type="dxa" w:w="2880"/>
          </w:tcPr>
          <w:p>
            <w:r>
              <w:t>管理费+超额报酬</w:t>
            </w:r>
          </w:p>
        </w:tc>
        <w:tc>
          <w:tcPr>
            <w:tcW w:type="dxa" w:w="2880"/>
          </w:tcPr>
          <w:p>
            <w:r>
              <w:t>浮动分成，业绩好拿得多</w:t>
            </w:r>
          </w:p>
        </w:tc>
      </w:tr>
      <w:tr>
        <w:tc>
          <w:tcPr>
            <w:tcW w:type="dxa" w:w="2880"/>
          </w:tcPr>
          <w:p>
            <w:r>
              <w:t>**平台运营方**</w:t>
            </w:r>
          </w:p>
        </w:tc>
        <w:tc>
          <w:tcPr>
            <w:tcW w:type="dxa" w:w="2880"/>
          </w:tcPr>
          <w:p>
            <w:r>
              <w:t>平台服务费率</w:t>
            </w:r>
          </w:p>
        </w:tc>
        <w:tc>
          <w:tcPr>
            <w:tcW w:type="dxa" w:w="2880"/>
          </w:tcPr>
          <w:p>
            <w:r>
              <w:t>从产品收入中提取，固定比例</w:t>
            </w:r>
          </w:p>
        </w:tc>
      </w:tr>
    </w:tbl>
    <w:p/>
    <w:p>
      <w:r>
        <w:t>**统一约束：** 举手之后未达80%扣20%提成</w:t>
      </w:r>
    </w:p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r>
        <w:t>**总绩效计提比例（参考标准）：**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收入类型</w:t>
            </w:r>
          </w:p>
        </w:tc>
        <w:tc>
          <w:tcPr>
            <w:tcW w:type="dxa" w:w="2880"/>
          </w:tcPr>
          <w:p>
            <w:r>
              <w:t>提成比例</w:t>
            </w:r>
          </w:p>
        </w:tc>
        <w:tc>
          <w:tcPr>
            <w:tcW w:type="dxa" w:w="2880"/>
          </w:tcPr>
          <w:p>
            <w:r>
              <w:t>补贴比例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交易佣金</w:t>
            </w:r>
          </w:p>
        </w:tc>
        <w:tc>
          <w:tcPr>
            <w:tcW w:type="dxa" w:w="2880"/>
          </w:tcPr>
          <w:p>
            <w:r>
              <w:t>20%×(交易佣金率-0.0001)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超额报酬收入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认/申购费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**准入标准费率（参考标准）：**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最低标准</w:t>
            </w:r>
          </w:p>
        </w:tc>
        <w:tc>
          <w:tcPr>
            <w:tcW w:type="dxa" w:w="2880"/>
          </w:tcPr>
          <w:p>
            <w:r>
              <w:t>目标标准</w:t>
            </w:r>
          </w:p>
        </w:tc>
      </w:tr>
      <w:tr>
        <w:tc>
          <w:tcPr>
            <w:tcW w:type="dxa" w:w="2880"/>
          </w:tcPr>
          <w:p>
            <w:r>
              <w:t>管理费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  <w:tc>
          <w:tcPr>
            <w:tcW w:type="dxa" w:w="2880"/>
          </w:tcPr>
          <w:p>
            <w:r>
              <w:t>0.75%</w:t>
            </w:r>
          </w:p>
        </w:tc>
      </w:tr>
      <w:tr>
        <w:tc>
          <w:tcPr>
            <w:tcW w:type="dxa" w:w="2880"/>
          </w:tcPr>
          <w:p>
            <w:r>
              <w:t>佣金率</w:t>
            </w:r>
          </w:p>
        </w:tc>
        <w:tc>
          <w:tcPr>
            <w:tcW w:type="dxa" w:w="2880"/>
          </w:tcPr>
          <w:p>
            <w:r>
              <w:t>0.01%</w:t>
            </w:r>
          </w:p>
        </w:tc>
        <w:tc>
          <w:tcPr>
            <w:tcW w:type="dxa" w:w="2880"/>
          </w:tcPr>
          <w:p>
            <w:r>
              <w:t>0.02%</w:t>
            </w:r>
          </w:p>
        </w:tc>
      </w:tr>
      <w:tr>
        <w:tc>
          <w:tcPr>
            <w:tcW w:type="dxa" w:w="2880"/>
          </w:tcPr>
          <w:p>
            <w:r>
              <w:t>超额报酬分成</w:t>
            </w:r>
          </w:p>
        </w:tc>
        <w:tc>
          <w:tcPr>
            <w:tcW w:type="dxa" w:w="2880"/>
          </w:tcPr>
          <w:p>
            <w:r>
              <w:t>超业绩基准提成2%</w:t>
            </w:r>
          </w:p>
        </w:tc>
        <w:tc>
          <w:tcPr>
            <w:tcW w:type="dxa" w:w="2880"/>
          </w:tcPr>
          <w:p>
            <w:r>
              <w:t>超业绩基准提成4%</w:t>
            </w:r>
          </w:p>
        </w:tc>
      </w:tr>
      <w:tr>
        <w:tc>
          <w:tcPr>
            <w:tcW w:type="dxa" w:w="2880"/>
          </w:tcPr>
          <w:p>
            <w:r>
              <w:t>业绩基准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管理人配套资产规模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不低于销售规模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