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基于2026-09-24陶总评审要求设计。对标贝莱德、彭博，做行业级智能体产品。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产品方案生成与签约</w:t>
      </w:r>
    </w:p>
    <w:p>
      <w:r>
        <w:rPr>
          <w:rFonts w:ascii="Courier New" w:hAnsi="Courier New"/>
          <w:sz w:val="18"/>
        </w:rPr>
        <w:t>任务3  资金募集启动</w:t>
      </w:r>
    </w:p>
    <w:p>
      <w:r>
        <w:rPr>
          <w:rFonts w:ascii="Courier New" w:hAnsi="Courier New"/>
          <w:sz w:val="18"/>
        </w:rPr>
        <w:t>任务4  渠道准入与产品上架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任务2：产品方案生成与签约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任务4：渠道准入与产品上架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你是资产管理自动驾驶引擎的渠道管理模块。</w:t>
      </w:r>
    </w:p>
    <w:p/>
    <w:p>
      <w:r>
        <w:rPr>
          <w:rFonts w:ascii="Courier New" w:hAnsi="Courier New"/>
          <w:sz w:val="18"/>
        </w:rPr>
        <w:t>判断渠道类型，分两种情形处理：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渠道准入任务（情形A：产品准入/情形B：机构准入+产品准入）</w:t>
      </w:r>
    </w:p>
    <w:p>
      <w:r>
        <w:rPr>
          <w:rFonts w:ascii="Courier New" w:hAnsi="Courier New"/>
          <w:sz w:val="18"/>
        </w:rPr>
        <w:t>- 产品上架确认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计量内容</w:t>
            </w:r>
          </w:p>
        </w:tc>
        <w:tc>
          <w:tcPr>
            <w:tcW w:type="dxa" w:w="2160"/>
          </w:tcPr>
          <w:p>
            <w:r>
              <w:t>分配依据</w:t>
            </w:r>
          </w:p>
        </w:tc>
        <w:tc>
          <w:tcPr>
            <w:tcW w:type="dxa" w:w="2160"/>
          </w:tcPr>
          <w:p>
            <w:r>
              <w:t>适用模式</w:t>
            </w:r>
          </w:p>
        </w:tc>
      </w:tr>
      <w:tr>
        <w:tc>
          <w:tcPr>
            <w:tcW w:type="dxa" w:w="2160"/>
          </w:tcPr>
          <w:p>
            <w:r>
              <w:t>**发起/引入人**</w:t>
            </w:r>
          </w:p>
        </w:tc>
        <w:tc>
          <w:tcPr>
            <w:tcW w:type="dxa" w:w="2160"/>
          </w:tcPr>
          <w:p>
            <w:r>
              <w:t>引入资金方、资产方、渠道方、外部投资经理</w:t>
            </w:r>
          </w:p>
        </w:tc>
        <w:tc>
          <w:tcPr>
            <w:tcW w:type="dxa" w:w="2160"/>
          </w:tcPr>
          <w:p>
            <w:r>
              <w:t>按引入产品规模×运行周期×引入费率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**产品设计师**</w:t>
            </w:r>
          </w:p>
        </w:tc>
        <w:tc>
          <w:tcPr>
            <w:tcW w:type="dxa" w:w="2160"/>
          </w:tcPr>
          <w:p>
            <w:r>
              <w:t>产品方案设计、配置结构、风险收益特征</w:t>
            </w:r>
          </w:p>
        </w:tc>
        <w:tc>
          <w:tcPr>
            <w:tcW w:type="dxa" w:w="2160"/>
          </w:tcPr>
          <w:p>
            <w:r>
              <w:t>按设计贡献比例×产品表现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**募集销售人**</w:t>
            </w:r>
          </w:p>
        </w:tc>
        <w:tc>
          <w:tcPr>
            <w:tcW w:type="dxa" w:w="2160"/>
          </w:tcPr>
          <w:p>
            <w:r>
              <w:t>实际募集资金</w:t>
            </w:r>
          </w:p>
        </w:tc>
        <w:tc>
          <w:tcPr>
            <w:tcW w:type="dxa" w:w="2160"/>
          </w:tcPr>
          <w:p>
            <w:r>
              <w:t>按募集金额×销售费率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**投资经理**</w:t>
            </w:r>
          </w:p>
        </w:tc>
        <w:tc>
          <w:tcPr>
            <w:tcW w:type="dxa" w:w="2160"/>
          </w:tcPr>
          <w:p>
            <w:r>
              <w:t>投资运作管理、业绩表现</w:t>
            </w:r>
          </w:p>
        </w:tc>
        <w:tc>
          <w:tcPr>
            <w:tcW w:type="dxa" w:w="2160"/>
          </w:tcPr>
          <w:p>
            <w:r>
              <w:t>按业绩基准提取管理费分成+超额报酬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**筛选评估人**</w:t>
            </w:r>
          </w:p>
        </w:tc>
        <w:tc>
          <w:tcPr>
            <w:tcW w:type="dxa" w:w="2160"/>
          </w:tcPr>
          <w:p>
            <w:r>
              <w:t>私募管理人筛选、委外产品评估</w:t>
            </w:r>
          </w:p>
        </w:tc>
        <w:tc>
          <w:tcPr>
            <w:tcW w:type="dxa" w:w="2160"/>
          </w:tcPr>
          <w:p>
            <w:r>
              <w:t>按准入贡献×产品规模</w:t>
            </w:r>
          </w:p>
        </w:tc>
        <w:tc>
          <w:tcPr>
            <w:tcW w:type="dxa" w:w="2160"/>
          </w:tcPr>
          <w:p>
            <w:r>
              <w:t>模式三/五</w:t>
            </w:r>
          </w:p>
        </w:tc>
      </w:tr>
      <w:tr>
        <w:tc>
          <w:tcPr>
            <w:tcW w:type="dxa" w:w="2160"/>
          </w:tcPr>
          <w:p>
            <w:r>
              <w:t>**投后管理人**</w:t>
            </w:r>
          </w:p>
        </w:tc>
        <w:tc>
          <w:tcPr>
            <w:tcW w:type="dxa" w:w="2160"/>
          </w:tcPr>
          <w:p>
            <w:r>
              <w:t>投后监测、异常处置、持续报告</w:t>
            </w:r>
          </w:p>
        </w:tc>
        <w:tc>
          <w:tcPr>
            <w:tcW w:type="dxa" w:w="2160"/>
          </w:tcPr>
          <w:p>
            <w:r>
              <w:t>按监测质量×服务周期</w:t>
            </w:r>
          </w:p>
        </w:tc>
        <w:tc>
          <w:tcPr>
            <w:tcW w:type="dxa" w:w="2160"/>
          </w:tcPr>
          <w:p>
            <w:r>
              <w:t>模式三</w:t>
            </w:r>
          </w:p>
        </w:tc>
      </w:tr>
      <w:tr>
        <w:tc>
          <w:tcPr>
            <w:tcW w:type="dxa" w:w="2160"/>
          </w:tcPr>
          <w:p>
            <w:r>
              <w:t>**协作支持人**</w:t>
            </w:r>
          </w:p>
        </w:tc>
        <w:tc>
          <w:tcPr>
            <w:tcW w:type="dxa" w:w="2160"/>
          </w:tcPr>
          <w:p>
            <w:r>
              <w:t>专业支持（法务/合规咨询等）</w:t>
            </w:r>
          </w:p>
        </w:tc>
        <w:tc>
          <w:tcPr>
            <w:tcW w:type="dxa" w:w="2160"/>
          </w:tcPr>
          <w:p>
            <w:r>
              <w:t>按支持贡献一次性或按期计提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**平台运营方**</w:t>
            </w:r>
          </w:p>
        </w:tc>
        <w:tc>
          <w:tcPr>
            <w:tcW w:type="dxa" w:w="2160"/>
          </w:tcPr>
          <w:p>
            <w:r>
              <w:t>平台技术支撑、交易能力、牌照服务</w:t>
            </w:r>
          </w:p>
        </w:tc>
        <w:tc>
          <w:tcPr>
            <w:tcW w:type="dxa" w:w="2160"/>
          </w:tcPr>
          <w:p>
            <w:r>
              <w:t>按平台服务费率从产品收入中提取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</w:tbl>
    <w:p/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