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DC1D1B" w:rsidRPr="00DC1D1B" w:rsidRDefault="00DC1D1B" w:rsidP="00DC1D1B">
      <w:pPr>
        <w:rPr>
          <w:rFonts w:hint="eastAsia"/>
        </w:rPr>
      </w:pPr>
      <w:r w:rsidRPr="00DC1D1B">
        <w:rPr>
          <w:rFonts w:hint="eastAsia"/>
        </w:rPr>
        <w:t>控制模块对每个气缸启用相应的喷油器脉冲。向喷油器提供点火电压。控制模块通过被称为驱动器的固态装置使控制电路搭铁，以控制各喷油器。控制模块监测各驱动器的状态。如果控制模块检测到对应于驱动器指令状态的电压不正确，则设置一个喷油器控制电路故障诊断码。</w:t>
      </w:r>
    </w:p>
    <w:p w:rsidR="00C4309E" w:rsidRPr="00DC1D1B" w:rsidRDefault="00C4309E">
      <w:bookmarkStart w:id="0" w:name="_GoBack"/>
      <w:bookmarkEnd w:id="0"/>
    </w:p>
    <w:sectPr w:rsidR="00C4309E" w:rsidRPr="00DC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B4" w:rsidRDefault="006475B4" w:rsidP="0047139B">
      <w:r>
        <w:separator/>
      </w:r>
    </w:p>
  </w:endnote>
  <w:endnote w:type="continuationSeparator" w:id="0">
    <w:p w:rsidR="006475B4" w:rsidRDefault="006475B4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B4" w:rsidRDefault="006475B4" w:rsidP="0047139B">
      <w:r>
        <w:separator/>
      </w:r>
    </w:p>
  </w:footnote>
  <w:footnote w:type="continuationSeparator" w:id="0">
    <w:p w:rsidR="006475B4" w:rsidRDefault="006475B4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351DCF"/>
    <w:rsid w:val="00420EA8"/>
    <w:rsid w:val="0047139B"/>
    <w:rsid w:val="004B0FD5"/>
    <w:rsid w:val="00502EC0"/>
    <w:rsid w:val="006416FE"/>
    <w:rsid w:val="006475B4"/>
    <w:rsid w:val="00715F1F"/>
    <w:rsid w:val="00790AEE"/>
    <w:rsid w:val="00A974B4"/>
    <w:rsid w:val="00B3498A"/>
    <w:rsid w:val="00C4309E"/>
    <w:rsid w:val="00DC1D1B"/>
    <w:rsid w:val="00DD0D56"/>
    <w:rsid w:val="00E44120"/>
    <w:rsid w:val="00F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2016-08-08T01:27:00Z</dcterms:created>
  <dcterms:modified xsi:type="dcterms:W3CDTF">2016-08-09T09:51:00Z</dcterms:modified>
</cp:coreProperties>
</file>