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864"/>
          <w:sz w:val="40"/>
          <w:szCs w:val="40"/>
        </w:rPr>
        <w:t xml:space="preserve">THE COMPLETE SWING TRADING FRAMEWORK</w:t>
      </w:r>
    </w:p>
    <w:p>
      <w:pPr>
        <w:spacing w:after="120" w:before="0"/>
        <w:jc w:val="center"/>
      </w:pPr>
      <w:r>
        <w:rPr>
          <w:i/>
          <w:iCs/>
          <w:color w:val="2E75B6"/>
          <w:sz w:val="28"/>
          <w:szCs w:val="28"/>
        </w:rPr>
        <w:t xml:space="preserve">For Indian Equity Markets (NSE/BSE)</w:t>
      </w:r>
    </w:p>
    <w:p>
      <w:pPr>
        <w:spacing w:after="600" w:before="0"/>
        <w:jc w:val="center"/>
      </w:pPr>
      <w:r>
        <w:rPr>
          <w:color w:val="595959"/>
          <w:sz w:val="22"/>
          <w:szCs w:val="22"/>
        </w:rPr>
        <w:t xml:space="preserve">Research-Backed | Rule-Based | SEBI-Aware</w:t>
      </w:r>
    </w:p>
    <w:p>
      <w:pPr>
        <w:spacing w:after="120" w:before="0"/>
        <w:jc w:val="center"/>
      </w:pPr>
      <w:r>
        <w:rPr>
          <w:b/>
          <w:bCs/>
          <w:sz w:val="24"/>
          <w:szCs w:val="24"/>
        </w:rPr>
        <w:t xml:space="preserve">Prepared for: Investors Way</w:t>
      </w:r>
    </w:p>
    <w:p>
      <w:pPr>
        <w:spacing w:after="1200" w:before="0"/>
        <w:jc w:val="center"/>
      </w:pPr>
      <w:r>
        <w:rPr>
          <w:color w:val="595959"/>
          <w:sz w:val="22"/>
          <w:szCs w:val="22"/>
        </w:rPr>
        <w:t xml:space="preserve">Date: 17 April 2026</w:t>
      </w:r>
    </w:p>
    <w:p>
      <w:pPr>
        <w:jc w:val="center"/>
      </w:pPr>
      <w:r>
        <w:rPr>
          <w:i/>
          <w:iCs/>
          <w:color w:val="595959"/>
          <w:sz w:val="18"/>
          <w:szCs w:val="18"/>
        </w:rPr>
        <w:t xml:space="preserve">Educational content only. Not investment advice. Author is not a SEBI-registered Investment Adviser or Research Analyst.</w:t>
      </w:r>
    </w:p>
    <w:p>
      <w:r>
        <w:br w:type="page"/>
      </w:r>
    </w:p>
    <w:p>
      <w:pPr>
        <w:pStyle w:val="Heading1"/>
        <w:spacing w:after="180" w:before="360"/>
      </w:pPr>
      <w:r>
        <w:rPr>
          <w:b/>
          <w:bCs/>
          <w:color w:val="1F3864"/>
          <w:sz w:val="32"/>
          <w:szCs w:val="32"/>
        </w:rPr>
        <w:t xml:space="preserve">1. Executive Summary</w:t>
      </w:r>
    </w:p>
    <w:p>
      <w:pPr>
        <w:spacing w:after="80" w:before="80"/>
        <w:jc w:val="both"/>
      </w:pPr>
      <w:r>
        <w:rPr>
          <w:sz w:val="22"/>
          <w:szCs w:val="22"/>
        </w:rPr>
        <w:t xml:space="preserve">This framework delivers a complete end-to-end swing trading system for Indian equity markets, covering holding periods of 2-10 days. Every strategy recommended here is backed by at least one of: (a) peer-reviewed academic research, (b) published institutional backtest with disclosed methodology, or (c) publicly verifiable index-level performance data from NSE.</w:t>
      </w:r>
    </w:p>
    <w:p>
      <w:pPr>
        <w:spacing w:after="80" w:before="80"/>
        <w:jc w:val="both"/>
      </w:pPr>
      <w:r>
        <w:rPr>
          <w:sz w:val="22"/>
          <w:szCs w:val="22"/>
        </w:rPr>
        <w:t xml:space="preserve">A critical note upfront: the original brief asked for both 'swing trading' and 'intraday strategies with maximum winning percentage' in the same request. These are different game entirely — swing trades hold 2-10 days, intraday closes same-day. This document delivers SWING trading as the primary deliverable. A short intraday appendix is included at the end, but the rigorous backtested evidence across India concentrates in the medium-term momentum space.</w:t>
      </w:r>
    </w:p>
    <w:p>
      <w:pPr>
        <w:pStyle w:val="Heading3"/>
        <w:spacing w:after="100" w:before="180"/>
      </w:pPr>
      <w:r>
        <w:rPr>
          <w:b/>
          <w:bCs/>
          <w:color w:val="2E75B6"/>
          <w:sz w:val="22"/>
          <w:szCs w:val="22"/>
        </w:rPr>
        <w:t xml:space="preserve">Key findings from 10+ sources reviewed</w:t>
      </w:r>
    </w:p>
    <w:p>
      <w:pPr>
        <w:pStyle w:val="ListParagraph"/>
        <w:numPr>
          <w:ilvl w:val="0"/>
          <w:numId w:val="2"/>
        </w:numPr>
        <w:spacing w:after="40" w:before="40"/>
      </w:pPr>
      <w:r>
        <w:rPr>
          <w:b/>
          <w:bCs/>
          <w:sz w:val="22"/>
          <w:szCs w:val="22"/>
        </w:rPr>
        <w:t xml:space="preserve">Momentum works in India. </w:t>
      </w:r>
      <w:r>
        <w:rPr>
          <w:sz w:val="22"/>
          <w:szCs w:val="22"/>
        </w:rPr>
        <w:t xml:space="preserve">The NIFTY 200 Momentum 30 Index (live + backtested since April 2005) has delivered roughly 19.3% CAGR versus 14.3% for the NIFTY 200 TRI — a ~5% annual alpha over 20 years. This is the single strongest rule-based, verifiable evidence of an edge in Indian equities.</w:t>
      </w:r>
    </w:p>
    <w:p>
      <w:pPr>
        <w:pStyle w:val="ListParagraph"/>
        <w:numPr>
          <w:ilvl w:val="0"/>
          <w:numId w:val="2"/>
        </w:numPr>
        <w:spacing w:after="40" w:before="40"/>
      </w:pPr>
      <w:r>
        <w:rPr>
          <w:b/>
          <w:bCs/>
          <w:sz w:val="22"/>
          <w:szCs w:val="22"/>
        </w:rPr>
        <w:t xml:space="preserve">Rebalancing matters more than picking. </w:t>
      </w:r>
      <w:r>
        <w:rPr>
          <w:sz w:val="22"/>
          <w:szCs w:val="22"/>
        </w:rPr>
        <w:t xml:space="preserve">Raju &amp; Chandrasekaran (2019, SSRN) show momentum 'fades' within 3 months. Monthly or bi-weekly rebalancing is the engine that captures the premium.</w:t>
      </w:r>
    </w:p>
    <w:p>
      <w:pPr>
        <w:pStyle w:val="ListParagraph"/>
        <w:numPr>
          <w:ilvl w:val="0"/>
          <w:numId w:val="2"/>
        </w:numPr>
        <w:spacing w:after="40" w:before="40"/>
      </w:pPr>
      <w:r>
        <w:rPr>
          <w:b/>
          <w:bCs/>
          <w:sz w:val="22"/>
          <w:szCs w:val="22"/>
        </w:rPr>
        <w:t xml:space="preserve">Be suspicious of 80%+ win rates. </w:t>
      </w:r>
      <w:r>
        <w:rPr>
          <w:sz w:val="22"/>
          <w:szCs w:val="22"/>
        </w:rPr>
        <w:t xml:space="preserve">Genuine swing strategies on liquid Indian stocks cluster at 45-60% win rates with 1.5-2.5:1 reward-to-risk ratios. Anything claiming 91% win rate (seen in several blog posts) is either curve-fit, uses asymmetric SL, or cherry-picked.</w:t>
      </w:r>
    </w:p>
    <w:p>
      <w:pPr>
        <w:pStyle w:val="ListParagraph"/>
        <w:numPr>
          <w:ilvl w:val="0"/>
          <w:numId w:val="2"/>
        </w:numPr>
        <w:spacing w:after="40" w:before="40"/>
      </w:pPr>
      <w:r>
        <w:rPr>
          <w:b/>
          <w:bCs/>
          <w:sz w:val="22"/>
          <w:szCs w:val="22"/>
        </w:rPr>
        <w:t xml:space="preserve">Costs are the silent killer. </w:t>
      </w:r>
      <w:r>
        <w:rPr>
          <w:sz w:val="22"/>
          <w:szCs w:val="22"/>
        </w:rPr>
        <w:t xml:space="preserve">Slippage of 4-10 bps per trade can flip a marginal strategy from profitable to losing. STCG at 15% further reduces net returns.</w:t>
      </w:r>
    </w:p>
    <w:p>
      <w:pPr>
        <w:pStyle w:val="ListParagraph"/>
        <w:numPr>
          <w:ilvl w:val="0"/>
          <w:numId w:val="2"/>
        </w:numPr>
        <w:spacing w:after="40" w:before="40"/>
      </w:pPr>
      <w:r>
        <w:rPr>
          <w:b/>
          <w:bCs/>
          <w:sz w:val="22"/>
          <w:szCs w:val="22"/>
        </w:rPr>
        <w:t xml:space="preserve">SEBI is tightening the rules. </w:t>
      </w:r>
      <w:r>
        <w:rPr>
          <w:sz w:val="22"/>
          <w:szCs w:val="22"/>
        </w:rPr>
        <w:t xml:space="preserve">In December 2025, SEBI announced PaRRVA (Past Risk and Return Verification Agency) and moved to bar live market data in investor-education content. Any public content built on this framework must stay on the education side of the line and carry proper disclaimers.</w:t>
      </w:r>
    </w:p>
    <w:p>
      <w:r>
        <w:br w:type="page"/>
      </w:r>
    </w:p>
    <w:p>
      <w:pPr>
        <w:pStyle w:val="Heading1"/>
        <w:spacing w:after="180" w:before="360"/>
      </w:pPr>
      <w:r>
        <w:rPr>
          <w:b/>
          <w:bCs/>
          <w:color w:val="1F3864"/>
          <w:sz w:val="32"/>
          <w:szCs w:val="32"/>
        </w:rPr>
        <w:t xml:space="preserve">2. Top 3 Strategies — Comparison Table</w:t>
      </w:r>
    </w:p>
    <w:p>
      <w:pPr>
        <w:spacing w:after="80" w:before="80"/>
        <w:jc w:val="both"/>
      </w:pPr>
      <w:r>
        <w:rPr>
          <w:sz w:val="22"/>
          <w:szCs w:val="22"/>
        </w:rPr>
        <w:t xml:space="preserve">Ranked by risk-adjusted evidence quality, not by highest raw returns. All three are long-only (no leverage) and designed for swing/positional timeframes. The first is the 'core', the second is the 'opportunistic breakout overlay', the third is a 'mean-reversion hedge' that works in ranging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Metric</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1. NIFTY 200 Momentum 30 (Rule-Based)</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2. 52-Week High Breakout + Volume</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3. Mean-Reversion Pullback to 20-DMA</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Best market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Trending (Nifty above 50-DMA)</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Strongly trending + low VIX</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Ranging / post-correction</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Hold period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2-6 weeks (until rebalance)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3-15 trading days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3-10 trading days</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Evidence quality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 NSE index data, 20-yr live+backtest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 Academic support (Raju 2019) + long-standing Darvas/O'Neil methodology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 Concept well-documented; Indian-specific backtests mostly anecdotal</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CAGR (backtest)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~19.3% (index, 2005-2025)</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10.7% excess over Nifty100 (long-only momentum decile, Raju 2019)</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Not publicly backtested at scale; typical literature shows positive but modest edge</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Max drawdown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~30-35% during 2008, 2020, 2022</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30-50% in momentum crashes (Mar 2020, COVID)</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Generally lower (15-25%) but failure mode is trending markets</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Expected win rate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N/A (portfolio, not trade-level)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40-50% (trend following hallmark)</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55-65% (mean reversion hallmark)</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Reward-to-Risk</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~1.3x Sharpe (index-level)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~2-3R target on winners, -1R on losers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~1.5-2R target on winners</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Turnover/trades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Low (monthly-quarterly)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Medium (2-6 trades/month)</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Medium-High (3-8 trades/month)</w:t>
            </w:r>
          </w:p>
        </w:tc>
      </w:tr>
      <w:tr>
        <w:tc>
          <w:tcPr>
            <w:tcW w:type="dxa" w:w="180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Fails when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Market crash + sharp reversal ('momentum crash')</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Choppy/range-bound markets, sector rotation</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Strong trending markets with no pullbacks</w:t>
            </w:r>
          </w:p>
        </w:tc>
      </w:tr>
    </w:tbl>
    <w:p>
      <w:r>
        <w:br w:type="page"/>
      </w:r>
    </w:p>
    <w:p>
      <w:pPr>
        <w:pStyle w:val="Heading1"/>
        <w:spacing w:after="180" w:before="360"/>
      </w:pPr>
      <w:r>
        <w:rPr>
          <w:b/>
          <w:bCs/>
          <w:color w:val="1F3864"/>
          <w:sz w:val="32"/>
          <w:szCs w:val="32"/>
        </w:rPr>
        <w:t xml:space="preserve">3. Detailed Strategy Breakdowns</w:t>
      </w:r>
    </w:p>
    <w:p>
      <w:pPr>
        <w:pStyle w:val="Heading2"/>
        <w:spacing w:after="120" w:before="240"/>
      </w:pPr>
      <w:r>
        <w:rPr>
          <w:b/>
          <w:bCs/>
          <w:color w:val="1F3864"/>
          <w:sz w:val="26"/>
          <w:szCs w:val="26"/>
        </w:rPr>
        <w:t xml:space="preserve">Strategy 1 — NIFTY 200 Momentum 30 Rule Set (Adapted for Swing)</w:t>
      </w:r>
    </w:p>
    <w:p>
      <w:pPr>
        <w:pStyle w:val="Heading3"/>
        <w:spacing w:after="100" w:before="180"/>
      </w:pPr>
      <w:r>
        <w:rPr>
          <w:b/>
          <w:bCs/>
          <w:color w:val="2E75B6"/>
          <w:sz w:val="22"/>
          <w:szCs w:val="22"/>
        </w:rPr>
        <w:t xml:space="preserve">One-line thesis</w:t>
      </w:r>
    </w:p>
    <w:p>
      <w:pPr>
        <w:spacing w:after="80" w:before="80"/>
        <w:jc w:val="both"/>
      </w:pPr>
      <w:r>
        <w:rPr>
          <w:sz w:val="22"/>
          <w:szCs w:val="22"/>
        </w:rPr>
        <w:t xml:space="preserve">Buy the 30 stocks from Nifty 200 with the highest volatility-adjusted 6-month and 12-month returns. Rebalance monthly. Let the winners run, rotate out the laggards.</w:t>
      </w:r>
    </w:p>
    <w:p>
      <w:pPr>
        <w:pStyle w:val="Heading3"/>
        <w:spacing w:after="100" w:before="180"/>
      </w:pPr>
      <w:r>
        <w:rPr>
          <w:b/>
          <w:bCs/>
          <w:color w:val="2E75B6"/>
          <w:sz w:val="22"/>
          <w:szCs w:val="22"/>
        </w:rPr>
        <w:t xml:space="preserve">Why it works</w:t>
      </w:r>
    </w:p>
    <w:p>
      <w:pPr>
        <w:spacing w:after="80" w:before="80"/>
        <w:jc w:val="both"/>
      </w:pPr>
      <w:r>
        <w:rPr>
          <w:sz w:val="22"/>
          <w:szCs w:val="22"/>
        </w:rPr>
        <w:t xml:space="preserve">This is not a discretionary trade setup — it is the NSE Indices methodology that the Nifty200 Momentum 30 Index itself follows. The index combines two normalised momentum scores: the 6-month price return and the 12-month price return, each divided by the daily return volatility over the same period. This handles the 'low-quality penny stock' problem that kills naive momentum.</w:t>
      </w:r>
    </w:p>
    <w:p>
      <w:pPr>
        <w:pStyle w:val="Heading3"/>
        <w:spacing w:after="100" w:before="180"/>
      </w:pPr>
      <w:r>
        <w:rPr>
          <w:b/>
          <w:bCs/>
          <w:color w:val="2E75B6"/>
          <w:sz w:val="22"/>
          <w:szCs w:val="22"/>
        </w:rPr>
        <w:t xml:space="preserve">Market condition</w:t>
      </w:r>
    </w:p>
    <w:p>
      <w:pPr>
        <w:spacing w:after="80" w:before="80"/>
        <w:jc w:val="both"/>
      </w:pPr>
      <w:r>
        <w:rPr>
          <w:sz w:val="22"/>
          <w:szCs w:val="22"/>
        </w:rPr>
        <w:t xml:space="preserve">Works best in trending markets where Nifty is above its 50-day moving average. The failure mode is a 'momentum crash' — after a steep decline, low-quality rebounders briefly outperform winners. Daniel &amp; Moskowitz (2016) documented this; Indian equivalents include March 2020 and the April-May 2009 rebound.</w:t>
      </w:r>
    </w:p>
    <w:p>
      <w:pPr>
        <w:pStyle w:val="Heading3"/>
        <w:spacing w:after="100" w:before="180"/>
      </w:pPr>
      <w:r>
        <w:rPr>
          <w:b/>
          <w:bCs/>
          <w:color w:val="2E75B6"/>
          <w:sz w:val="22"/>
          <w:szCs w:val="22"/>
        </w:rPr>
        <w:t xml:space="preserve">Entry logic (exact rules)</w:t>
      </w:r>
    </w:p>
    <w:p>
      <w:pPr>
        <w:pStyle w:val="ListParagraph"/>
        <w:numPr>
          <w:ilvl w:val="0"/>
          <w:numId w:val="2"/>
        </w:numPr>
        <w:spacing w:after="40" w:before="40"/>
      </w:pPr>
      <w:r>
        <w:rPr>
          <w:sz w:val="22"/>
          <w:szCs w:val="22"/>
        </w:rPr>
        <w:t xml:space="preserve">Universe: NSE Nifty 200 stocks only (liquid large/midcaps).</w:t>
      </w:r>
    </w:p>
    <w:p>
      <w:pPr>
        <w:pStyle w:val="ListParagraph"/>
        <w:numPr>
          <w:ilvl w:val="0"/>
          <w:numId w:val="2"/>
        </w:numPr>
        <w:spacing w:after="40" w:before="40"/>
      </w:pPr>
      <w:r>
        <w:rPr>
          <w:sz w:val="22"/>
          <w:szCs w:val="22"/>
        </w:rPr>
        <w:t xml:space="preserve">On the last trading day of each month, compute for every stock: (6-month return ÷ 6-month daily return stdev) and (12-month return ÷ 12-month daily return stdev).</w:t>
      </w:r>
    </w:p>
    <w:p>
      <w:pPr>
        <w:pStyle w:val="ListParagraph"/>
        <w:numPr>
          <w:ilvl w:val="0"/>
          <w:numId w:val="2"/>
        </w:numPr>
        <w:spacing w:after="40" w:before="40"/>
      </w:pPr>
      <w:r>
        <w:rPr>
          <w:sz w:val="22"/>
          <w:szCs w:val="22"/>
        </w:rPr>
        <w:t xml:space="preserve">Normalise both scores across the universe (z-score each).</w:t>
      </w:r>
    </w:p>
    <w:p>
      <w:pPr>
        <w:pStyle w:val="ListParagraph"/>
        <w:numPr>
          <w:ilvl w:val="0"/>
          <w:numId w:val="2"/>
        </w:numPr>
        <w:spacing w:after="40" w:before="40"/>
      </w:pPr>
      <w:r>
        <w:rPr>
          <w:sz w:val="22"/>
          <w:szCs w:val="22"/>
        </w:rPr>
        <w:t xml:space="preserve">Rank stocks by the average of these two z-scores.</w:t>
      </w:r>
    </w:p>
    <w:p>
      <w:pPr>
        <w:pStyle w:val="ListParagraph"/>
        <w:numPr>
          <w:ilvl w:val="0"/>
          <w:numId w:val="2"/>
        </w:numPr>
        <w:spacing w:after="40" w:before="40"/>
      </w:pPr>
      <w:r>
        <w:rPr>
          <w:sz w:val="22"/>
          <w:szCs w:val="22"/>
        </w:rPr>
        <w:t xml:space="preserve">Hold the top 30 stocks, equal-weighted (or cap-weighted if you are running meaningful size).</w:t>
      </w:r>
    </w:p>
    <w:p>
      <w:pPr>
        <w:pStyle w:val="ListParagraph"/>
        <w:numPr>
          <w:ilvl w:val="0"/>
          <w:numId w:val="2"/>
        </w:numPr>
        <w:spacing w:after="40" w:before="40"/>
      </w:pPr>
      <w:r>
        <w:rPr>
          <w:sz w:val="22"/>
          <w:szCs w:val="22"/>
        </w:rPr>
        <w:t xml:space="preserve">For a 'swing' adaptation (smaller portfolio, 5-10 stocks): pick the top 5-10 by the same score and rebalance every 2 weeks.</w:t>
      </w:r>
    </w:p>
    <w:p>
      <w:pPr>
        <w:pStyle w:val="Heading3"/>
        <w:spacing w:after="100" w:before="180"/>
      </w:pPr>
      <w:r>
        <w:rPr>
          <w:b/>
          <w:bCs/>
          <w:color w:val="2E75B6"/>
          <w:sz w:val="22"/>
          <w:szCs w:val="22"/>
        </w:rPr>
        <w:t xml:space="preserve">Exit logic</w:t>
      </w:r>
    </w:p>
    <w:p>
      <w:pPr>
        <w:pStyle w:val="ListParagraph"/>
        <w:numPr>
          <w:ilvl w:val="0"/>
          <w:numId w:val="2"/>
        </w:numPr>
        <w:spacing w:after="40" w:before="40"/>
      </w:pPr>
      <w:r>
        <w:rPr>
          <w:sz w:val="22"/>
          <w:szCs w:val="22"/>
        </w:rPr>
        <w:t xml:space="preserve">Rebalance-driven exit: stock drops out of the top 30 (or top 5-10 for swing variant) at the next rebalance date. No daily stop-loss.</w:t>
      </w:r>
    </w:p>
    <w:p>
      <w:pPr>
        <w:pStyle w:val="ListParagraph"/>
        <w:numPr>
          <w:ilvl w:val="0"/>
          <w:numId w:val="2"/>
        </w:numPr>
        <w:spacing w:after="40" w:before="40"/>
      </w:pPr>
      <w:r>
        <w:rPr>
          <w:sz w:val="22"/>
          <w:szCs w:val="22"/>
        </w:rPr>
        <w:t xml:space="preserve">Optional portfolio-level regime stop: exit to cash if Nifty closes below its 200-DMA on a weekly basis (dramatically reduces drawdown, as shown in the Raju 2019 paper).</w:t>
      </w:r>
    </w:p>
    <w:p>
      <w:pPr>
        <w:pStyle w:val="Heading3"/>
        <w:spacing w:after="100" w:before="180"/>
      </w:pPr>
      <w:r>
        <w:rPr>
          <w:b/>
          <w:bCs/>
          <w:color w:val="2E75B6"/>
          <w:sz w:val="22"/>
          <w:szCs w:val="22"/>
        </w:rPr>
        <w:t xml:space="preserve">Backtested metrics (verifiable)</w:t>
      </w:r>
    </w:p>
    <w:p>
      <w:pPr>
        <w:pStyle w:val="ListParagraph"/>
        <w:numPr>
          <w:ilvl w:val="0"/>
          <w:numId w:val="2"/>
        </w:numPr>
        <w:spacing w:after="40" w:before="40"/>
      </w:pPr>
      <w:r>
        <w:rPr>
          <w:b/>
          <w:bCs/>
          <w:sz w:val="22"/>
          <w:szCs w:val="22"/>
        </w:rPr>
        <w:t xml:space="preserve">CAGR (Apr 2005 – Sep 2025): </w:t>
      </w:r>
      <w:r>
        <w:rPr>
          <w:sz w:val="22"/>
          <w:szCs w:val="22"/>
        </w:rPr>
        <w:t xml:space="preserve">19.3% for NIFTY 200 Momentum 30 TRI vs 14.3% for Nifty 200 TRI (Source: HDFC AMC leaflet, Oct 2025, citing NSE Indices data).</w:t>
      </w:r>
    </w:p>
    <w:p>
      <w:pPr>
        <w:pStyle w:val="ListParagraph"/>
        <w:numPr>
          <w:ilvl w:val="0"/>
          <w:numId w:val="2"/>
        </w:numPr>
        <w:spacing w:after="40" w:before="40"/>
      </w:pPr>
      <w:r>
        <w:rPr>
          <w:sz w:val="22"/>
          <w:szCs w:val="22"/>
        </w:rPr>
        <w:t xml:space="preserve">15-year CAGR: ~21-22% (several AMC product sheets).</w:t>
      </w:r>
    </w:p>
    <w:p>
      <w:pPr>
        <w:pStyle w:val="ListParagraph"/>
        <w:numPr>
          <w:ilvl w:val="0"/>
          <w:numId w:val="2"/>
        </w:numPr>
        <w:spacing w:after="40" w:before="40"/>
      </w:pPr>
      <w:r>
        <w:rPr>
          <w:sz w:val="22"/>
          <w:szCs w:val="22"/>
        </w:rPr>
        <w:t xml:space="preserve">Long-only decile approach on Nifty 100 (Raju &amp; Chandrasekaran 2019, SSRN): 10.70% p.a. outperformance vs Nifty 100 with mean 32.10% monthly turnover.</w:t>
      </w:r>
    </w:p>
    <w:p>
      <w:pPr>
        <w:pStyle w:val="ListParagraph"/>
        <w:numPr>
          <w:ilvl w:val="0"/>
          <w:numId w:val="2"/>
        </w:numPr>
        <w:spacing w:after="40" w:before="40"/>
      </w:pPr>
      <w:r>
        <w:rPr>
          <w:sz w:val="22"/>
          <w:szCs w:val="22"/>
        </w:rPr>
        <w:t xml:space="preserve">Caveat: NSE's own whitepaper acknowledges that a large portion of the pre-2015 track record is backtested (the index was launched later).</w:t>
      </w:r>
    </w:p>
    <w:p>
      <w:pPr>
        <w:pStyle w:val="Heading3"/>
        <w:spacing w:after="100" w:before="180"/>
      </w:pPr>
      <w:r>
        <w:rPr>
          <w:b/>
          <w:bCs/>
          <w:color w:val="2E75B6"/>
          <w:sz w:val="22"/>
          <w:szCs w:val="22"/>
        </w:rPr>
        <w:t xml:space="preserve">Failure modes</w:t>
      </w:r>
    </w:p>
    <w:p>
      <w:pPr>
        <w:pStyle w:val="ListParagraph"/>
        <w:numPr>
          <w:ilvl w:val="0"/>
          <w:numId w:val="2"/>
        </w:numPr>
        <w:spacing w:after="40" w:before="40"/>
      </w:pPr>
      <w:r>
        <w:rPr>
          <w:sz w:val="22"/>
          <w:szCs w:val="22"/>
        </w:rPr>
        <w:t xml:space="preserve">1-year returns at tops of cycles have been deeply negative (e.g. ~-20% in the year ending Sep 2025 on the index itself).</w:t>
      </w:r>
    </w:p>
    <w:p>
      <w:pPr>
        <w:pStyle w:val="ListParagraph"/>
        <w:numPr>
          <w:ilvl w:val="0"/>
          <w:numId w:val="2"/>
        </w:numPr>
        <w:spacing w:after="40" w:before="40"/>
      </w:pPr>
      <w:r>
        <w:rPr>
          <w:sz w:val="22"/>
          <w:szCs w:val="22"/>
        </w:rPr>
        <w:t xml:space="preserve">Momentum crashes: March-April 2009, March-April 2020, post-sharp-correction rebounds.</w:t>
      </w:r>
    </w:p>
    <w:p>
      <w:pPr>
        <w:pStyle w:val="ListParagraph"/>
        <w:numPr>
          <w:ilvl w:val="0"/>
          <w:numId w:val="2"/>
        </w:numPr>
        <w:spacing w:after="40" w:before="40"/>
      </w:pPr>
      <w:r>
        <w:rPr>
          <w:sz w:val="22"/>
          <w:szCs w:val="22"/>
        </w:rPr>
        <w:t xml:space="preserve">Frequent rebalancing generates turnover costs — the SSRN paper models this explicitly and shows the edge survives with discount-broker costs.</w:t>
      </w:r>
    </w:p>
    <w:p>
      <w:r>
        <w:br w:type="page"/>
      </w:r>
    </w:p>
    <w:p>
      <w:pPr>
        <w:pStyle w:val="Heading2"/>
        <w:spacing w:after="120" w:before="240"/>
      </w:pPr>
      <w:r>
        <w:rPr>
          <w:b/>
          <w:bCs/>
          <w:color w:val="1F3864"/>
          <w:sz w:val="26"/>
          <w:szCs w:val="26"/>
        </w:rPr>
        <w:t xml:space="preserve">Strategy 2 — 52-Week High Breakout With Volume Confirmation</w:t>
      </w:r>
    </w:p>
    <w:p>
      <w:pPr>
        <w:pStyle w:val="Heading3"/>
        <w:spacing w:after="100" w:before="180"/>
      </w:pPr>
      <w:r>
        <w:rPr>
          <w:b/>
          <w:bCs/>
          <w:color w:val="2E75B6"/>
          <w:sz w:val="22"/>
          <w:szCs w:val="22"/>
        </w:rPr>
        <w:t xml:space="preserve">One-line thesis</w:t>
      </w:r>
    </w:p>
    <w:p>
      <w:pPr>
        <w:spacing w:after="80" w:before="80"/>
        <w:jc w:val="both"/>
      </w:pPr>
      <w:r>
        <w:rPr>
          <w:sz w:val="22"/>
          <w:szCs w:val="22"/>
        </w:rPr>
        <w:t xml:space="preserve">When a liquid stock breaks out to a new 52-week high on heavy volume after a tight multi-week consolidation, it is more likely to continue up than reverse. Enter on the breakout, risk to the base.</w:t>
      </w:r>
    </w:p>
    <w:p>
      <w:pPr>
        <w:pStyle w:val="Heading3"/>
        <w:spacing w:after="100" w:before="180"/>
      </w:pPr>
      <w:r>
        <w:rPr>
          <w:b/>
          <w:bCs/>
          <w:color w:val="2E75B6"/>
          <w:sz w:val="22"/>
          <w:szCs w:val="22"/>
        </w:rPr>
        <w:t xml:space="preserve">Why it works</w:t>
      </w:r>
    </w:p>
    <w:p>
      <w:pPr>
        <w:spacing w:after="80" w:before="80"/>
        <w:jc w:val="both"/>
      </w:pPr>
      <w:r>
        <w:rPr>
          <w:sz w:val="22"/>
          <w:szCs w:val="22"/>
        </w:rPr>
        <w:t xml:space="preserve">Behaviorally, 52-week highs are psychological reference points for investors holding losses from prior peaks. When price clears them, resistance converts to support. Academically, this is the same underlying momentum factor as Strategy 1, but applied at the individual trade level with a tighter stop. This is the classic O'Neil / Darvas / Minervini / Weinstein 'Stage 2 breakout' template.</w:t>
      </w:r>
    </w:p>
    <w:p>
      <w:pPr>
        <w:pStyle w:val="Heading3"/>
        <w:spacing w:after="100" w:before="180"/>
      </w:pPr>
      <w:r>
        <w:rPr>
          <w:b/>
          <w:bCs/>
          <w:color w:val="2E75B6"/>
          <w:sz w:val="22"/>
          <w:szCs w:val="22"/>
        </w:rPr>
        <w:t xml:space="preserve">Market condition</w:t>
      </w:r>
    </w:p>
    <w:p>
      <w:pPr>
        <w:spacing w:after="80" w:before="80"/>
        <w:jc w:val="both"/>
      </w:pPr>
      <w:r>
        <w:rPr>
          <w:sz w:val="22"/>
          <w:szCs w:val="22"/>
        </w:rPr>
        <w:t xml:space="preserve">Requires a trending broader market. If the Nifty 500 breadth is deteriorating (i.e. count of stocks making new 52-week highs is dropping while the index is flat/up), the strategy loses its edge.</w:t>
      </w:r>
    </w:p>
    <w:p>
      <w:pPr>
        <w:pStyle w:val="Heading3"/>
        <w:spacing w:after="100" w:before="180"/>
      </w:pPr>
      <w:r>
        <w:rPr>
          <w:b/>
          <w:bCs/>
          <w:color w:val="2E75B6"/>
          <w:sz w:val="22"/>
          <w:szCs w:val="22"/>
        </w:rPr>
        <w:t xml:space="preserve">Entry rules</w:t>
      </w:r>
    </w:p>
    <w:p>
      <w:pPr>
        <w:pStyle w:val="ListParagraph"/>
        <w:numPr>
          <w:ilvl w:val="0"/>
          <w:numId w:val="2"/>
        </w:numPr>
        <w:spacing w:after="40" w:before="40"/>
      </w:pPr>
      <w:r>
        <w:rPr>
          <w:sz w:val="22"/>
          <w:szCs w:val="22"/>
        </w:rPr>
        <w:t xml:space="preserve">Universe: Nifty 500 stocks with 20-day average daily turnover ≥ ₹5 crore (liquidity filter).</w:t>
      </w:r>
    </w:p>
    <w:p>
      <w:pPr>
        <w:pStyle w:val="ListParagraph"/>
        <w:numPr>
          <w:ilvl w:val="0"/>
          <w:numId w:val="2"/>
        </w:numPr>
        <w:spacing w:after="40" w:before="40"/>
      </w:pPr>
      <w:r>
        <w:rPr>
          <w:sz w:val="22"/>
          <w:szCs w:val="22"/>
        </w:rPr>
        <w:t xml:space="preserve">Price closes above its 52-week high on a daily candle.</w:t>
      </w:r>
    </w:p>
    <w:p>
      <w:pPr>
        <w:pStyle w:val="ListParagraph"/>
        <w:numPr>
          <w:ilvl w:val="0"/>
          <w:numId w:val="2"/>
        </w:numPr>
        <w:spacing w:after="40" w:before="40"/>
      </w:pPr>
      <w:r>
        <w:rPr>
          <w:sz w:val="22"/>
          <w:szCs w:val="22"/>
        </w:rPr>
        <w:t xml:space="preserve">That breakout day's volume is ≥ 1.5× the 50-day average volume.</w:t>
      </w:r>
    </w:p>
    <w:p>
      <w:pPr>
        <w:pStyle w:val="ListParagraph"/>
        <w:numPr>
          <w:ilvl w:val="0"/>
          <w:numId w:val="2"/>
        </w:numPr>
        <w:spacing w:after="40" w:before="40"/>
      </w:pPr>
      <w:r>
        <w:rPr>
          <w:sz w:val="22"/>
          <w:szCs w:val="22"/>
        </w:rPr>
        <w:t xml:space="preserve">Stock is above its 50-DMA and 200-DMA (both rising), confirming Weinstein Stage 2.</w:t>
      </w:r>
    </w:p>
    <w:p>
      <w:pPr>
        <w:pStyle w:val="ListParagraph"/>
        <w:numPr>
          <w:ilvl w:val="0"/>
          <w:numId w:val="2"/>
        </w:numPr>
        <w:spacing w:after="40" w:before="40"/>
      </w:pPr>
      <w:r>
        <w:rPr>
          <w:sz w:val="22"/>
          <w:szCs w:val="22"/>
        </w:rPr>
        <w:t xml:space="preserve">The prior base (consolidation) must have lasted at least 3 weeks.</w:t>
      </w:r>
    </w:p>
    <w:p>
      <w:pPr>
        <w:pStyle w:val="ListParagraph"/>
        <w:numPr>
          <w:ilvl w:val="0"/>
          <w:numId w:val="2"/>
        </w:numPr>
        <w:spacing w:after="40" w:before="40"/>
      </w:pPr>
      <w:r>
        <w:rPr>
          <w:sz w:val="22"/>
          <w:szCs w:val="22"/>
        </w:rPr>
        <w:t xml:space="preserve">Nifty 50 must be above its own 50-DMA (regime filter).</w:t>
      </w:r>
    </w:p>
    <w:p>
      <w:pPr>
        <w:pStyle w:val="ListParagraph"/>
        <w:numPr>
          <w:ilvl w:val="0"/>
          <w:numId w:val="2"/>
        </w:numPr>
        <w:spacing w:after="40" w:before="40"/>
      </w:pPr>
      <w:r>
        <w:rPr>
          <w:sz w:val="22"/>
          <w:szCs w:val="22"/>
        </w:rPr>
        <w:t xml:space="preserve">Trigger: enter at next day's open, OR on the intraday break of the breakout day's high.</w:t>
      </w:r>
    </w:p>
    <w:p>
      <w:pPr>
        <w:pStyle w:val="Heading3"/>
        <w:spacing w:after="100" w:before="180"/>
      </w:pPr>
      <w:r>
        <w:rPr>
          <w:b/>
          <w:bCs/>
          <w:color w:val="2E75B6"/>
          <w:sz w:val="22"/>
          <w:szCs w:val="22"/>
        </w:rPr>
        <w:t xml:space="preserve">Exit rules</w:t>
      </w:r>
    </w:p>
    <w:p>
      <w:pPr>
        <w:pStyle w:val="ListParagraph"/>
        <w:numPr>
          <w:ilvl w:val="0"/>
          <w:numId w:val="2"/>
        </w:numPr>
        <w:spacing w:after="40" w:before="40"/>
      </w:pPr>
      <w:r>
        <w:rPr>
          <w:sz w:val="22"/>
          <w:szCs w:val="22"/>
        </w:rPr>
        <w:t xml:space="preserve">Initial stop-loss: the low of the breakout candle, OR the most recent swing low (whichever is closer). Typically this is 4-8% below entry.</w:t>
      </w:r>
    </w:p>
    <w:p>
      <w:pPr>
        <w:pStyle w:val="ListParagraph"/>
        <w:numPr>
          <w:ilvl w:val="0"/>
          <w:numId w:val="2"/>
        </w:numPr>
        <w:spacing w:after="40" w:before="40"/>
      </w:pPr>
      <w:r>
        <w:rPr>
          <w:sz w:val="22"/>
          <w:szCs w:val="22"/>
        </w:rPr>
        <w:t xml:space="preserve">Target 1 (book 50%): 1.5× ATR(14) above entry, or the first Fibonacci extension.</w:t>
      </w:r>
    </w:p>
    <w:p>
      <w:pPr>
        <w:pStyle w:val="ListParagraph"/>
        <w:numPr>
          <w:ilvl w:val="0"/>
          <w:numId w:val="2"/>
        </w:numPr>
        <w:spacing w:after="40" w:before="40"/>
      </w:pPr>
      <w:r>
        <w:rPr>
          <w:sz w:val="22"/>
          <w:szCs w:val="22"/>
        </w:rPr>
        <w:t xml:space="preserve">Target 2 (trail remaining 50%): trail the stop at either the 10-EMA on daily close, or the 20-day low, whichever is higher. Exit if price closes below 10-EMA for 2 consecutive days.</w:t>
      </w:r>
    </w:p>
    <w:p>
      <w:pPr>
        <w:pStyle w:val="ListParagraph"/>
        <w:numPr>
          <w:ilvl w:val="0"/>
          <w:numId w:val="2"/>
        </w:numPr>
        <w:spacing w:after="40" w:before="40"/>
      </w:pPr>
      <w:r>
        <w:rPr>
          <w:sz w:val="22"/>
          <w:szCs w:val="22"/>
        </w:rPr>
        <w:t xml:space="preserve">Time stop: exit if no progress after 15 trading days.</w:t>
      </w:r>
    </w:p>
    <w:p>
      <w:pPr>
        <w:pStyle w:val="Heading3"/>
        <w:spacing w:after="100" w:before="180"/>
      </w:pPr>
      <w:r>
        <w:rPr>
          <w:b/>
          <w:bCs/>
          <w:color w:val="2E75B6"/>
          <w:sz w:val="22"/>
          <w:szCs w:val="22"/>
        </w:rPr>
        <w:t xml:space="preserve">Backtested metrics</w:t>
      </w:r>
    </w:p>
    <w:p>
      <w:pPr>
        <w:pStyle w:val="ListParagraph"/>
        <w:numPr>
          <w:ilvl w:val="0"/>
          <w:numId w:val="2"/>
        </w:numPr>
        <w:spacing w:after="40" w:before="40"/>
      </w:pPr>
      <w:r>
        <w:rPr>
          <w:b/>
          <w:bCs/>
          <w:sz w:val="22"/>
          <w:szCs w:val="22"/>
        </w:rPr>
        <w:t xml:space="preserve">Academic support: </w:t>
      </w:r>
      <w:r>
        <w:rPr>
          <w:sz w:val="22"/>
          <w:szCs w:val="22"/>
        </w:rPr>
        <w:t xml:space="preserve">Raju &amp; Chandrasekaran (2019) show that NIFTY 100 momentum portfolios outperform by 10.70% p.a. — 52-week high screens are a standard operationalisation of this.</w:t>
      </w:r>
    </w:p>
    <w:p>
      <w:pPr>
        <w:pStyle w:val="ListParagraph"/>
        <w:numPr>
          <w:ilvl w:val="0"/>
          <w:numId w:val="2"/>
        </w:numPr>
        <w:spacing w:after="40" w:before="40"/>
      </w:pPr>
      <w:r>
        <w:rPr>
          <w:b/>
          <w:bCs/>
          <w:sz w:val="22"/>
          <w:szCs w:val="22"/>
        </w:rPr>
        <w:t xml:space="preserve">Caveat: </w:t>
      </w:r>
      <w:r>
        <w:rPr>
          <w:i/>
          <w:iCs/>
          <w:sz w:val="22"/>
          <w:szCs w:val="22"/>
        </w:rPr>
        <w:t xml:space="preserve">I could not find a single publicly-verifiable trade-level backtest of a rule-based 52-week high breakout strategy on Nifty 500 stocks with transaction costs, published sample size, and held to scientific standards. Most 'backtests' online are either screenshots without methodology or marketing for paid courses. Users should run their own backtest on platforms like Streak, Tradetron, or AlgoTest before deploying live capital.</w:t>
      </w:r>
    </w:p>
    <w:p>
      <w:pPr>
        <w:pStyle w:val="ListParagraph"/>
        <w:numPr>
          <w:ilvl w:val="0"/>
          <w:numId w:val="2"/>
        </w:numPr>
        <w:spacing w:after="40" w:before="40"/>
      </w:pPr>
      <w:r>
        <w:rPr>
          <w:sz w:val="22"/>
          <w:szCs w:val="22"/>
        </w:rPr>
        <w:t xml:space="preserve">Expected profile (based on international studies of the same setup, e.g. O'Neil CAN SLIM): 40-50% win rate, ~2-3R average winner, ~1R average loser.</w:t>
      </w:r>
    </w:p>
    <w:p>
      <w:pPr>
        <w:pStyle w:val="Heading3"/>
        <w:spacing w:after="100" w:before="180"/>
      </w:pPr>
      <w:r>
        <w:rPr>
          <w:b/>
          <w:bCs/>
          <w:color w:val="2E75B6"/>
          <w:sz w:val="22"/>
          <w:szCs w:val="22"/>
        </w:rPr>
        <w:t xml:space="preserve">Failure modes</w:t>
      </w:r>
    </w:p>
    <w:p>
      <w:pPr>
        <w:pStyle w:val="ListParagraph"/>
        <w:numPr>
          <w:ilvl w:val="0"/>
          <w:numId w:val="2"/>
        </w:numPr>
        <w:spacing w:after="40" w:before="40"/>
      </w:pPr>
      <w:r>
        <w:rPr>
          <w:sz w:val="22"/>
          <w:szCs w:val="22"/>
        </w:rPr>
        <w:t xml:space="preserve">Whipsaw markets: price breaks out, reverses back into the base, stops you out, then rallies without you.</w:t>
      </w:r>
    </w:p>
    <w:p>
      <w:pPr>
        <w:pStyle w:val="ListParagraph"/>
        <w:numPr>
          <w:ilvl w:val="0"/>
          <w:numId w:val="2"/>
        </w:numPr>
        <w:spacing w:after="40" w:before="40"/>
      </w:pPr>
      <w:r>
        <w:rPr>
          <w:sz w:val="22"/>
          <w:szCs w:val="22"/>
        </w:rPr>
        <w:t xml:space="preserve">Fake breakouts on low volume — this is why the 1.5× volume filter is non-negotiable.</w:t>
      </w:r>
    </w:p>
    <w:p>
      <w:pPr>
        <w:pStyle w:val="ListParagraph"/>
        <w:numPr>
          <w:ilvl w:val="0"/>
          <w:numId w:val="2"/>
        </w:numPr>
        <w:spacing w:after="40" w:before="40"/>
      </w:pPr>
      <w:r>
        <w:rPr>
          <w:sz w:val="22"/>
          <w:szCs w:val="22"/>
        </w:rPr>
        <w:t xml:space="preserve">High India VIX environments (&gt; 20) tend to produce more failed breakouts.</w:t>
      </w:r>
    </w:p>
    <w:p>
      <w:r>
        <w:br w:type="page"/>
      </w:r>
    </w:p>
    <w:p>
      <w:pPr>
        <w:pStyle w:val="Heading2"/>
        <w:spacing w:after="120" w:before="240"/>
      </w:pPr>
      <w:r>
        <w:rPr>
          <w:b/>
          <w:bCs/>
          <w:color w:val="1F3864"/>
          <w:sz w:val="26"/>
          <w:szCs w:val="26"/>
        </w:rPr>
        <w:t xml:space="preserve">Strategy 3 — Pullback to 20-DMA in Uptrending Stocks (Mean-Reversion Within Trend)</w:t>
      </w:r>
    </w:p>
    <w:p>
      <w:pPr>
        <w:pStyle w:val="Heading3"/>
        <w:spacing w:after="100" w:before="180"/>
      </w:pPr>
      <w:r>
        <w:rPr>
          <w:b/>
          <w:bCs/>
          <w:color w:val="2E75B6"/>
          <w:sz w:val="22"/>
          <w:szCs w:val="22"/>
        </w:rPr>
        <w:t xml:space="preserve">One-line thesis</w:t>
      </w:r>
    </w:p>
    <w:p>
      <w:pPr>
        <w:spacing w:after="80" w:before="80"/>
        <w:jc w:val="both"/>
      </w:pPr>
      <w:r>
        <w:rPr>
          <w:sz w:val="22"/>
          <w:szCs w:val="22"/>
        </w:rPr>
        <w:t xml:space="preserve">In a stock that is in a confirmed uptrend, a shallow pullback to the 20-day moving average is a high-probability swing entry. Buy the dip, risk the swing low, target the prior high.</w:t>
      </w:r>
    </w:p>
    <w:p>
      <w:pPr>
        <w:pStyle w:val="Heading3"/>
        <w:spacing w:after="100" w:before="180"/>
      </w:pPr>
      <w:r>
        <w:rPr>
          <w:b/>
          <w:bCs/>
          <w:color w:val="2E75B6"/>
          <w:sz w:val="22"/>
          <w:szCs w:val="22"/>
        </w:rPr>
        <w:t xml:space="preserve">Why it works</w:t>
      </w:r>
    </w:p>
    <w:p>
      <w:pPr>
        <w:spacing w:after="80" w:before="80"/>
        <w:jc w:val="both"/>
      </w:pPr>
      <w:r>
        <w:rPr>
          <w:sz w:val="22"/>
          <w:szCs w:val="22"/>
        </w:rPr>
        <w:t xml:space="preserve">Short-term mean reversion is documented even in trending markets. Connors' RSI(2) research in the US (2008) and multiple Indian-market adaptations on TradingView show that in stocks trading above their 200-DMA, pullbacks to the 20-DMA with RSI(2) below 10 bounce with greater-than-chance frequency.</w:t>
      </w:r>
    </w:p>
    <w:p>
      <w:pPr>
        <w:pStyle w:val="Heading3"/>
        <w:spacing w:after="100" w:before="180"/>
      </w:pPr>
      <w:r>
        <w:rPr>
          <w:b/>
          <w:bCs/>
          <w:color w:val="2E75B6"/>
          <w:sz w:val="22"/>
          <w:szCs w:val="22"/>
        </w:rPr>
        <w:t xml:space="preserve">Market condition</w:t>
      </w:r>
    </w:p>
    <w:p>
      <w:pPr>
        <w:spacing w:after="80" w:before="80"/>
        <w:jc w:val="both"/>
      </w:pPr>
      <w:r>
        <w:rPr>
          <w:sz w:val="22"/>
          <w:szCs w:val="22"/>
        </w:rPr>
        <w:t xml:space="preserve">Paradoxically, this works in both trending and ranging markets — but with different expectations. In trending markets, targets are wider (prior swing high). In ranges, take profits quickly at resistance.</w:t>
      </w:r>
    </w:p>
    <w:p>
      <w:pPr>
        <w:pStyle w:val="Heading3"/>
        <w:spacing w:after="100" w:before="180"/>
      </w:pPr>
      <w:r>
        <w:rPr>
          <w:b/>
          <w:bCs/>
          <w:color w:val="2E75B6"/>
          <w:sz w:val="22"/>
          <w:szCs w:val="22"/>
        </w:rPr>
        <w:t xml:space="preserve">Entry rules</w:t>
      </w:r>
    </w:p>
    <w:p>
      <w:pPr>
        <w:pStyle w:val="ListParagraph"/>
        <w:numPr>
          <w:ilvl w:val="0"/>
          <w:numId w:val="2"/>
        </w:numPr>
        <w:spacing w:after="40" w:before="40"/>
      </w:pPr>
      <w:r>
        <w:rPr>
          <w:sz w:val="22"/>
          <w:szCs w:val="22"/>
        </w:rPr>
        <w:t xml:space="preserve">Universe: Nifty 500 stocks with ≥ ₹5 crore daily turnover.</w:t>
      </w:r>
    </w:p>
    <w:p>
      <w:pPr>
        <w:pStyle w:val="ListParagraph"/>
        <w:numPr>
          <w:ilvl w:val="0"/>
          <w:numId w:val="2"/>
        </w:numPr>
        <w:spacing w:after="40" w:before="40"/>
      </w:pPr>
      <w:r>
        <w:rPr>
          <w:sz w:val="22"/>
          <w:szCs w:val="22"/>
        </w:rPr>
        <w:t xml:space="preserve">Stock is above its 200-DMA AND above its 50-DMA (long-term and medium-term uptrend).</w:t>
      </w:r>
    </w:p>
    <w:p>
      <w:pPr>
        <w:pStyle w:val="ListParagraph"/>
        <w:numPr>
          <w:ilvl w:val="0"/>
          <w:numId w:val="2"/>
        </w:numPr>
        <w:spacing w:after="40" w:before="40"/>
      </w:pPr>
      <w:r>
        <w:rPr>
          <w:sz w:val="22"/>
          <w:szCs w:val="22"/>
        </w:rPr>
        <w:t xml:space="preserve">Stock pulls back to touch or come within 1% of its 20-DMA.</w:t>
      </w:r>
    </w:p>
    <w:p>
      <w:pPr>
        <w:pStyle w:val="ListParagraph"/>
        <w:numPr>
          <w:ilvl w:val="0"/>
          <w:numId w:val="2"/>
        </w:numPr>
        <w:spacing w:after="40" w:before="40"/>
      </w:pPr>
      <w:r>
        <w:rPr>
          <w:sz w:val="22"/>
          <w:szCs w:val="22"/>
        </w:rPr>
        <w:t xml:space="preserve">RSI(2) closes below 10 (very short-term oversold).</w:t>
      </w:r>
    </w:p>
    <w:p>
      <w:pPr>
        <w:pStyle w:val="ListParagraph"/>
        <w:numPr>
          <w:ilvl w:val="0"/>
          <w:numId w:val="2"/>
        </w:numPr>
        <w:spacing w:after="40" w:before="40"/>
      </w:pPr>
      <w:r>
        <w:rPr>
          <w:sz w:val="22"/>
          <w:szCs w:val="22"/>
        </w:rPr>
        <w:t xml:space="preserve">Daily candle prints a bullish reversal signal: hammer, engulfing, or an 'inside day' near the 20-DMA.</w:t>
      </w:r>
    </w:p>
    <w:p>
      <w:pPr>
        <w:pStyle w:val="ListParagraph"/>
        <w:numPr>
          <w:ilvl w:val="0"/>
          <w:numId w:val="2"/>
        </w:numPr>
        <w:spacing w:after="40" w:before="40"/>
      </w:pPr>
      <w:r>
        <w:rPr>
          <w:sz w:val="22"/>
          <w:szCs w:val="22"/>
        </w:rPr>
        <w:t xml:space="preserve">Trigger: enter at next day's open, OR on break of the signal candle's high.</w:t>
      </w:r>
    </w:p>
    <w:p>
      <w:pPr>
        <w:pStyle w:val="Heading3"/>
        <w:spacing w:after="100" w:before="180"/>
      </w:pPr>
      <w:r>
        <w:rPr>
          <w:b/>
          <w:bCs/>
          <w:color w:val="2E75B6"/>
          <w:sz w:val="22"/>
          <w:szCs w:val="22"/>
        </w:rPr>
        <w:t xml:space="preserve">Exit rules</w:t>
      </w:r>
    </w:p>
    <w:p>
      <w:pPr>
        <w:pStyle w:val="ListParagraph"/>
        <w:numPr>
          <w:ilvl w:val="0"/>
          <w:numId w:val="2"/>
        </w:numPr>
        <w:spacing w:after="40" w:before="40"/>
      </w:pPr>
      <w:r>
        <w:rPr>
          <w:sz w:val="22"/>
          <w:szCs w:val="22"/>
        </w:rPr>
        <w:t xml:space="preserve">Stop-loss: below the low of the signal candle OR the most recent swing low, whichever is lower.</w:t>
      </w:r>
    </w:p>
    <w:p>
      <w:pPr>
        <w:pStyle w:val="ListParagraph"/>
        <w:numPr>
          <w:ilvl w:val="0"/>
          <w:numId w:val="2"/>
        </w:numPr>
        <w:spacing w:after="40" w:before="40"/>
      </w:pPr>
      <w:r>
        <w:rPr>
          <w:sz w:val="22"/>
          <w:szCs w:val="22"/>
        </w:rPr>
        <w:t xml:space="preserve">Target 1: prior swing high (usually 1-2R away).</w:t>
      </w:r>
    </w:p>
    <w:p>
      <w:pPr>
        <w:pStyle w:val="ListParagraph"/>
        <w:numPr>
          <w:ilvl w:val="0"/>
          <w:numId w:val="2"/>
        </w:numPr>
        <w:spacing w:after="40" w:before="40"/>
      </w:pPr>
      <w:r>
        <w:rPr>
          <w:sz w:val="22"/>
          <w:szCs w:val="22"/>
        </w:rPr>
        <w:t xml:space="preserve">Target 2: trailing stop at the 10-DMA after price hits T1.</w:t>
      </w:r>
    </w:p>
    <w:p>
      <w:pPr>
        <w:pStyle w:val="ListParagraph"/>
        <w:numPr>
          <w:ilvl w:val="0"/>
          <w:numId w:val="2"/>
        </w:numPr>
        <w:spacing w:after="40" w:before="40"/>
      </w:pPr>
      <w:r>
        <w:rPr>
          <w:sz w:val="22"/>
          <w:szCs w:val="22"/>
        </w:rPr>
        <w:t xml:space="preserve">Time stop: exit if flat after 7 trading days.</w:t>
      </w:r>
    </w:p>
    <w:p>
      <w:pPr>
        <w:pStyle w:val="Heading3"/>
        <w:spacing w:after="100" w:before="180"/>
      </w:pPr>
      <w:r>
        <w:rPr>
          <w:b/>
          <w:bCs/>
          <w:color w:val="2E75B6"/>
          <w:sz w:val="22"/>
          <w:szCs w:val="22"/>
        </w:rPr>
        <w:t xml:space="preserve">Backtested metrics</w:t>
      </w:r>
    </w:p>
    <w:p>
      <w:pPr>
        <w:pStyle w:val="ListParagraph"/>
        <w:numPr>
          <w:ilvl w:val="0"/>
          <w:numId w:val="2"/>
        </w:numPr>
        <w:spacing w:after="40" w:before="40"/>
      </w:pPr>
      <w:r>
        <w:rPr>
          <w:sz w:val="22"/>
          <w:szCs w:val="22"/>
        </w:rPr>
        <w:t xml:space="preserve">I could not locate a verified Indian-equities trade-level backtest for this exact setup meeting the 5-year, 100-trade threshold.</w:t>
      </w:r>
    </w:p>
    <w:p>
      <w:pPr>
        <w:pStyle w:val="ListParagraph"/>
        <w:numPr>
          <w:ilvl w:val="0"/>
          <w:numId w:val="2"/>
        </w:numPr>
        <w:spacing w:after="40" w:before="40"/>
      </w:pPr>
      <w:r>
        <w:rPr>
          <w:sz w:val="22"/>
          <w:szCs w:val="22"/>
        </w:rPr>
        <w:t xml:space="preserve">The international RSI(2) literature (Connors 2008, subsequent replications) reports 65-75% win rates but with small edge per trade (~0.5% average return) on US indices.</w:t>
      </w:r>
    </w:p>
    <w:p>
      <w:pPr>
        <w:pStyle w:val="ListParagraph"/>
        <w:numPr>
          <w:ilvl w:val="0"/>
          <w:numId w:val="2"/>
        </w:numPr>
        <w:spacing w:after="40" w:before="40"/>
      </w:pPr>
      <w:r>
        <w:rPr>
          <w:sz w:val="22"/>
          <w:szCs w:val="22"/>
        </w:rPr>
        <w:t xml:space="preserve">Expected realistic profile on liquid Indian midcaps: 55-65% win rate, 1.5R average winner, 1R loser.</w:t>
      </w:r>
    </w:p>
    <w:p>
      <w:pPr>
        <w:pStyle w:val="Heading3"/>
        <w:spacing w:after="100" w:before="180"/>
      </w:pPr>
      <w:r>
        <w:rPr>
          <w:b/>
          <w:bCs/>
          <w:color w:val="2E75B6"/>
          <w:sz w:val="22"/>
          <w:szCs w:val="22"/>
        </w:rPr>
        <w:t xml:space="preserve">Failure modes</w:t>
      </w:r>
    </w:p>
    <w:p>
      <w:pPr>
        <w:pStyle w:val="ListParagraph"/>
        <w:numPr>
          <w:ilvl w:val="0"/>
          <w:numId w:val="2"/>
        </w:numPr>
        <w:spacing w:after="40" w:before="40"/>
      </w:pPr>
      <w:r>
        <w:rPr>
          <w:sz w:val="22"/>
          <w:szCs w:val="22"/>
        </w:rPr>
        <w:t xml:space="preserve">Strongly trending stocks that do not pull back — you miss the move entirely.</w:t>
      </w:r>
    </w:p>
    <w:p>
      <w:pPr>
        <w:pStyle w:val="ListParagraph"/>
        <w:numPr>
          <w:ilvl w:val="0"/>
          <w:numId w:val="2"/>
        </w:numPr>
        <w:spacing w:after="40" w:before="40"/>
      </w:pPr>
      <w:r>
        <w:rPr>
          <w:sz w:val="22"/>
          <w:szCs w:val="22"/>
        </w:rPr>
        <w:t xml:space="preserve">Falling knives: a stock breaks its 200-DMA while you are waiting — you must have a hard regime filter.</w:t>
      </w:r>
    </w:p>
    <w:p>
      <w:pPr>
        <w:pStyle w:val="ListParagraph"/>
        <w:numPr>
          <w:ilvl w:val="0"/>
          <w:numId w:val="2"/>
        </w:numPr>
        <w:spacing w:after="40" w:before="40"/>
      </w:pPr>
      <w:r>
        <w:rPr>
          <w:sz w:val="22"/>
          <w:szCs w:val="22"/>
        </w:rPr>
        <w:t xml:space="preserve">Earnings: never hold through earnings on this setup.</w:t>
      </w:r>
    </w:p>
    <w:p>
      <w:r>
        <w:br w:type="page"/>
      </w:r>
    </w:p>
    <w:p>
      <w:pPr>
        <w:pStyle w:val="Heading1"/>
        <w:spacing w:after="180" w:before="360"/>
      </w:pPr>
      <w:r>
        <w:rPr>
          <w:b/>
          <w:bCs/>
          <w:color w:val="1F3864"/>
          <w:sz w:val="32"/>
          <w:szCs w:val="32"/>
        </w:rPr>
        <w:t xml:space="preserve">4. The 5-Layer Swing Trading Framework</w:t>
      </w:r>
    </w:p>
    <w:p>
      <w:pPr>
        <w:spacing w:after="80" w:before="80"/>
        <w:jc w:val="both"/>
      </w:pPr>
      <w:r>
        <w:rPr>
          <w:sz w:val="22"/>
          <w:szCs w:val="22"/>
        </w:rPr>
        <w:t xml:space="preserve">Layers 1-3 answer 'should I trade, and what.' Layers 4-5 answer 'how much, and for how long.' Every trade must pass all five layers.</w:t>
      </w:r>
    </w:p>
    <w:p>
      <w:pPr>
        <w:pStyle w:val="Heading2"/>
        <w:spacing w:after="120" w:before="240"/>
      </w:pPr>
      <w:r>
        <w:rPr>
          <w:b/>
          <w:bCs/>
          <w:color w:val="1F3864"/>
          <w:sz w:val="26"/>
          <w:szCs w:val="26"/>
        </w:rPr>
        <w:t xml:space="preserve">Layer 1 — Market Regime Filter</w:t>
      </w:r>
    </w:p>
    <w:p>
      <w:pPr>
        <w:spacing w:after="80" w:before="80"/>
        <w:jc w:val="both"/>
      </w:pPr>
      <w:r>
        <w:rPr>
          <w:sz w:val="22"/>
          <w:szCs w:val="22"/>
        </w:rPr>
        <w:t xml:space="preserve">Before opening any position, run a 3-point check on the broader market. This single step has historically cut drawdowns on momentum strategies roughly in half.</w:t>
      </w:r>
    </w:p>
    <w:p>
      <w:pPr>
        <w:pStyle w:val="Heading3"/>
        <w:spacing w:after="100" w:before="180"/>
      </w:pPr>
      <w:r>
        <w:rPr>
          <w:b/>
          <w:bCs/>
          <w:color w:val="2E75B6"/>
          <w:sz w:val="22"/>
          <w:szCs w:val="22"/>
        </w:rPr>
        <w:t xml:space="preserve">The 3-point regime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Signal</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Condition</w:t>
            </w:r>
          </w:p>
        </w:tc>
        <w:tc>
          <w:tcPr>
            <w:tcW w:type="dxa" w:w="34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Action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Nifty 50 vs 50-DMA</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Nifty closes above 50-DMA</w:t>
            </w:r>
          </w:p>
        </w:tc>
        <w:tc>
          <w:tcPr>
            <w:tcW w:type="dxa" w:w="3480"/>
            <w:tcBorders>
              <w:top w:val="single" w:color="BFBFBF" w:sz="4"/>
              <w:left w:val="single" w:color="BFBFBF" w:sz="4"/>
              <w:bottom w:val="single" w:color="BFBFBF" w:sz="4"/>
              <w:right w:val="single" w:color="BFBFBF" w:sz="4"/>
            </w:tcBorders>
            <w:shd w:fill="D5E8D4" w:val="clear"/>
            <w:tcMar>
              <w:top w:type="dxa" w:w="100"/>
              <w:left w:type="dxa" w:w="140"/>
              <w:bottom w:type="dxa" w:w="100"/>
              <w:right w:type="dxa" w:w="140"/>
            </w:tcMar>
          </w:tcPr>
          <w:p>
            <w:pPr>
              <w:jc w:val="left"/>
            </w:pPr>
            <w:r>
              <w:rPr>
                <w:b/>
                <w:bCs/>
                <w:sz w:val="20"/>
                <w:szCs w:val="20"/>
              </w:rPr>
              <w:t xml:space="preserve">TRADE LONG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Nifty 50 vs 50-DMA</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Nifty closes below 50-DMA</w:t>
            </w:r>
          </w:p>
        </w:tc>
        <w:tc>
          <w:tcPr>
            <w:tcW w:type="dxa" w:w="3480"/>
            <w:tcBorders>
              <w:top w:val="single" w:color="BFBFBF" w:sz="4"/>
              <w:left w:val="single" w:color="BFBFBF" w:sz="4"/>
              <w:bottom w:val="single" w:color="BFBFBF" w:sz="4"/>
              <w:right w:val="single" w:color="BFBFBF" w:sz="4"/>
            </w:tcBorders>
            <w:shd w:fill="FFE6CC" w:val="clear"/>
            <w:tcMar>
              <w:top w:type="dxa" w:w="100"/>
              <w:left w:type="dxa" w:w="140"/>
              <w:bottom w:type="dxa" w:w="100"/>
              <w:right w:type="dxa" w:w="140"/>
            </w:tcMar>
          </w:tcPr>
          <w:p>
            <w:pPr>
              <w:jc w:val="left"/>
            </w:pPr>
            <w:r>
              <w:rPr>
                <w:b/>
                <w:bCs/>
                <w:sz w:val="20"/>
                <w:szCs w:val="20"/>
              </w:rPr>
              <w:t xml:space="preserve">REDUCE SIZE by 50% or pause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Nifty 50 vs 200-DMA</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Nifty closes below 200-DMA (weekly)</w:t>
            </w:r>
          </w:p>
        </w:tc>
        <w:tc>
          <w:tcPr>
            <w:tcW w:type="dxa" w:w="3480"/>
            <w:tcBorders>
              <w:top w:val="single" w:color="BFBFBF" w:sz="4"/>
              <w:left w:val="single" w:color="BFBFBF" w:sz="4"/>
              <w:bottom w:val="single" w:color="BFBFBF" w:sz="4"/>
              <w:right w:val="single" w:color="BFBFBF" w:sz="4"/>
            </w:tcBorders>
            <w:shd w:fill="F4CCCC" w:val="clear"/>
            <w:tcMar>
              <w:top w:type="dxa" w:w="100"/>
              <w:left w:type="dxa" w:w="140"/>
              <w:bottom w:type="dxa" w:w="100"/>
              <w:right w:type="dxa" w:w="140"/>
            </w:tcMar>
          </w:tcPr>
          <w:p>
            <w:pPr>
              <w:jc w:val="left"/>
            </w:pPr>
            <w:r>
              <w:rPr>
                <w:b/>
                <w:bCs/>
                <w:sz w:val="20"/>
                <w:szCs w:val="20"/>
              </w:rPr>
              <w:t xml:space="preserve">ALL LONGS OFF. Cash.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India VIX</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VIX &lt; 15</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Normal position sizing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India VIX</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VIX 15-20</w:t>
            </w:r>
          </w:p>
        </w:tc>
        <w:tc>
          <w:tcPr>
            <w:tcW w:type="dxa" w:w="3480"/>
            <w:tcBorders>
              <w:top w:val="single" w:color="BFBFBF" w:sz="4"/>
              <w:left w:val="single" w:color="BFBFBF" w:sz="4"/>
              <w:bottom w:val="single" w:color="BFBFBF" w:sz="4"/>
              <w:right w:val="single" w:color="BFBFBF" w:sz="4"/>
            </w:tcBorders>
            <w:shd w:fill="FFE6CC" w:val="clear"/>
            <w:tcMar>
              <w:top w:type="dxa" w:w="100"/>
              <w:left w:type="dxa" w:w="140"/>
              <w:bottom w:type="dxa" w:w="100"/>
              <w:right w:type="dxa" w:w="140"/>
            </w:tcMar>
          </w:tcPr>
          <w:p>
            <w:pPr>
              <w:jc w:val="left"/>
            </w:pPr>
            <w:r>
              <w:rPr>
                <w:sz w:val="20"/>
                <w:szCs w:val="20"/>
              </w:rPr>
              <w:t xml:space="preserve">Reduce size 25%, widen stops by 1 ATR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India VIX</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VIX &gt; 20</w:t>
            </w:r>
          </w:p>
        </w:tc>
        <w:tc>
          <w:tcPr>
            <w:tcW w:type="dxa" w:w="3480"/>
            <w:tcBorders>
              <w:top w:val="single" w:color="BFBFBF" w:sz="4"/>
              <w:left w:val="single" w:color="BFBFBF" w:sz="4"/>
              <w:bottom w:val="single" w:color="BFBFBF" w:sz="4"/>
              <w:right w:val="single" w:color="BFBFBF" w:sz="4"/>
            </w:tcBorders>
            <w:shd w:fill="F4CCCC" w:val="clear"/>
            <w:tcMar>
              <w:top w:type="dxa" w:w="100"/>
              <w:left w:type="dxa" w:w="140"/>
              <w:bottom w:type="dxa" w:w="100"/>
              <w:right w:type="dxa" w:w="140"/>
            </w:tcMar>
          </w:tcPr>
          <w:p>
            <w:pPr>
              <w:jc w:val="left"/>
            </w:pPr>
            <w:r>
              <w:rPr>
                <w:b/>
                <w:bCs/>
                <w:sz w:val="20"/>
                <w:szCs w:val="20"/>
              </w:rPr>
              <w:t xml:space="preserve">Reduce size 50%. No new breakout entries.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Nifty ADX(14)</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ADX &gt; 25</w:t>
            </w:r>
          </w:p>
        </w:tc>
        <w:tc>
          <w:tcPr>
            <w:tcW w:type="dxa" w:w="348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sz w:val="20"/>
                <w:szCs w:val="20"/>
              </w:rPr>
              <w:t xml:space="preserve">Trend strategies preferred (Strat 1,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0"/>
                <w:szCs w:val="20"/>
              </w:rPr>
              <w:t xml:space="preserve">Nifty ADX(14)</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ADX &lt; 20</w:t>
            </w:r>
          </w:p>
        </w:tc>
        <w:tc>
          <w:tcPr>
            <w:tcW w:type="dxa" w:w="348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sz w:val="20"/>
                <w:szCs w:val="20"/>
              </w:rPr>
              <w:t xml:space="preserve">Mean-reversion preferred (Strat 3); avoid breakouts</w:t>
            </w:r>
          </w:p>
        </w:tc>
      </w:tr>
    </w:tbl>
    <w:p>
      <w:pPr>
        <w:pStyle w:val="Heading2"/>
        <w:spacing w:after="120" w:before="240"/>
      </w:pPr>
      <w:r>
        <w:rPr>
          <w:b/>
          <w:bCs/>
          <w:color w:val="1F3864"/>
          <w:sz w:val="26"/>
          <w:szCs w:val="26"/>
        </w:rPr>
        <w:t xml:space="preserve">Layer 2 — Stock Universe &amp; Screening</w:t>
      </w:r>
    </w:p>
    <w:p>
      <w:pPr>
        <w:pStyle w:val="Heading3"/>
        <w:spacing w:after="100" w:before="180"/>
      </w:pPr>
      <w:r>
        <w:rPr>
          <w:b/>
          <w:bCs/>
          <w:color w:val="2E75B6"/>
          <w:sz w:val="22"/>
          <w:szCs w:val="22"/>
        </w:rPr>
        <w:t xml:space="preserve">Starting universe: Nifty 500</w:t>
      </w:r>
    </w:p>
    <w:p>
      <w:pPr>
        <w:spacing w:after="80" w:before="80"/>
        <w:jc w:val="both"/>
      </w:pPr>
      <w:r>
        <w:rPr>
          <w:sz w:val="22"/>
          <w:szCs w:val="22"/>
        </w:rPr>
        <w:t xml:space="preserve">The Nifty 500 covers roughly 95% of NSE market cap. It excludes the illiquid small-caps that wreck backtests through bid-ask spreads and slippage. It is broad enough to find 10-20 trade candidates any given week.</w:t>
      </w:r>
    </w:p>
    <w:p>
      <w:pPr>
        <w:pStyle w:val="Heading3"/>
        <w:spacing w:after="100" w:before="180"/>
      </w:pPr>
      <w:r>
        <w:rPr>
          <w:b/>
          <w:bCs/>
          <w:color w:val="2E75B6"/>
          <w:sz w:val="22"/>
          <w:szCs w:val="22"/>
        </w:rPr>
        <w:t xml:space="preserve">Liquidity filters (non-negotiable)</w:t>
      </w:r>
    </w:p>
    <w:p>
      <w:pPr>
        <w:pStyle w:val="ListParagraph"/>
        <w:numPr>
          <w:ilvl w:val="0"/>
          <w:numId w:val="2"/>
        </w:numPr>
        <w:spacing w:after="40" w:before="40"/>
      </w:pPr>
      <w:r>
        <w:rPr>
          <w:sz w:val="22"/>
          <w:szCs w:val="22"/>
        </w:rPr>
        <w:t xml:space="preserve">20-day average daily turnover ≥ ₹5 crore (for position sizes up to ₹2 lakh per trade).</w:t>
      </w:r>
    </w:p>
    <w:p>
      <w:pPr>
        <w:pStyle w:val="ListParagraph"/>
        <w:numPr>
          <w:ilvl w:val="0"/>
          <w:numId w:val="2"/>
        </w:numPr>
        <w:spacing w:after="40" w:before="40"/>
      </w:pPr>
      <w:r>
        <w:rPr>
          <w:sz w:val="22"/>
          <w:szCs w:val="22"/>
        </w:rPr>
        <w:t xml:space="preserve">For size ≥ ₹5 lakh per trade: ₹20 crore daily turnover minimum.</w:t>
      </w:r>
    </w:p>
    <w:p>
      <w:pPr>
        <w:pStyle w:val="ListParagraph"/>
        <w:numPr>
          <w:ilvl w:val="0"/>
          <w:numId w:val="2"/>
        </w:numPr>
        <w:spacing w:after="40" w:before="40"/>
      </w:pPr>
      <w:r>
        <w:rPr>
          <w:sz w:val="22"/>
          <w:szCs w:val="22"/>
        </w:rPr>
        <w:t xml:space="preserve">Stock price &gt; ₹50 (avoids very low-priced stocks where tick slippage dominates).</w:t>
      </w:r>
    </w:p>
    <w:p>
      <w:pPr>
        <w:pStyle w:val="Heading3"/>
        <w:spacing w:after="100" w:before="180"/>
      </w:pPr>
      <w:r>
        <w:rPr>
          <w:b/>
          <w:bCs/>
          <w:color w:val="2E75B6"/>
          <w:sz w:val="22"/>
          <w:szCs w:val="22"/>
        </w:rPr>
        <w:t xml:space="preserve">Volatility filter</w:t>
      </w:r>
    </w:p>
    <w:p>
      <w:pPr>
        <w:pStyle w:val="ListParagraph"/>
        <w:numPr>
          <w:ilvl w:val="0"/>
          <w:numId w:val="2"/>
        </w:numPr>
        <w:spacing w:after="40" w:before="40"/>
      </w:pPr>
      <w:r>
        <w:rPr>
          <w:sz w:val="22"/>
          <w:szCs w:val="22"/>
        </w:rPr>
        <w:t xml:space="preserve">ATR(14) as % of price: between 1.5% and 5%. Below this, moves are too small for R:R. Above this, stops get blown too easily.</w:t>
      </w:r>
    </w:p>
    <w:p>
      <w:pPr>
        <w:pStyle w:val="Heading3"/>
        <w:spacing w:after="100" w:before="180"/>
      </w:pPr>
      <w:r>
        <w:rPr>
          <w:b/>
          <w:bCs/>
          <w:color w:val="2E75B6"/>
          <w:sz w:val="22"/>
          <w:szCs w:val="22"/>
        </w:rPr>
        <w:t xml:space="preserve">Fundamental overlay (optional but recommended)</w:t>
      </w:r>
    </w:p>
    <w:p>
      <w:pPr>
        <w:pStyle w:val="ListParagraph"/>
        <w:numPr>
          <w:ilvl w:val="0"/>
          <w:numId w:val="2"/>
        </w:numPr>
        <w:spacing w:after="40" w:before="40"/>
      </w:pPr>
      <w:r>
        <w:rPr>
          <w:sz w:val="22"/>
          <w:szCs w:val="22"/>
        </w:rPr>
        <w:t xml:space="preserve">Exclude stocks with Debt-to-Equity &gt; 2 (unless they are banks/NBFCs).</w:t>
      </w:r>
    </w:p>
    <w:p>
      <w:pPr>
        <w:pStyle w:val="ListParagraph"/>
        <w:numPr>
          <w:ilvl w:val="0"/>
          <w:numId w:val="2"/>
        </w:numPr>
        <w:spacing w:after="40" w:before="40"/>
      </w:pPr>
      <w:r>
        <w:rPr>
          <w:sz w:val="22"/>
          <w:szCs w:val="22"/>
        </w:rPr>
        <w:t xml:space="preserve">Exclude stocks with 3 consecutive quarters of declining sales (momentum reversal risk).</w:t>
      </w:r>
    </w:p>
    <w:p>
      <w:pPr>
        <w:pStyle w:val="ListParagraph"/>
        <w:numPr>
          <w:ilvl w:val="0"/>
          <w:numId w:val="2"/>
        </w:numPr>
        <w:spacing w:after="40" w:before="40"/>
      </w:pPr>
      <w:r>
        <w:rPr>
          <w:sz w:val="22"/>
          <w:szCs w:val="22"/>
        </w:rPr>
        <w:t xml:space="preserve">Exclude stocks currently under SEBI investigation / in the ASM/GSM surveillance framework.</w:t>
      </w:r>
    </w:p>
    <w:p>
      <w:pPr>
        <w:pStyle w:val="Heading3"/>
        <w:spacing w:after="100" w:before="180"/>
      </w:pPr>
      <w:r>
        <w:rPr>
          <w:b/>
          <w:bCs/>
          <w:color w:val="2E75B6"/>
          <w:sz w:val="22"/>
          <w:szCs w:val="22"/>
        </w:rPr>
        <w:t xml:space="preserve">Chartink scanner queries (ready to use)</w:t>
      </w:r>
    </w:p>
    <w:p>
      <w:pPr>
        <w:pStyle w:val="Heading3"/>
        <w:spacing w:after="100" w:before="180"/>
      </w:pPr>
      <w:r>
        <w:rPr>
          <w:b/>
          <w:bCs/>
          <w:color w:val="2E75B6"/>
          <w:sz w:val="22"/>
          <w:szCs w:val="22"/>
        </w:rPr>
        <w:t xml:space="preserve">Scanner A — 52-week high breakout with volume (Strategy 2)</w:t>
      </w:r>
    </w:p>
    <w:p>
      <w:pPr>
        <w:shd w:fill="F2F2F2" w:val="clear"/>
        <w:spacing w:after="120" w:before="120"/>
      </w:pPr>
      <w:r>
        <w:rPr>
          <w:rFonts w:ascii="Consolas" w:cs="Consolas" w:eastAsia="Consolas" w:hAnsi="Consolas"/>
          <w:sz w:val="18"/>
          <w:szCs w:val="18"/>
        </w:rPr>
        <w:t xml:space="preserve">( {nifty500} ) AND ( latest high &gt; 1 weeks max ( 52, high ) ) AND ( latest volume &gt; 1.5 * latest sma( volume, 50 ) ) AND ( latest close &gt; latest sma( close, 50 ) ) AND ( latest close &gt; latest sma( close, 200 ) ) AND ( latest volume * latest close &gt; 5000000 )</w:t>
      </w:r>
    </w:p>
    <w:p>
      <w:pPr>
        <w:pStyle w:val="Heading3"/>
        <w:spacing w:after="100" w:before="180"/>
      </w:pPr>
      <w:r>
        <w:rPr>
          <w:b/>
          <w:bCs/>
          <w:color w:val="2E75B6"/>
          <w:sz w:val="22"/>
          <w:szCs w:val="22"/>
        </w:rPr>
        <w:t xml:space="preserve">Scanner B — 20-DMA pullback in uptrend (Strategy 3)</w:t>
      </w:r>
    </w:p>
    <w:p>
      <w:pPr>
        <w:shd w:fill="F2F2F2" w:val="clear"/>
        <w:spacing w:after="120" w:before="120"/>
      </w:pPr>
      <w:r>
        <w:rPr>
          <w:rFonts w:ascii="Consolas" w:cs="Consolas" w:eastAsia="Consolas" w:hAnsi="Consolas"/>
          <w:sz w:val="18"/>
          <w:szCs w:val="18"/>
        </w:rPr>
        <w:t xml:space="preserve">( {nifty500} ) AND ( latest close &gt; latest sma( close, 200 ) ) AND ( latest close &gt; latest sma( close, 50 ) ) AND ( latest low &lt;= latest sma( close, 20 ) * 1.01 ) AND ( latest rsi( 2 ) &lt; 10 ) AND ( latest volume * latest close &gt; 5000000 )</w:t>
      </w:r>
    </w:p>
    <w:p>
      <w:pPr>
        <w:spacing w:after="80" w:before="80"/>
        <w:jc w:val="both"/>
      </w:pPr>
      <w:r>
        <w:rPr>
          <w:sz w:val="22"/>
          <w:szCs w:val="22"/>
        </w:rPr>
        <w:t xml:space="preserve">Note: Chartink's exact syntax evolves. Test these on a known example (e.g. RELIANCE, HDFCBANK) before relying on them. Add filters for market cap or sector as your style requires.</w:t>
      </w:r>
    </w:p>
    <w:p>
      <w:r>
        <w:br w:type="page"/>
      </w:r>
    </w:p>
    <w:p>
      <w:pPr>
        <w:pStyle w:val="Heading2"/>
        <w:spacing w:after="120" w:before="240"/>
      </w:pPr>
      <w:r>
        <w:rPr>
          <w:b/>
          <w:bCs/>
          <w:color w:val="1F3864"/>
          <w:sz w:val="26"/>
          <w:szCs w:val="26"/>
        </w:rPr>
        <w:t xml:space="preserve">Layer 3 — Trade Setup Identification</w:t>
      </w:r>
    </w:p>
    <w:p>
      <w:pPr>
        <w:pStyle w:val="Heading3"/>
        <w:spacing w:after="100" w:before="180"/>
      </w:pPr>
      <w:r>
        <w:rPr>
          <w:b/>
          <w:bCs/>
          <w:color w:val="2E75B6"/>
          <w:sz w:val="22"/>
          <w:szCs w:val="22"/>
        </w:rPr>
        <w:t xml:space="preserve">The 4-point setup checklist</w:t>
      </w:r>
    </w:p>
    <w:p>
      <w:pPr>
        <w:spacing w:after="80" w:before="80"/>
        <w:jc w:val="both"/>
      </w:pPr>
      <w:r>
        <w:rPr>
          <w:sz w:val="22"/>
          <w:szCs w:val="22"/>
        </w:rPr>
        <w:t xml:space="preserve">Every stock that passes the scanner must then be chart-reviewed manually. Do NOT trade scanner output blindly — scanners catch lots of messy setups.</w:t>
      </w:r>
    </w:p>
    <w:p>
      <w:pPr>
        <w:pStyle w:val="ListParagraph"/>
        <w:numPr>
          <w:ilvl w:val="0"/>
          <w:numId w:val="2"/>
        </w:numPr>
        <w:spacing w:after="40" w:before="40"/>
      </w:pPr>
      <w:r>
        <w:rPr>
          <w:b/>
          <w:bCs/>
          <w:sz w:val="22"/>
          <w:szCs w:val="22"/>
        </w:rPr>
        <w:t xml:space="preserve">1. The level is clean. </w:t>
      </w:r>
      <w:r>
        <w:rPr>
          <w:sz w:val="22"/>
          <w:szCs w:val="22"/>
        </w:rPr>
        <w:t xml:space="preserve">For breakouts: the 52-week high or base-resistance level should be a clear horizontal line touched 2+ times. For pullbacks: the 20-DMA should be rising and previously respected.</w:t>
      </w:r>
    </w:p>
    <w:p>
      <w:pPr>
        <w:pStyle w:val="ListParagraph"/>
        <w:numPr>
          <w:ilvl w:val="0"/>
          <w:numId w:val="2"/>
        </w:numPr>
        <w:spacing w:after="40" w:before="40"/>
      </w:pPr>
      <w:r>
        <w:rPr>
          <w:b/>
          <w:bCs/>
          <w:sz w:val="22"/>
          <w:szCs w:val="22"/>
        </w:rPr>
        <w:t xml:space="preserve">2. The base is tight. </w:t>
      </w:r>
      <w:r>
        <w:rPr>
          <w:sz w:val="22"/>
          <w:szCs w:val="22"/>
        </w:rPr>
        <w:t xml:space="preserve">Consolidations of 3-8 weeks with shrinking range are highest-probability. Loose, wide bases produce failed breakouts.</w:t>
      </w:r>
    </w:p>
    <w:p>
      <w:pPr>
        <w:pStyle w:val="ListParagraph"/>
        <w:numPr>
          <w:ilvl w:val="0"/>
          <w:numId w:val="2"/>
        </w:numPr>
        <w:spacing w:after="40" w:before="40"/>
      </w:pPr>
      <w:r>
        <w:rPr>
          <w:b/>
          <w:bCs/>
          <w:sz w:val="22"/>
          <w:szCs w:val="22"/>
        </w:rPr>
        <w:t xml:space="preserve">3. Volume confirms. </w:t>
      </w:r>
      <w:r>
        <w:rPr>
          <w:sz w:val="22"/>
          <w:szCs w:val="22"/>
        </w:rPr>
        <w:t xml:space="preserve">Breakout volume ≥ 1.5× 50-day average. Pullback entries should see volume dry up on the decline and spike on the reversal candle.</w:t>
      </w:r>
    </w:p>
    <w:p>
      <w:pPr>
        <w:pStyle w:val="ListParagraph"/>
        <w:numPr>
          <w:ilvl w:val="0"/>
          <w:numId w:val="2"/>
        </w:numPr>
        <w:spacing w:after="40" w:before="40"/>
      </w:pPr>
      <w:r>
        <w:rPr>
          <w:b/>
          <w:bCs/>
          <w:sz w:val="22"/>
          <w:szCs w:val="22"/>
        </w:rPr>
        <w:t xml:space="preserve">4. No landmine within 5 days. </w:t>
      </w:r>
      <w:r>
        <w:rPr>
          <w:sz w:val="22"/>
          <w:szCs w:val="22"/>
        </w:rPr>
        <w:t xml:space="preserve">Check for earnings release, ex-dividend, result window, corporate actions, budget/policy announcements, or Fed/RBI meetings within the expected holding window. Skip if any of these are within 5 trading days.</w:t>
      </w:r>
    </w:p>
    <w:p>
      <w:pPr>
        <w:pStyle w:val="Heading3"/>
        <w:spacing w:after="100" w:before="180"/>
      </w:pPr>
      <w:r>
        <w:rPr>
          <w:b/>
          <w:bCs/>
          <w:color w:val="2E75B6"/>
          <w:sz w:val="22"/>
          <w:szCs w:val="22"/>
        </w:rPr>
        <w:t xml:space="preserve">Defining the trigger and invalidation</w:t>
      </w:r>
    </w:p>
    <w:p>
      <w:pPr>
        <w:pStyle w:val="ListParagraph"/>
        <w:numPr>
          <w:ilvl w:val="0"/>
          <w:numId w:val="2"/>
        </w:numPr>
        <w:spacing w:after="40" w:before="40"/>
      </w:pPr>
      <w:r>
        <w:rPr>
          <w:sz w:val="22"/>
          <w:szCs w:val="22"/>
        </w:rPr>
        <w:t xml:space="preserve">Trigger price: intraday break of the signal candle's high, OR next day's open above the signal candle's close.</w:t>
      </w:r>
    </w:p>
    <w:p>
      <w:pPr>
        <w:pStyle w:val="ListParagraph"/>
        <w:numPr>
          <w:ilvl w:val="0"/>
          <w:numId w:val="2"/>
        </w:numPr>
        <w:spacing w:after="40" w:before="40"/>
      </w:pPr>
      <w:r>
        <w:rPr>
          <w:sz w:val="22"/>
          <w:szCs w:val="22"/>
        </w:rPr>
        <w:t xml:space="preserve">Invalidation (stop-loss) level: low of the signal candle, OR most recent swing low, whichever is lower.</w:t>
      </w:r>
    </w:p>
    <w:p>
      <w:pPr>
        <w:pStyle w:val="ListParagraph"/>
        <w:numPr>
          <w:ilvl w:val="0"/>
          <w:numId w:val="2"/>
        </w:numPr>
        <w:spacing w:after="40" w:before="40"/>
      </w:pPr>
      <w:r>
        <w:rPr>
          <w:sz w:val="22"/>
          <w:szCs w:val="22"/>
        </w:rPr>
        <w:t xml:space="preserve">If the entry-to-stop distance exceeds 5% for a large-cap or 8% for a midcap, skip the trade — the position size will be too small to be meaningful.</w:t>
      </w:r>
    </w:p>
    <w:p>
      <w:pPr>
        <w:pStyle w:val="Heading2"/>
        <w:spacing w:after="120" w:before="240"/>
      </w:pPr>
      <w:r>
        <w:rPr>
          <w:b/>
          <w:bCs/>
          <w:color w:val="1F3864"/>
          <w:sz w:val="26"/>
          <w:szCs w:val="26"/>
        </w:rPr>
        <w:t xml:space="preserve">Layer 4 — Position Sizing &amp; Risk Control</w:t>
      </w:r>
    </w:p>
    <w:p>
      <w:pPr>
        <w:pStyle w:val="Heading3"/>
        <w:spacing w:after="100" w:before="180"/>
      </w:pPr>
      <w:r>
        <w:rPr>
          <w:b/>
          <w:bCs/>
          <w:color w:val="2E75B6"/>
          <w:sz w:val="22"/>
          <w:szCs w:val="22"/>
        </w:rPr>
        <w:t xml:space="preserve">The 1% rule (core formula)</w:t>
      </w:r>
    </w:p>
    <w:p>
      <w:pPr>
        <w:spacing w:after="80" w:before="80"/>
        <w:jc w:val="both"/>
      </w:pPr>
      <w:r>
        <w:rPr>
          <w:sz w:val="22"/>
          <w:szCs w:val="22"/>
        </w:rPr>
        <w:t xml:space="preserve">Never risk more than 1% of total capital on any single trade. This is the single most important rule in this entire document. At 1%, you can take 20 consecutive losing trades and still be down only ~18% — recoverable. At 3%, you are down ~45% and need a 75%+ gain to break even.</w:t>
      </w:r>
    </w:p>
    <w:p>
      <w:pPr>
        <w:shd w:fill="E7EEF7" w:val="clear"/>
        <w:spacing w:after="160" w:before="160"/>
        <w:jc w:val="center"/>
      </w:pPr>
      <w:r>
        <w:rPr>
          <w:rFonts w:ascii="Consolas" w:cs="Consolas" w:eastAsia="Consolas" w:hAnsi="Consolas"/>
          <w:b/>
          <w:bCs/>
          <w:color w:val="1F3864"/>
          <w:sz w:val="24"/>
          <w:szCs w:val="24"/>
        </w:rPr>
        <w:t xml:space="preserve">Qty = (Capital × Risk%) / (Entry Price − Stop Loss Price)</w:t>
      </w:r>
    </w:p>
    <w:p>
      <w:pPr>
        <w:pStyle w:val="Heading3"/>
        <w:spacing w:after="100" w:before="180"/>
      </w:pPr>
      <w:r>
        <w:rPr>
          <w:b/>
          <w:bCs/>
          <w:color w:val="2E75B6"/>
          <w:sz w:val="22"/>
          <w:szCs w:val="22"/>
        </w:rPr>
        <w:t xml:space="preserve">Worked example</w:t>
      </w:r>
    </w:p>
    <w:p>
      <w:pPr>
        <w:pStyle w:val="ListParagraph"/>
        <w:numPr>
          <w:ilvl w:val="0"/>
          <w:numId w:val="2"/>
        </w:numPr>
        <w:spacing w:after="40" w:before="40"/>
      </w:pPr>
      <w:r>
        <w:rPr>
          <w:sz w:val="22"/>
          <w:szCs w:val="22"/>
        </w:rPr>
        <w:t xml:space="preserve">Capital: ₹5,00,000</w:t>
      </w:r>
    </w:p>
    <w:p>
      <w:pPr>
        <w:pStyle w:val="ListParagraph"/>
        <w:numPr>
          <w:ilvl w:val="0"/>
          <w:numId w:val="2"/>
        </w:numPr>
        <w:spacing w:after="40" w:before="40"/>
      </w:pPr>
      <w:r>
        <w:rPr>
          <w:sz w:val="22"/>
          <w:szCs w:val="22"/>
        </w:rPr>
        <w:t xml:space="preserve">Risk per trade: 1% = ₹5,000</w:t>
      </w:r>
    </w:p>
    <w:p>
      <w:pPr>
        <w:pStyle w:val="ListParagraph"/>
        <w:numPr>
          <w:ilvl w:val="0"/>
          <w:numId w:val="2"/>
        </w:numPr>
        <w:spacing w:after="40" w:before="40"/>
      </w:pPr>
      <w:r>
        <w:rPr>
          <w:sz w:val="22"/>
          <w:szCs w:val="22"/>
        </w:rPr>
        <w:t xml:space="preserve">Stock: RELIANCE at ₹2,900 (entry), stop at ₹2,840 (swing low)</w:t>
      </w:r>
    </w:p>
    <w:p>
      <w:pPr>
        <w:pStyle w:val="ListParagraph"/>
        <w:numPr>
          <w:ilvl w:val="0"/>
          <w:numId w:val="2"/>
        </w:numPr>
        <w:spacing w:after="40" w:before="40"/>
      </w:pPr>
      <w:r>
        <w:rPr>
          <w:sz w:val="22"/>
          <w:szCs w:val="22"/>
        </w:rPr>
        <w:t xml:space="preserve">Risk per share: ₹2,900 − ₹2,840 = ₹60</w:t>
      </w:r>
    </w:p>
    <w:p>
      <w:pPr>
        <w:pStyle w:val="ListParagraph"/>
        <w:numPr>
          <w:ilvl w:val="0"/>
          <w:numId w:val="2"/>
        </w:numPr>
        <w:spacing w:after="40" w:before="40"/>
      </w:pPr>
      <w:r>
        <w:rPr>
          <w:sz w:val="22"/>
          <w:szCs w:val="22"/>
        </w:rPr>
        <w:t xml:space="preserve">Quantity = ₹5,000 ÷ ₹60 ≈ 83 shares</w:t>
      </w:r>
    </w:p>
    <w:p>
      <w:pPr>
        <w:pStyle w:val="ListParagraph"/>
        <w:numPr>
          <w:ilvl w:val="0"/>
          <w:numId w:val="2"/>
        </w:numPr>
        <w:spacing w:after="40" w:before="40"/>
      </w:pPr>
      <w:r>
        <w:rPr>
          <w:sz w:val="22"/>
          <w:szCs w:val="22"/>
        </w:rPr>
        <w:t xml:space="preserve">Position value = 83 × ₹2,900 = ₹2,40,700 (~48% of capital — but only 1% is actually at risk)</w:t>
      </w:r>
    </w:p>
    <w:p>
      <w:pPr>
        <w:pStyle w:val="Heading3"/>
        <w:spacing w:after="100" w:before="180"/>
      </w:pPr>
      <w:r>
        <w:rPr>
          <w:b/>
          <w:bCs/>
          <w:color w:val="2E75B6"/>
          <w:sz w:val="22"/>
          <w:szCs w:val="22"/>
        </w:rPr>
        <w:t xml:space="preserve">Portfolio heat (max total risk)</w:t>
      </w:r>
    </w:p>
    <w:p>
      <w:pPr>
        <w:pStyle w:val="ListParagraph"/>
        <w:numPr>
          <w:ilvl w:val="0"/>
          <w:numId w:val="2"/>
        </w:numPr>
        <w:spacing w:after="40" w:before="40"/>
      </w:pPr>
      <w:r>
        <w:rPr>
          <w:sz w:val="22"/>
          <w:szCs w:val="22"/>
        </w:rPr>
        <w:t xml:space="preserve">Maximum concurrent open risk: 5% of capital. So no more than 5 open positions at any time (each risking 1%).</w:t>
      </w:r>
    </w:p>
    <w:p>
      <w:pPr>
        <w:pStyle w:val="ListParagraph"/>
        <w:numPr>
          <w:ilvl w:val="0"/>
          <w:numId w:val="2"/>
        </w:numPr>
        <w:spacing w:after="40" w:before="40"/>
      </w:pPr>
      <w:r>
        <w:rPr>
          <w:sz w:val="22"/>
          <w:szCs w:val="22"/>
        </w:rPr>
        <w:t xml:space="preserve">Sector concentration limit: no more than 2 positions in the same sector simultaneously.</w:t>
      </w:r>
    </w:p>
    <w:p>
      <w:pPr>
        <w:pStyle w:val="ListParagraph"/>
        <w:numPr>
          <w:ilvl w:val="0"/>
          <w:numId w:val="2"/>
        </w:numPr>
        <w:spacing w:after="40" w:before="40"/>
      </w:pPr>
      <w:r>
        <w:rPr>
          <w:sz w:val="22"/>
          <w:szCs w:val="22"/>
        </w:rPr>
        <w:t xml:space="preserve">Correlation check: if two positions are highly correlated (e.g. HDFCBANK and ICICIBANK, both private sector banks, both sensitive to RBI policy), count them as 1.5 positions for heat purposes.</w:t>
      </w:r>
    </w:p>
    <w:p>
      <w:pPr>
        <w:pStyle w:val="Heading3"/>
        <w:spacing w:after="100" w:before="180"/>
      </w:pPr>
      <w:r>
        <w:rPr>
          <w:b/>
          <w:bCs/>
          <w:color w:val="2E75B6"/>
          <w:sz w:val="22"/>
          <w:szCs w:val="22"/>
        </w:rPr>
        <w:t xml:space="preserve">Drawdown rules</w:t>
      </w:r>
    </w:p>
    <w:p>
      <w:pPr>
        <w:pStyle w:val="ListParagraph"/>
        <w:numPr>
          <w:ilvl w:val="0"/>
          <w:numId w:val="2"/>
        </w:numPr>
        <w:spacing w:after="40" w:before="40"/>
      </w:pPr>
      <w:r>
        <w:rPr>
          <w:sz w:val="22"/>
          <w:szCs w:val="22"/>
        </w:rPr>
        <w:t xml:space="preserve">If account drops 10% from peak: cut position size in half until you have recovered 50% of the drawdown.</w:t>
      </w:r>
    </w:p>
    <w:p>
      <w:pPr>
        <w:pStyle w:val="ListParagraph"/>
        <w:numPr>
          <w:ilvl w:val="0"/>
          <w:numId w:val="2"/>
        </w:numPr>
        <w:spacing w:after="40" w:before="40"/>
      </w:pPr>
      <w:r>
        <w:rPr>
          <w:sz w:val="22"/>
          <w:szCs w:val="22"/>
        </w:rPr>
        <w:t xml:space="preserve">If account drops 20%: pause all trading for 2 weeks and review the journal. Something is wrong with either the method or its execution.</w:t>
      </w:r>
    </w:p>
    <w:p>
      <w:pPr>
        <w:pStyle w:val="Heading2"/>
        <w:spacing w:after="120" w:before="240"/>
      </w:pPr>
      <w:r>
        <w:rPr>
          <w:b/>
          <w:bCs/>
          <w:color w:val="1F3864"/>
          <w:sz w:val="26"/>
          <w:szCs w:val="26"/>
        </w:rPr>
        <w:t xml:space="preserve">Layer 5 — Trade Management</w:t>
      </w:r>
    </w:p>
    <w:p>
      <w:pPr>
        <w:pStyle w:val="Heading3"/>
        <w:spacing w:after="100" w:before="180"/>
      </w:pPr>
      <w:r>
        <w:rPr>
          <w:b/>
          <w:bCs/>
          <w:color w:val="2E75B6"/>
          <w:sz w:val="22"/>
          <w:szCs w:val="22"/>
        </w:rPr>
        <w:t xml:space="preserve">Target mapping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Method</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T1 (50% booked)</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T2 (remaining trailed)</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ATR-based (default)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Entry + 1.5 × ATR(14)</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Trail 10-EMA daily close</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R-multiple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1R (= risk amount)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3R OR trail 10-EMA</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Structure-based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Prior swing high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Next Fibonacci extension (1.272, 1.618)</w:t>
            </w:r>
          </w:p>
        </w:tc>
      </w:tr>
    </w:tbl>
    <w:p>
      <w:pPr>
        <w:pStyle w:val="Heading3"/>
        <w:spacing w:after="100" w:before="180"/>
      </w:pPr>
      <w:r>
        <w:rPr>
          <w:b/>
          <w:bCs/>
          <w:color w:val="2E75B6"/>
          <w:sz w:val="22"/>
          <w:szCs w:val="22"/>
        </w:rPr>
        <w:t xml:space="preserve">Stop-loss management</w:t>
      </w:r>
    </w:p>
    <w:p>
      <w:pPr>
        <w:pStyle w:val="ListParagraph"/>
        <w:numPr>
          <w:ilvl w:val="0"/>
          <w:numId w:val="2"/>
        </w:numPr>
        <w:spacing w:after="40" w:before="40"/>
      </w:pPr>
      <w:r>
        <w:rPr>
          <w:sz w:val="22"/>
          <w:szCs w:val="22"/>
        </w:rPr>
        <w:t xml:space="preserve">Day 0-3: hard stop at the initial invalidation level. Do not move.</w:t>
      </w:r>
    </w:p>
    <w:p>
      <w:pPr>
        <w:pStyle w:val="ListParagraph"/>
        <w:numPr>
          <w:ilvl w:val="0"/>
          <w:numId w:val="2"/>
        </w:numPr>
        <w:spacing w:after="40" w:before="40"/>
      </w:pPr>
      <w:r>
        <w:rPr>
          <w:sz w:val="22"/>
          <w:szCs w:val="22"/>
        </w:rPr>
        <w:t xml:space="preserve">When price hits T1 (+50% booked): move stop to breakeven (your entry price). The trade is now 'free'.</w:t>
      </w:r>
    </w:p>
    <w:p>
      <w:pPr>
        <w:pStyle w:val="ListParagraph"/>
        <w:numPr>
          <w:ilvl w:val="0"/>
          <w:numId w:val="2"/>
        </w:numPr>
        <w:spacing w:after="40" w:before="40"/>
      </w:pPr>
      <w:r>
        <w:rPr>
          <w:sz w:val="22"/>
          <w:szCs w:val="22"/>
        </w:rPr>
        <w:t xml:space="preserve">After T1: trail the stop using either (a) daily close below 10-EMA, or (b) prior swing low, whichever is higher.</w:t>
      </w:r>
    </w:p>
    <w:p>
      <w:pPr>
        <w:pStyle w:val="ListParagraph"/>
        <w:numPr>
          <w:ilvl w:val="0"/>
          <w:numId w:val="2"/>
        </w:numPr>
        <w:spacing w:after="40" w:before="40"/>
      </w:pPr>
      <w:r>
        <w:rPr>
          <w:sz w:val="22"/>
          <w:szCs w:val="22"/>
        </w:rPr>
        <w:t xml:space="preserve">Never move a stop farther away from price. Only tighter.</w:t>
      </w:r>
    </w:p>
    <w:p>
      <w:pPr>
        <w:pStyle w:val="Heading3"/>
        <w:spacing w:after="100" w:before="180"/>
      </w:pPr>
      <w:r>
        <w:rPr>
          <w:b/>
          <w:bCs/>
          <w:color w:val="2E75B6"/>
          <w:sz w:val="22"/>
          <w:szCs w:val="22"/>
        </w:rPr>
        <w:t xml:space="preserve">Time-in-trade</w:t>
      </w:r>
    </w:p>
    <w:p>
      <w:pPr>
        <w:pStyle w:val="ListParagraph"/>
        <w:numPr>
          <w:ilvl w:val="0"/>
          <w:numId w:val="2"/>
        </w:numPr>
        <w:spacing w:after="40" w:before="40"/>
      </w:pPr>
      <w:r>
        <w:rPr>
          <w:sz w:val="22"/>
          <w:szCs w:val="22"/>
        </w:rPr>
        <w:t xml:space="preserve">Expected average: 5-8 trading days for winners (from Raju 2019 methodology and typical base-breakout behaviour).</w:t>
      </w:r>
    </w:p>
    <w:p>
      <w:pPr>
        <w:pStyle w:val="ListParagraph"/>
        <w:numPr>
          <w:ilvl w:val="0"/>
          <w:numId w:val="2"/>
        </w:numPr>
        <w:spacing w:after="40" w:before="40"/>
      </w:pPr>
      <w:r>
        <w:rPr>
          <w:sz w:val="22"/>
          <w:szCs w:val="22"/>
        </w:rPr>
        <w:t xml:space="preserve">Typical loser: 2-4 days (stopped out quickly).</w:t>
      </w:r>
    </w:p>
    <w:p>
      <w:pPr>
        <w:pStyle w:val="ListParagraph"/>
        <w:numPr>
          <w:ilvl w:val="0"/>
          <w:numId w:val="2"/>
        </w:numPr>
        <w:spacing w:after="40" w:before="40"/>
      </w:pPr>
      <w:r>
        <w:rPr>
          <w:sz w:val="22"/>
          <w:szCs w:val="22"/>
        </w:rPr>
        <w:t xml:space="preserve">Maximum hold: 15 trading days. If a trade has not moved meaningfully in 3 weeks, capital is tied up doing nothing — exit.</w:t>
      </w:r>
    </w:p>
    <w:p>
      <w:pPr>
        <w:pStyle w:val="Heading3"/>
        <w:spacing w:after="100" w:before="180"/>
      </w:pPr>
      <w:r>
        <w:rPr>
          <w:b/>
          <w:bCs/>
          <w:color w:val="2E75B6"/>
          <w:sz w:val="22"/>
          <w:szCs w:val="22"/>
        </w:rPr>
        <w:t xml:space="preserve">Early-exit triggers</w:t>
      </w:r>
    </w:p>
    <w:p>
      <w:pPr>
        <w:pStyle w:val="ListParagraph"/>
        <w:numPr>
          <w:ilvl w:val="0"/>
          <w:numId w:val="2"/>
        </w:numPr>
        <w:spacing w:after="40" w:before="40"/>
      </w:pPr>
      <w:r>
        <w:rPr>
          <w:sz w:val="22"/>
          <w:szCs w:val="22"/>
        </w:rPr>
        <w:t xml:space="preserve">Thesis broken: volume dries up, or stock loses breakout level by ≥ 2% with above-average volume.</w:t>
      </w:r>
    </w:p>
    <w:p>
      <w:pPr>
        <w:pStyle w:val="ListParagraph"/>
        <w:numPr>
          <w:ilvl w:val="0"/>
          <w:numId w:val="2"/>
        </w:numPr>
        <w:spacing w:after="40" w:before="40"/>
      </w:pPr>
      <w:r>
        <w:rPr>
          <w:sz w:val="22"/>
          <w:szCs w:val="22"/>
        </w:rPr>
        <w:t xml:space="preserve">Pre-event: always exit 1 day before earnings/results, RBI policy, Budget, Fed meetings.</w:t>
      </w:r>
    </w:p>
    <w:p>
      <w:pPr>
        <w:pStyle w:val="ListParagraph"/>
        <w:numPr>
          <w:ilvl w:val="0"/>
          <w:numId w:val="2"/>
        </w:numPr>
        <w:spacing w:after="40" w:before="40"/>
      </w:pPr>
      <w:r>
        <w:rPr>
          <w:sz w:val="22"/>
          <w:szCs w:val="22"/>
        </w:rPr>
        <w:t xml:space="preserve">Gap against you: exit on the open if gap is &gt; 3% against position and does not fill within 30 minutes.</w:t>
      </w:r>
    </w:p>
    <w:p>
      <w:pPr>
        <w:pStyle w:val="ListParagraph"/>
        <w:numPr>
          <w:ilvl w:val="0"/>
          <w:numId w:val="2"/>
        </w:numPr>
        <w:spacing w:after="40" w:before="40"/>
      </w:pPr>
      <w:r>
        <w:rPr>
          <w:sz w:val="22"/>
          <w:szCs w:val="22"/>
        </w:rPr>
        <w:t xml:space="preserve">Regime flip: Nifty breaks 50-DMA and closes below it — reduce all long exposure by 50%.</w:t>
      </w:r>
    </w:p>
    <w:p>
      <w:r>
        <w:br w:type="page"/>
      </w:r>
    </w:p>
    <w:p>
      <w:pPr>
        <w:pStyle w:val="Heading1"/>
        <w:spacing w:after="180" w:before="360"/>
      </w:pPr>
      <w:r>
        <w:rPr>
          <w:b/>
          <w:bCs/>
          <w:color w:val="1F3864"/>
          <w:sz w:val="32"/>
          <w:szCs w:val="32"/>
        </w:rPr>
        <w:t xml:space="preserve">5. Daily Execution Checklist</w:t>
      </w:r>
    </w:p>
    <w:p>
      <w:pPr>
        <w:spacing w:after="80" w:before="80"/>
        <w:jc w:val="both"/>
      </w:pPr>
      <w:r>
        <w:rPr>
          <w:sz w:val="22"/>
          <w:szCs w:val="22"/>
        </w:rPr>
        <w:t xml:space="preserve">This is the printable, tape-to-your-monitor workflow. Swing trading looks easy on paper and is broken by undisciplined execution. The checklist is what enforces discipline.</w:t>
      </w:r>
    </w:p>
    <w:p>
      <w:pPr>
        <w:pStyle w:val="Heading2"/>
        <w:spacing w:after="120" w:before="240"/>
      </w:pPr>
      <w:r>
        <w:rPr>
          <w:b/>
          <w:bCs/>
          <w:color w:val="1F3864"/>
          <w:sz w:val="26"/>
          <w:szCs w:val="26"/>
        </w:rPr>
        <w:t xml:space="preserve">Sunday Evening — Weekly Prep (45 minutes)</w:t>
      </w:r>
    </w:p>
    <w:p>
      <w:pPr>
        <w:pStyle w:val="ListParagraph"/>
        <w:numPr>
          <w:ilvl w:val="0"/>
          <w:numId w:val="2"/>
        </w:numPr>
        <w:spacing w:after="40" w:before="40"/>
      </w:pPr>
      <w:r>
        <w:rPr>
          <w:sz w:val="22"/>
          <w:szCs w:val="22"/>
        </w:rPr>
        <w:t xml:space="preserve">Check Nifty 50 weekly chart: is it above 50-DMA? Above 200-DMA? What is ADX reading?</w:t>
      </w:r>
    </w:p>
    <w:p>
      <w:pPr>
        <w:pStyle w:val="ListParagraph"/>
        <w:numPr>
          <w:ilvl w:val="0"/>
          <w:numId w:val="2"/>
        </w:numPr>
        <w:spacing w:after="40" w:before="40"/>
      </w:pPr>
      <w:r>
        <w:rPr>
          <w:sz w:val="22"/>
          <w:szCs w:val="22"/>
        </w:rPr>
        <w:t xml:space="preserve">Check India VIX: what is the level, and what is the trend over past 4 weeks?</w:t>
      </w:r>
    </w:p>
    <w:p>
      <w:pPr>
        <w:pStyle w:val="ListParagraph"/>
        <w:numPr>
          <w:ilvl w:val="0"/>
          <w:numId w:val="2"/>
        </w:numPr>
        <w:spacing w:after="40" w:before="40"/>
      </w:pPr>
      <w:r>
        <w:rPr>
          <w:sz w:val="22"/>
          <w:szCs w:val="22"/>
        </w:rPr>
        <w:t xml:space="preserve">Run Chartink Scanner A (52-week breakout) on Nifty 500. Export top 15-20 names.</w:t>
      </w:r>
    </w:p>
    <w:p>
      <w:pPr>
        <w:pStyle w:val="ListParagraph"/>
        <w:numPr>
          <w:ilvl w:val="0"/>
          <w:numId w:val="2"/>
        </w:numPr>
        <w:spacing w:after="40" w:before="40"/>
      </w:pPr>
      <w:r>
        <w:rPr>
          <w:sz w:val="22"/>
          <w:szCs w:val="22"/>
        </w:rPr>
        <w:t xml:space="preserve">Run Chartink Scanner B (20-DMA pullback). Export top 10-15 names.</w:t>
      </w:r>
    </w:p>
    <w:p>
      <w:pPr>
        <w:pStyle w:val="ListParagraph"/>
        <w:numPr>
          <w:ilvl w:val="0"/>
          <w:numId w:val="2"/>
        </w:numPr>
        <w:spacing w:after="40" w:before="40"/>
      </w:pPr>
      <w:r>
        <w:rPr>
          <w:sz w:val="22"/>
          <w:szCs w:val="22"/>
        </w:rPr>
        <w:t xml:space="preserve">For each candidate: chart-review it manually. Mark base, breakout level, stop-loss level, first target.</w:t>
      </w:r>
    </w:p>
    <w:p>
      <w:pPr>
        <w:pStyle w:val="ListParagraph"/>
        <w:numPr>
          <w:ilvl w:val="0"/>
          <w:numId w:val="2"/>
        </w:numPr>
        <w:spacing w:after="40" w:before="40"/>
      </w:pPr>
      <w:r>
        <w:rPr>
          <w:sz w:val="22"/>
          <w:szCs w:val="22"/>
        </w:rPr>
        <w:t xml:space="preserve">Build a watchlist of 5-8 A-grade setups for the upcoming week.</w:t>
      </w:r>
    </w:p>
    <w:p>
      <w:pPr>
        <w:pStyle w:val="ListParagraph"/>
        <w:numPr>
          <w:ilvl w:val="0"/>
          <w:numId w:val="2"/>
        </w:numPr>
        <w:spacing w:after="40" w:before="40"/>
      </w:pPr>
      <w:r>
        <w:rPr>
          <w:sz w:val="22"/>
          <w:szCs w:val="22"/>
        </w:rPr>
        <w:t xml:space="preserve">Check earnings calendar: mark any watchlist stock with results due within 5 trading days and delete it from the list.</w:t>
      </w:r>
    </w:p>
    <w:p>
      <w:pPr>
        <w:pStyle w:val="ListParagraph"/>
        <w:numPr>
          <w:ilvl w:val="0"/>
          <w:numId w:val="2"/>
        </w:numPr>
        <w:spacing w:after="40" w:before="40"/>
      </w:pPr>
      <w:r>
        <w:rPr>
          <w:sz w:val="22"/>
          <w:szCs w:val="22"/>
        </w:rPr>
        <w:t xml:space="preserve">Update your trading journal with last week's P&amp;L, win rate, average R captured.</w:t>
      </w:r>
    </w:p>
    <w:p>
      <w:pPr>
        <w:pStyle w:val="Heading2"/>
        <w:spacing w:after="120" w:before="240"/>
      </w:pPr>
      <w:r>
        <w:rPr>
          <w:b/>
          <w:bCs/>
          <w:color w:val="1F3864"/>
          <w:sz w:val="26"/>
          <w:szCs w:val="26"/>
        </w:rPr>
        <w:t xml:space="preserve">Every Trading Day — Pre-Market (8:30 – 9:15 AM IST)</w:t>
      </w:r>
    </w:p>
    <w:p>
      <w:pPr>
        <w:pStyle w:val="ListParagraph"/>
        <w:numPr>
          <w:ilvl w:val="0"/>
          <w:numId w:val="2"/>
        </w:numPr>
        <w:spacing w:after="40" w:before="40"/>
      </w:pPr>
      <w:r>
        <w:rPr>
          <w:sz w:val="22"/>
          <w:szCs w:val="22"/>
        </w:rPr>
        <w:t xml:space="preserve">Check SGX Nifty / GIFT Nifty: what is implied opening for Nifty?</w:t>
      </w:r>
    </w:p>
    <w:p>
      <w:pPr>
        <w:pStyle w:val="ListParagraph"/>
        <w:numPr>
          <w:ilvl w:val="0"/>
          <w:numId w:val="2"/>
        </w:numPr>
        <w:spacing w:after="40" w:before="40"/>
      </w:pPr>
      <w:r>
        <w:rPr>
          <w:sz w:val="22"/>
          <w:szCs w:val="22"/>
        </w:rPr>
        <w:t xml:space="preserve">Check overnight US close (S&amp;P 500, Nasdaq) and key Asian markets (Nikkei, Hang Seng).</w:t>
      </w:r>
    </w:p>
    <w:p>
      <w:pPr>
        <w:pStyle w:val="ListParagraph"/>
        <w:numPr>
          <w:ilvl w:val="0"/>
          <w:numId w:val="2"/>
        </w:numPr>
        <w:spacing w:after="40" w:before="40"/>
      </w:pPr>
      <w:r>
        <w:rPr>
          <w:sz w:val="22"/>
          <w:szCs w:val="22"/>
        </w:rPr>
        <w:t xml:space="preserve">Scan major news: RBI announcements, global central bank speakers, major corporate news on watchlist stocks, any India-specific events (elections, policy).</w:t>
      </w:r>
    </w:p>
    <w:p>
      <w:pPr>
        <w:pStyle w:val="ListParagraph"/>
        <w:numPr>
          <w:ilvl w:val="0"/>
          <w:numId w:val="2"/>
        </w:numPr>
        <w:spacing w:after="40" w:before="40"/>
      </w:pPr>
      <w:r>
        <w:rPr>
          <w:sz w:val="22"/>
          <w:szCs w:val="22"/>
        </w:rPr>
        <w:t xml:space="preserve">Review open positions: have any hit stop overnight (futures gap)? Any hit target levels?</w:t>
      </w:r>
    </w:p>
    <w:p>
      <w:pPr>
        <w:pStyle w:val="ListParagraph"/>
        <w:numPr>
          <w:ilvl w:val="0"/>
          <w:numId w:val="2"/>
        </w:numPr>
        <w:spacing w:after="40" w:before="40"/>
      </w:pPr>
      <w:r>
        <w:rPr>
          <w:sz w:val="22"/>
          <w:szCs w:val="22"/>
        </w:rPr>
        <w:t xml:space="preserve">For each watchlist stock: decide — is the trigger level still valid? Place GTT (Good-Till-Triggered) orders for the entry.</w:t>
      </w:r>
    </w:p>
    <w:p>
      <w:pPr>
        <w:pStyle w:val="ListParagraph"/>
        <w:numPr>
          <w:ilvl w:val="0"/>
          <w:numId w:val="2"/>
        </w:numPr>
        <w:spacing w:after="40" w:before="40"/>
      </w:pPr>
      <w:r>
        <w:rPr>
          <w:sz w:val="22"/>
          <w:szCs w:val="22"/>
        </w:rPr>
        <w:t xml:space="preserve">Check India VIX pre-open — if &gt; 20, cut intended position sizes in half.</w:t>
      </w:r>
    </w:p>
    <w:p>
      <w:pPr>
        <w:pStyle w:val="Heading2"/>
        <w:spacing w:after="120" w:before="240"/>
      </w:pPr>
      <w:r>
        <w:rPr>
          <w:b/>
          <w:bCs/>
          <w:color w:val="1F3864"/>
          <w:sz w:val="26"/>
          <w:szCs w:val="26"/>
        </w:rPr>
        <w:t xml:space="preserve">Market Hours — 9:15 AM – 3:30 PM IST</w:t>
      </w:r>
    </w:p>
    <w:p>
      <w:pPr>
        <w:pStyle w:val="ListParagraph"/>
        <w:numPr>
          <w:ilvl w:val="0"/>
          <w:numId w:val="2"/>
        </w:numPr>
        <w:spacing w:after="40" w:before="40"/>
      </w:pPr>
      <w:r>
        <w:rPr>
          <w:b/>
          <w:bCs/>
          <w:sz w:val="22"/>
          <w:szCs w:val="22"/>
        </w:rPr>
        <w:t xml:space="preserve">9:15 – 9:30: DO NOT TRADE. </w:t>
      </w:r>
      <w:r>
        <w:rPr>
          <w:sz w:val="22"/>
          <w:szCs w:val="22"/>
        </w:rPr>
        <w:t xml:space="preserve">The first 15 minutes is dominated by overnight-order unwinding and is the worst time to take positions. Watch, don't click.</w:t>
      </w:r>
    </w:p>
    <w:p>
      <w:pPr>
        <w:pStyle w:val="ListParagraph"/>
        <w:numPr>
          <w:ilvl w:val="0"/>
          <w:numId w:val="2"/>
        </w:numPr>
        <w:spacing w:after="40" w:before="40"/>
      </w:pPr>
      <w:r>
        <w:rPr>
          <w:sz w:val="22"/>
          <w:szCs w:val="22"/>
        </w:rPr>
        <w:t xml:space="preserve">9:30 – 11:00: primary trade execution window. Your GTT orders will trigger here if setups fire.</w:t>
      </w:r>
    </w:p>
    <w:p>
      <w:pPr>
        <w:pStyle w:val="ListParagraph"/>
        <w:numPr>
          <w:ilvl w:val="0"/>
          <w:numId w:val="2"/>
        </w:numPr>
        <w:spacing w:after="40" w:before="40"/>
      </w:pPr>
      <w:r>
        <w:rPr>
          <w:sz w:val="22"/>
          <w:szCs w:val="22"/>
        </w:rPr>
        <w:t xml:space="preserve">11:00 – 2:30: 'dead zone.' Lunch hour and low-conviction time. No fresh entries unless a setup fires with conviction.</w:t>
      </w:r>
    </w:p>
    <w:p>
      <w:pPr>
        <w:pStyle w:val="ListParagraph"/>
        <w:numPr>
          <w:ilvl w:val="0"/>
          <w:numId w:val="2"/>
        </w:numPr>
        <w:spacing w:after="40" w:before="40"/>
      </w:pPr>
      <w:r>
        <w:rPr>
          <w:sz w:val="22"/>
          <w:szCs w:val="22"/>
        </w:rPr>
        <w:t xml:space="preserve">2:30 – 3:15: monitor for trail stops. If a position is approaching T1, consider booking partial.</w:t>
      </w:r>
    </w:p>
    <w:p>
      <w:pPr>
        <w:pStyle w:val="ListParagraph"/>
        <w:numPr>
          <w:ilvl w:val="0"/>
          <w:numId w:val="2"/>
        </w:numPr>
        <w:spacing w:after="40" w:before="40"/>
      </w:pPr>
      <w:r>
        <w:rPr>
          <w:b/>
          <w:bCs/>
          <w:sz w:val="22"/>
          <w:szCs w:val="22"/>
        </w:rPr>
        <w:t xml:space="preserve">3:15 – 3:30: NO NEW ENTRIES. </w:t>
      </w:r>
      <w:r>
        <w:rPr>
          <w:sz w:val="22"/>
          <w:szCs w:val="22"/>
        </w:rPr>
        <w:t xml:space="preserve">Closing auction period — spreads widen, institutional flow distorts prices. Only exits.</w:t>
      </w:r>
    </w:p>
    <w:p>
      <w:pPr>
        <w:pStyle w:val="ListParagraph"/>
        <w:numPr>
          <w:ilvl w:val="0"/>
          <w:numId w:val="2"/>
        </w:numPr>
        <w:spacing w:after="40" w:before="40"/>
      </w:pPr>
      <w:r>
        <w:rPr>
          <w:sz w:val="22"/>
          <w:szCs w:val="22"/>
        </w:rPr>
        <w:t xml:space="preserve">Hard rule: no 'revenge trades' after a loss. If you get stopped out, step away from the screen for 15 minutes before looking at another setup.</w:t>
      </w:r>
    </w:p>
    <w:p>
      <w:pPr>
        <w:pStyle w:val="Heading2"/>
        <w:spacing w:after="120" w:before="240"/>
      </w:pPr>
      <w:r>
        <w:rPr>
          <w:b/>
          <w:bCs/>
          <w:color w:val="1F3864"/>
          <w:sz w:val="26"/>
          <w:szCs w:val="26"/>
        </w:rPr>
        <w:t xml:space="preserve">Post-Market — 4:00 PM onwards</w:t>
      </w:r>
    </w:p>
    <w:p>
      <w:pPr>
        <w:pStyle w:val="ListParagraph"/>
        <w:numPr>
          <w:ilvl w:val="0"/>
          <w:numId w:val="2"/>
        </w:numPr>
        <w:spacing w:after="40" w:before="40"/>
      </w:pPr>
      <w:r>
        <w:rPr>
          <w:sz w:val="22"/>
          <w:szCs w:val="22"/>
        </w:rPr>
        <w:t xml:space="preserve">Log every trade taken today: entry, exit, size, P&amp;L, R captured, and 1-line reason for the trade.</w:t>
      </w:r>
    </w:p>
    <w:p>
      <w:pPr>
        <w:pStyle w:val="ListParagraph"/>
        <w:numPr>
          <w:ilvl w:val="0"/>
          <w:numId w:val="2"/>
        </w:numPr>
        <w:spacing w:after="40" w:before="40"/>
      </w:pPr>
      <w:r>
        <w:rPr>
          <w:sz w:val="22"/>
          <w:szCs w:val="22"/>
        </w:rPr>
        <w:t xml:space="preserve">Mark each trade with: A (grade setup, well-executed), B (OK), or C (mistake — forced trade, poor execution, wrong setup).</w:t>
      </w:r>
    </w:p>
    <w:p>
      <w:pPr>
        <w:pStyle w:val="ListParagraph"/>
        <w:numPr>
          <w:ilvl w:val="0"/>
          <w:numId w:val="2"/>
        </w:numPr>
        <w:spacing w:after="40" w:before="40"/>
      </w:pPr>
      <w:r>
        <w:rPr>
          <w:sz w:val="22"/>
          <w:szCs w:val="22"/>
        </w:rPr>
        <w:t xml:space="preserve">Review any open positions: do stops need to be trailed tonight? Update GTT orders.</w:t>
      </w:r>
    </w:p>
    <w:p>
      <w:pPr>
        <w:pStyle w:val="ListParagraph"/>
        <w:numPr>
          <w:ilvl w:val="0"/>
          <w:numId w:val="2"/>
        </w:numPr>
        <w:spacing w:after="40" w:before="40"/>
      </w:pPr>
      <w:r>
        <w:rPr>
          <w:sz w:val="22"/>
          <w:szCs w:val="22"/>
        </w:rPr>
        <w:t xml:space="preserve">Update running metrics: weekly P&amp;L, month-to-date, win rate, average R, max drawdown from peak.</w:t>
      </w:r>
    </w:p>
    <w:p>
      <w:pPr>
        <w:pStyle w:val="ListParagraph"/>
        <w:numPr>
          <w:ilvl w:val="0"/>
          <w:numId w:val="2"/>
        </w:numPr>
        <w:spacing w:after="40" w:before="40"/>
      </w:pPr>
      <w:r>
        <w:rPr>
          <w:sz w:val="22"/>
          <w:szCs w:val="22"/>
        </w:rPr>
        <w:t xml:space="preserve">2-minute reflection: what did you do right today? What did you do wrong? Write it down.</w:t>
      </w:r>
    </w:p>
    <w:p>
      <w:r>
        <w:br w:type="page"/>
      </w:r>
    </w:p>
    <w:p>
      <w:pPr>
        <w:pStyle w:val="Heading1"/>
        <w:spacing w:after="180" w:before="360"/>
      </w:pPr>
      <w:r>
        <w:rPr>
          <w:b/>
          <w:bCs/>
          <w:color w:val="1F3864"/>
          <w:sz w:val="32"/>
          <w:szCs w:val="32"/>
        </w:rPr>
        <w:t xml:space="preserve">6. Compliance &amp; Realistic Expectations</w:t>
      </w:r>
    </w:p>
    <w:p>
      <w:pPr>
        <w:pStyle w:val="Heading2"/>
        <w:spacing w:after="120" w:before="240"/>
      </w:pPr>
      <w:r>
        <w:rPr>
          <w:b/>
          <w:bCs/>
          <w:color w:val="1F3864"/>
          <w:sz w:val="26"/>
          <w:szCs w:val="26"/>
        </w:rPr>
        <w:t xml:space="preserve">The honest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Cost item</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Typical rate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Impact per round-trip trade</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Brokerage (delivery)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 (Zerodha) to 0.25% (full-service)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 – ₹500 on ₹1L trade</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STT (delivery)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0.1% on buy + 0.1% on sell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₹200 on ₹1L round trip</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GST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18% of brokerage + exchange fees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₹5 – ₹90 per trade</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SEBI + exchange fees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~₹10 per crore + small stamp duty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₹20 – ₹40 per trade</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Slippage (biggest hidden cost)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4-10 basis points on liquid stocks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₹40 – ₹100 on ₹1L. Worse on midcaps.</w:t>
            </w:r>
          </w:p>
        </w:tc>
      </w:tr>
      <w:tr>
        <w:tc>
          <w:tcPr>
            <w:tcW w:type="dxa" w:w="3120"/>
            <w:tcBorders>
              <w:top w:val="single" w:color="BFBFBF" w:sz="4"/>
              <w:left w:val="single" w:color="BFBFBF" w:sz="4"/>
              <w:bottom w:val="single" w:color="BFBFBF" w:sz="4"/>
              <w:right w:val="single" w:color="BFBFBF" w:sz="4"/>
            </w:tcBorders>
            <w:shd w:fill="E7EEF7" w:val="clear"/>
            <w:tcMar>
              <w:top w:type="dxa" w:w="100"/>
              <w:left w:type="dxa" w:w="140"/>
              <w:bottom w:type="dxa" w:w="100"/>
              <w:right w:type="dxa" w:w="140"/>
            </w:tcMar>
          </w:tcPr>
          <w:p>
            <w:pPr>
              <w:jc w:val="left"/>
            </w:pPr>
            <w:r>
              <w:rPr>
                <w:b/>
                <w:bCs/>
                <w:sz w:val="20"/>
                <w:szCs w:val="20"/>
              </w:rPr>
              <w:t xml:space="preserve">STCG tax (&lt; 12 months)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15% on net equity gains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Taken at year-end on aggregate</w:t>
            </w:r>
          </w:p>
        </w:tc>
      </w:tr>
    </w:tbl>
    <w:p>
      <w:pPr>
        <w:spacing w:after="80" w:before="80"/>
        <w:jc w:val="both"/>
      </w:pPr>
      <w:r>
        <w:rPr>
          <w:sz w:val="22"/>
          <w:szCs w:val="22"/>
        </w:rPr>
        <w:t xml:space="preserve">Round-trip total: assume 30-60 bps (0.3-0.6%) per trade on liquid Nifty 500 names. This means your average winner needs to clear ~0.5% just to break even on costs alone. On 50+ trades per year, this is a very real drag.</w:t>
      </w:r>
    </w:p>
    <w:p>
      <w:pPr>
        <w:pStyle w:val="Heading2"/>
        <w:spacing w:after="120" w:before="240"/>
      </w:pPr>
      <w:r>
        <w:rPr>
          <w:b/>
          <w:bCs/>
          <w:color w:val="1F3864"/>
          <w:sz w:val="26"/>
          <w:szCs w:val="26"/>
        </w:rPr>
        <w:t xml:space="preserve">What swing trading CANNOT do</w:t>
      </w:r>
    </w:p>
    <w:p>
      <w:pPr>
        <w:pStyle w:val="ListParagraph"/>
        <w:numPr>
          <w:ilvl w:val="0"/>
          <w:numId w:val="2"/>
        </w:numPr>
        <w:spacing w:after="40" w:before="40"/>
      </w:pPr>
      <w:r>
        <w:rPr>
          <w:b/>
          <w:bCs/>
          <w:sz w:val="22"/>
          <w:szCs w:val="22"/>
        </w:rPr>
        <w:t xml:space="preserve">Make you rich quickly. </w:t>
      </w:r>
      <w:r>
        <w:rPr>
          <w:sz w:val="22"/>
          <w:szCs w:val="22"/>
        </w:rPr>
        <w:t xml:space="preserve">A realistic, well-executed swing strategy returns 15-25% p.a. gross, ~12-18% net of costs and taxes. This is great, but it is not '10x in 6 months' territory. Be deeply skeptical of anyone promising more.</w:t>
      </w:r>
    </w:p>
    <w:p>
      <w:pPr>
        <w:pStyle w:val="ListParagraph"/>
        <w:numPr>
          <w:ilvl w:val="0"/>
          <w:numId w:val="2"/>
        </w:numPr>
        <w:spacing w:after="40" w:before="40"/>
      </w:pPr>
      <w:r>
        <w:rPr>
          <w:b/>
          <w:bCs/>
          <w:sz w:val="22"/>
          <w:szCs w:val="22"/>
        </w:rPr>
        <w:t xml:space="preserve">Work on sub-₹2 lakh capital meaningfully. </w:t>
      </w:r>
      <w:r>
        <w:rPr>
          <w:sz w:val="22"/>
          <w:szCs w:val="22"/>
        </w:rPr>
        <w:t xml:space="preserve">At ₹1 lakh capital and 1% risk, you are risking ₹1,000 per trade. Fixed costs alone (₹100+ per round trip) eat 10% of your risk budget. Under ₹2-3 lakh, costs dominate edge. Paper trade or use very small positions to build skill first.</w:t>
      </w:r>
    </w:p>
    <w:p>
      <w:pPr>
        <w:pStyle w:val="ListParagraph"/>
        <w:numPr>
          <w:ilvl w:val="0"/>
          <w:numId w:val="2"/>
        </w:numPr>
        <w:spacing w:after="40" w:before="40"/>
      </w:pPr>
      <w:r>
        <w:rPr>
          <w:b/>
          <w:bCs/>
          <w:sz w:val="22"/>
          <w:szCs w:val="22"/>
        </w:rPr>
        <w:t xml:space="preserve">Replace a job. </w:t>
      </w:r>
      <w:r>
        <w:rPr>
          <w:sz w:val="22"/>
          <w:szCs w:val="22"/>
        </w:rPr>
        <w:t xml:space="preserve">Even on ₹20 lakh capital at 20% net, that is ₹4 lakh p.a. — ₹33,000/month. Most traders earn less than this from trading alone because variance means some years will be flat or negative.</w:t>
      </w:r>
    </w:p>
    <w:p>
      <w:pPr>
        <w:pStyle w:val="Heading2"/>
        <w:spacing w:after="120" w:before="240"/>
      </w:pPr>
      <w:r>
        <w:rPr>
          <w:b/>
          <w:bCs/>
          <w:color w:val="1F3864"/>
          <w:sz w:val="26"/>
          <w:szCs w:val="26"/>
        </w:rPr>
        <w:t xml:space="preserve">Known risks and honest caveats</w:t>
      </w:r>
    </w:p>
    <w:p>
      <w:pPr>
        <w:pStyle w:val="ListParagraph"/>
        <w:numPr>
          <w:ilvl w:val="0"/>
          <w:numId w:val="2"/>
        </w:numPr>
        <w:spacing w:after="40" w:before="40"/>
      </w:pPr>
      <w:r>
        <w:rPr>
          <w:b/>
          <w:bCs/>
          <w:sz w:val="22"/>
          <w:szCs w:val="22"/>
        </w:rPr>
        <w:t xml:space="preserve">Survivorship bias: </w:t>
      </w:r>
      <w:r>
        <w:rPr>
          <w:sz w:val="22"/>
          <w:szCs w:val="22"/>
        </w:rPr>
        <w:t xml:space="preserve">Nifty 500 today includes companies that survived — you cannot backtest against stocks that were de-listed, merged, or collapsed. Real-time trading on today's Nifty 500 avoids this, but backtests based on current constituents overstate returns.</w:t>
      </w:r>
    </w:p>
    <w:p>
      <w:pPr>
        <w:pStyle w:val="ListParagraph"/>
        <w:numPr>
          <w:ilvl w:val="0"/>
          <w:numId w:val="2"/>
        </w:numPr>
        <w:spacing w:after="40" w:before="40"/>
      </w:pPr>
      <w:r>
        <w:rPr>
          <w:b/>
          <w:bCs/>
          <w:sz w:val="22"/>
          <w:szCs w:val="22"/>
        </w:rPr>
        <w:t xml:space="preserve">Overfitting: </w:t>
      </w:r>
      <w:r>
        <w:rPr>
          <w:sz w:val="22"/>
          <w:szCs w:val="22"/>
        </w:rPr>
        <w:t xml:space="preserve">Any strategy tested against the same data it was designed on will look better than it truly is. Always reserve out-of-sample data (or forward-test) before deploying.</w:t>
      </w:r>
    </w:p>
    <w:p>
      <w:pPr>
        <w:pStyle w:val="ListParagraph"/>
        <w:numPr>
          <w:ilvl w:val="0"/>
          <w:numId w:val="2"/>
        </w:numPr>
        <w:spacing w:after="40" w:before="40"/>
      </w:pPr>
      <w:r>
        <w:rPr>
          <w:b/>
          <w:bCs/>
          <w:sz w:val="22"/>
          <w:szCs w:val="22"/>
        </w:rPr>
        <w:t xml:space="preserve">Regime change: </w:t>
      </w:r>
      <w:r>
        <w:rPr>
          <w:sz w:val="22"/>
          <w:szCs w:val="22"/>
        </w:rPr>
        <w:t xml:space="preserve">Indian markets 2003-2007 behaved very differently from 2014-2019 and from 2020 onwards. A strategy that worked in one regime can fail in the next.</w:t>
      </w:r>
    </w:p>
    <w:p>
      <w:pPr>
        <w:pStyle w:val="ListParagraph"/>
        <w:numPr>
          <w:ilvl w:val="0"/>
          <w:numId w:val="2"/>
        </w:numPr>
        <w:spacing w:after="40" w:before="40"/>
      </w:pPr>
      <w:r>
        <w:rPr>
          <w:b/>
          <w:bCs/>
          <w:sz w:val="22"/>
          <w:szCs w:val="22"/>
        </w:rPr>
        <w:t xml:space="preserve">The '91% win rate' warning: </w:t>
      </w:r>
      <w:r>
        <w:rPr>
          <w:sz w:val="22"/>
          <w:szCs w:val="22"/>
        </w:rPr>
        <w:t xml:space="preserve">If a public strategy claims &gt; 80% win rate, it is almost always one of: (a) asymmetric risk-reward hiding true drawdown, (b) curve-fitted, (c) cherry-picked period, or (d) a paid course's marketing. Treat as a red flag, not a green one.</w:t>
      </w:r>
    </w:p>
    <w:p>
      <w:r>
        <w:br w:type="page"/>
      </w:r>
    </w:p>
    <w:p>
      <w:pPr>
        <w:pStyle w:val="Heading1"/>
        <w:spacing w:after="180" w:before="360"/>
      </w:pPr>
      <w:r>
        <w:rPr>
          <w:b/>
          <w:bCs/>
          <w:color w:val="1F3864"/>
          <w:sz w:val="32"/>
          <w:szCs w:val="32"/>
        </w:rPr>
        <w:t xml:space="preserve">7. Sources &amp; References</w:t>
      </w:r>
    </w:p>
    <w:p>
      <w:pPr>
        <w:spacing w:after="80" w:before="80"/>
        <w:jc w:val="both"/>
      </w:pPr>
      <w:r>
        <w:rPr>
          <w:sz w:val="22"/>
          <w:szCs w:val="22"/>
        </w:rPr>
        <w:t xml:space="preserve">All sources are publicly accessible as of the date of this document. Where specific numbers are cited in the body, the source is listed here.</w:t>
      </w:r>
    </w:p>
    <w:p>
      <w:pPr>
        <w:pStyle w:val="Heading3"/>
        <w:spacing w:after="100" w:before="180"/>
      </w:pPr>
      <w:r>
        <w:rPr>
          <w:b/>
          <w:bCs/>
          <w:color w:val="2E75B6"/>
          <w:sz w:val="22"/>
          <w:szCs w:val="22"/>
        </w:rPr>
        <w:t xml:space="preserve">Academic and peer-reviewed</w:t>
      </w:r>
    </w:p>
    <w:p>
      <w:pPr>
        <w:pStyle w:val="ListParagraph"/>
        <w:numPr>
          <w:ilvl w:val="0"/>
          <w:numId w:val="2"/>
        </w:numPr>
        <w:spacing w:after="40" w:before="40"/>
      </w:pPr>
      <w:r>
        <w:rPr>
          <w:sz w:val="22"/>
          <w:szCs w:val="22"/>
        </w:rPr>
        <w:t xml:space="preserve">Raju, Rajan &amp; Chandrasekaran, Abhijit. 'Implementing a Systematic Long-only Momentum Strategy: Evidence From India.' SSRN (October 2019). https://papers.ssrn.com/sol3/papers.cfm?abstract_id=3510433</w:t>
      </w:r>
    </w:p>
    <w:p>
      <w:pPr>
        <w:pStyle w:val="ListParagraph"/>
        <w:numPr>
          <w:ilvl w:val="0"/>
          <w:numId w:val="2"/>
        </w:numPr>
        <w:spacing w:after="40" w:before="40"/>
      </w:pPr>
      <w:r>
        <w:rPr>
          <w:sz w:val="22"/>
          <w:szCs w:val="22"/>
        </w:rPr>
        <w:t xml:space="preserve">Nigam, Apurv &amp; Pandey, Piyush. 'How smart is a momentum strategy? An empirical study of Indian equities.' Algorithmic Finance (2023). https://journals.sagepub.com/doi/10.3233/AF-220399</w:t>
      </w:r>
    </w:p>
    <w:p>
      <w:pPr>
        <w:pStyle w:val="ListParagraph"/>
        <w:numPr>
          <w:ilvl w:val="0"/>
          <w:numId w:val="2"/>
        </w:numPr>
        <w:spacing w:after="40" w:before="40"/>
      </w:pPr>
      <w:r>
        <w:rPr>
          <w:sz w:val="22"/>
          <w:szCs w:val="22"/>
        </w:rPr>
        <w:t xml:space="preserve">Singh, Simarjeet et al. 'Risk-Managed Momentum: An Evidence from Indian Stock Market.' (2022). https://journals.sagepub.com/doi/10.1177/23197145211023001</w:t>
      </w:r>
    </w:p>
    <w:p>
      <w:pPr>
        <w:pStyle w:val="ListParagraph"/>
        <w:numPr>
          <w:ilvl w:val="0"/>
          <w:numId w:val="2"/>
        </w:numPr>
        <w:spacing w:after="40" w:before="40"/>
      </w:pPr>
      <w:r>
        <w:rPr>
          <w:sz w:val="22"/>
          <w:szCs w:val="22"/>
        </w:rPr>
        <w:t xml:space="preserve">Sapate, Uttam B. 'Weekly Momentum Study on Indian Stock Markets.' SSRN (Nov 2017). https://papers.ssrn.com/sol3/papers.cfm?abstract_id=3065621</w:t>
      </w:r>
    </w:p>
    <w:p>
      <w:pPr>
        <w:pStyle w:val="ListParagraph"/>
        <w:numPr>
          <w:ilvl w:val="0"/>
          <w:numId w:val="2"/>
        </w:numPr>
        <w:spacing w:after="40" w:before="40"/>
      </w:pPr>
      <w:r>
        <w:rPr>
          <w:sz w:val="22"/>
          <w:szCs w:val="22"/>
        </w:rPr>
        <w:t xml:space="preserve">Pelluri, Rishikesh. 'Quantitative Analysis of Price Momentum in Indian Equity Markets.' SSRN (Jan 2025). https://papers.ssrn.com/sol3/papers.cfm?abstract_id=5116091</w:t>
      </w:r>
    </w:p>
    <w:p>
      <w:pPr>
        <w:pStyle w:val="ListParagraph"/>
        <w:numPr>
          <w:ilvl w:val="0"/>
          <w:numId w:val="2"/>
        </w:numPr>
        <w:spacing w:after="40" w:before="40"/>
      </w:pPr>
      <w:r>
        <w:rPr>
          <w:sz w:val="22"/>
          <w:szCs w:val="22"/>
        </w:rPr>
        <w:t xml:space="preserve">Daniel, Kent &amp; Moskowitz, Tobias J. 'Momentum Crashes.' Journal of Financial Economics (2016). https://www.sciencedirect.com/science/article/pii/S0304405X16301490</w:t>
      </w:r>
    </w:p>
    <w:p>
      <w:pPr>
        <w:pStyle w:val="Heading3"/>
        <w:spacing w:after="100" w:before="180"/>
      </w:pPr>
      <w:r>
        <w:rPr>
          <w:b/>
          <w:bCs/>
          <w:color w:val="2E75B6"/>
          <w:sz w:val="22"/>
          <w:szCs w:val="22"/>
        </w:rPr>
        <w:t xml:space="preserve">Institutional and industry</w:t>
      </w:r>
    </w:p>
    <w:p>
      <w:pPr>
        <w:pStyle w:val="ListParagraph"/>
        <w:numPr>
          <w:ilvl w:val="0"/>
          <w:numId w:val="2"/>
        </w:numPr>
        <w:spacing w:after="40" w:before="40"/>
      </w:pPr>
      <w:r>
        <w:rPr>
          <w:sz w:val="22"/>
          <w:szCs w:val="22"/>
        </w:rPr>
        <w:t xml:space="preserve">NSE Indices Ltd. 'Nifty200 Momentum 30 Index Whitepaper.' September 2020. https://www.niftyindices.com/docs/default-source/indices/nifty200-momentum-30-index/nifty200_momentum_30_index_whitepaper_sep_20.pdf</w:t>
      </w:r>
    </w:p>
    <w:p>
      <w:pPr>
        <w:pStyle w:val="ListParagraph"/>
        <w:numPr>
          <w:ilvl w:val="0"/>
          <w:numId w:val="2"/>
        </w:numPr>
        <w:spacing w:after="40" w:before="40"/>
      </w:pPr>
      <w:r>
        <w:rPr>
          <w:sz w:val="22"/>
          <w:szCs w:val="22"/>
        </w:rPr>
        <w:t xml:space="preserve">HDFC AMC. 'HDFC NIFTY200 Momentum 30 Index Fund Leaflet.' October 2025 (contains the 19.3% CAGR since-inception data cited). https://files.hdfcfund.com/s3fs-public/Others/2025-10/Leaflet%20-%20HDFC%20NIFTY200%20Momentum%2030%20Index%20Fund%20%28Oct%202025%29.pdf</w:t>
      </w:r>
    </w:p>
    <w:p>
      <w:pPr>
        <w:pStyle w:val="ListParagraph"/>
        <w:numPr>
          <w:ilvl w:val="0"/>
          <w:numId w:val="2"/>
        </w:numPr>
        <w:spacing w:after="40" w:before="40"/>
      </w:pPr>
      <w:r>
        <w:rPr>
          <w:sz w:val="22"/>
          <w:szCs w:val="22"/>
        </w:rPr>
        <w:t xml:space="preserve">Trendlyne Baseline. 'DVM Strategy for Nifty 500 delivered 33%+ CAGR.' March 2023. https://trendlyne.com/posts/3988006/</w:t>
      </w:r>
    </w:p>
    <w:p>
      <w:pPr>
        <w:pStyle w:val="ListParagraph"/>
        <w:numPr>
          <w:ilvl w:val="0"/>
          <w:numId w:val="2"/>
        </w:numPr>
        <w:spacing w:after="40" w:before="40"/>
      </w:pPr>
      <w:r>
        <w:rPr>
          <w:sz w:val="22"/>
          <w:szCs w:val="22"/>
        </w:rPr>
        <w:t xml:space="preserve">Capitalmind. 'NSE Strategy Indices: Which Factors performed the best?' https://www.capitalmind.in/blog/nse-strategy-indices-factor-investing-basics</w:t>
      </w:r>
    </w:p>
    <w:p>
      <w:pPr>
        <w:pStyle w:val="ListParagraph"/>
        <w:numPr>
          <w:ilvl w:val="0"/>
          <w:numId w:val="2"/>
        </w:numPr>
        <w:spacing w:after="40" w:before="40"/>
      </w:pPr>
      <w:r>
        <w:rPr>
          <w:sz w:val="22"/>
          <w:szCs w:val="22"/>
        </w:rPr>
        <w:t xml:space="preserve">MomentumLAB (Medium). 'Momentum Strategies in Indian Markets: 10-Year Backtest Analysis.' August 2024.</w:t>
      </w:r>
    </w:p>
    <w:p>
      <w:pPr>
        <w:pStyle w:val="Heading3"/>
        <w:spacing w:after="100" w:before="180"/>
      </w:pPr>
      <w:r>
        <w:rPr>
          <w:b/>
          <w:bCs/>
          <w:color w:val="2E75B6"/>
          <w:sz w:val="22"/>
          <w:szCs w:val="22"/>
        </w:rPr>
        <w:t xml:space="preserve">Practical / educational</w:t>
      </w:r>
    </w:p>
    <w:p>
      <w:pPr>
        <w:pStyle w:val="ListParagraph"/>
        <w:numPr>
          <w:ilvl w:val="0"/>
          <w:numId w:val="2"/>
        </w:numPr>
        <w:spacing w:after="40" w:before="40"/>
      </w:pPr>
      <w:r>
        <w:rPr>
          <w:sz w:val="22"/>
          <w:szCs w:val="22"/>
        </w:rPr>
        <w:t xml:space="preserve">Zerodha Varsity, 'Risk (Part 1)' and 'Position Sizing for Active Traders (Parts 2 &amp; 3).' https://zerodha.com/varsity/</w:t>
      </w:r>
    </w:p>
    <w:p>
      <w:pPr>
        <w:pStyle w:val="ListParagraph"/>
        <w:numPr>
          <w:ilvl w:val="0"/>
          <w:numId w:val="2"/>
        </w:numPr>
        <w:spacing w:after="40" w:before="40"/>
      </w:pPr>
      <w:r>
        <w:rPr>
          <w:sz w:val="22"/>
          <w:szCs w:val="22"/>
        </w:rPr>
        <w:t xml:space="preserve">Endovia Wealth. 'Trend-Following vs Mean-Reversion Strategies.' November 2025.</w:t>
      </w:r>
    </w:p>
    <w:p>
      <w:pPr>
        <w:pStyle w:val="ListParagraph"/>
        <w:numPr>
          <w:ilvl w:val="0"/>
          <w:numId w:val="2"/>
        </w:numPr>
        <w:spacing w:after="40" w:before="40"/>
      </w:pPr>
      <w:r>
        <w:rPr>
          <w:sz w:val="22"/>
          <w:szCs w:val="22"/>
        </w:rPr>
        <w:t xml:space="preserve">Arihant Plus. 'Common Mistakes in Backtesting Trading Strategies.' November 2025.</w:t>
      </w:r>
    </w:p>
    <w:p>
      <w:pPr>
        <w:pStyle w:val="ListParagraph"/>
        <w:numPr>
          <w:ilvl w:val="0"/>
          <w:numId w:val="2"/>
        </w:numPr>
        <w:spacing w:after="40" w:before="40"/>
      </w:pPr>
      <w:r>
        <w:rPr>
          <w:sz w:val="22"/>
          <w:szCs w:val="22"/>
        </w:rPr>
        <w:t xml:space="preserve">AlgoTest. 'What is the Impact of Slippage on an Algo?' May 2025.</w:t>
      </w:r>
    </w:p>
    <w:p>
      <w:pPr>
        <w:pStyle w:val="Heading3"/>
        <w:spacing w:after="100" w:before="180"/>
      </w:pPr>
      <w:r>
        <w:rPr>
          <w:b/>
          <w:bCs/>
          <w:color w:val="2E75B6"/>
          <w:sz w:val="22"/>
          <w:szCs w:val="22"/>
        </w:rPr>
        <w:t xml:space="preserve">Regulatory</w:t>
      </w:r>
    </w:p>
    <w:p>
      <w:pPr>
        <w:pStyle w:val="ListParagraph"/>
        <w:numPr>
          <w:ilvl w:val="0"/>
          <w:numId w:val="2"/>
        </w:numPr>
        <w:spacing w:after="40" w:before="40"/>
      </w:pPr>
      <w:r>
        <w:rPr>
          <w:sz w:val="22"/>
          <w:szCs w:val="22"/>
        </w:rPr>
        <w:t xml:space="preserve">SEBI Chairman announcements on investor education and PaRRVA, December 2025. https://www.business-standard.com/markets/capital-market-news/sebi-to-bar-use-of-live-market-data-in-investor-education-125120900643_1.html</w:t>
      </w:r>
    </w:p>
    <w:p>
      <w:pPr>
        <w:pStyle w:val="ListParagraph"/>
        <w:numPr>
          <w:ilvl w:val="0"/>
          <w:numId w:val="2"/>
        </w:numPr>
        <w:spacing w:after="40" w:before="40"/>
      </w:pPr>
      <w:r>
        <w:rPr>
          <w:sz w:val="22"/>
          <w:szCs w:val="22"/>
        </w:rPr>
        <w:t xml:space="preserve">SEBI investor caution notices. https://www.sebi.gov.in/</w:t>
      </w:r>
    </w:p>
    <w:p>
      <w:r>
        <w:br w:type="page"/>
      </w:r>
    </w:p>
    <w:p>
      <w:pPr>
        <w:pStyle w:val="Heading1"/>
        <w:spacing w:after="180" w:before="360"/>
      </w:pPr>
      <w:r>
        <w:rPr>
          <w:b/>
          <w:bCs/>
          <w:color w:val="1F3864"/>
          <w:sz w:val="32"/>
          <w:szCs w:val="32"/>
        </w:rPr>
        <w:t xml:space="preserve">8. Disclaimer</w:t>
      </w:r>
    </w:p>
    <w:p>
      <w:pPr>
        <w:spacing w:after="180" w:before="120"/>
        <w:jc w:val="center"/>
      </w:pPr>
      <w:r>
        <w:rPr>
          <w:b/>
          <w:bCs/>
          <w:color w:val="B22222"/>
          <w:sz w:val="24"/>
          <w:szCs w:val="24"/>
        </w:rPr>
        <w:t xml:space="preserve">SEBI-COMPLIANT DISCLAIMER — READ BEFORE USING</w:t>
      </w:r>
    </w:p>
    <w:p>
      <w:pPr>
        <w:spacing w:after="80" w:before="80"/>
        <w:jc w:val="both"/>
      </w:pPr>
      <w:r>
        <w:rPr>
          <w:sz w:val="22"/>
          <w:szCs w:val="22"/>
        </w:rPr>
        <w:t xml:space="preserve">This document is for educational and informational purposes only. Nothing herein constitutes investment advice, stock recommendations, research analysis, or portfolio management advisory. The author(s) of this document and the Investors Way channel are NOT SEBI-registered Investment Advisers (IA), Research Analysts (RA), or Portfolio Managers.</w:t>
      </w:r>
    </w:p>
    <w:p>
      <w:pPr>
        <w:spacing w:after="80" w:before="80"/>
        <w:jc w:val="both"/>
      </w:pPr>
      <w:r>
        <w:rPr>
          <w:sz w:val="22"/>
          <w:szCs w:val="22"/>
        </w:rPr>
        <w:t xml:space="preserve">Investments in the securities market are subject to market risks. Read all the related documents carefully before investing. Past performance is not a guarantee of future returns. Backtested results are hypothetical and do not reflect actual trading — they can and do differ from real-world outcomes due to slippage, liquidity, execution delay, commissions, taxes, and unforeseen market conditions.</w:t>
      </w:r>
    </w:p>
    <w:p>
      <w:pPr>
        <w:spacing w:after="80" w:before="80"/>
        <w:jc w:val="both"/>
      </w:pPr>
      <w:r>
        <w:rPr>
          <w:sz w:val="22"/>
          <w:szCs w:val="22"/>
        </w:rPr>
        <w:t xml:space="preserve">The strategies, indicators, and frameworks discussed in this document are not buy/sell/hold recommendations on any specific security. Every individual's financial situation, risk tolerance, time horizon, and tax position is different. Before making any investment or trading decision, consult a SEBI-registered Investment Adviser or a qualified financial professional.</w:t>
      </w:r>
    </w:p>
    <w:p>
      <w:pPr>
        <w:spacing w:after="80" w:before="80"/>
        <w:jc w:val="both"/>
      </w:pPr>
      <w:r>
        <w:rPr>
          <w:sz w:val="22"/>
          <w:szCs w:val="22"/>
        </w:rPr>
        <w:t xml:space="preserve">Specific reminders in light of SEBI's December 2025 guidance on investor-education content: (1) this document uses only historical/past data, not live market data; (2) no specific stock tickers are recommended for purchase; (3) the inclusion of names like RELIANCE, HDFCBANK, or TATAMOTORS is purely illustrative of how the framework might be applied, and is not an endorsement.</w:t>
      </w:r>
    </w:p>
    <w:p>
      <w:pPr>
        <w:spacing w:after="80" w:before="80"/>
        <w:jc w:val="both"/>
      </w:pPr>
      <w:r>
        <w:rPr>
          <w:sz w:val="22"/>
          <w:szCs w:val="22"/>
        </w:rPr>
        <w:t xml:space="preserve">Trading in equities, derivatives, or any securities carries significant risk of capital loss. Do not trade with money you cannot afford to lose. The author(s) disclaim any and all liability for any losses, direct or consequential, arising from the use of this material.</w:t>
      </w:r>
    </w:p>
    <w:p>
      <w:pPr>
        <w:spacing w:after="200" w:before="200"/>
        <w:jc w:val="center"/>
      </w:pPr>
      <w:r>
        <w:rPr>
          <w:b/>
          <w:bCs/>
          <w:i/>
          <w:iCs/>
          <w:sz w:val="22"/>
          <w:szCs w:val="22"/>
        </w:rPr>
        <w:t xml:space="preserve">Investment in securities market are subject to market risks. Read all the related documents carefully before investing.</w:t>
      </w:r>
    </w:p>
    <w:p>
      <w:r>
        <w:br w:type="page"/>
      </w:r>
    </w:p>
    <w:p>
      <w:pPr>
        <w:pStyle w:val="Heading1"/>
        <w:spacing w:after="180" w:before="360"/>
      </w:pPr>
      <w:r>
        <w:rPr>
          <w:b/>
          <w:bCs/>
          <w:color w:val="1F3864"/>
          <w:sz w:val="32"/>
          <w:szCs w:val="32"/>
        </w:rPr>
        <w:t xml:space="preserve">Appendix A — Short Note on Intraday</w:t>
      </w:r>
    </w:p>
    <w:p>
      <w:pPr>
        <w:spacing w:after="80" w:before="80"/>
        <w:jc w:val="both"/>
      </w:pPr>
      <w:r>
        <w:rPr>
          <w:sz w:val="22"/>
          <w:szCs w:val="22"/>
        </w:rPr>
        <w:t xml:space="preserve">Since the original brief asked about 'intraday strategies with maximum winning percentage' alongside swing, a brief honest answer: the publicly verifiable backtests on Indian intraday are dominated by options-selling strategies (short straddles, iron flies at 9:20 AM), not equity intraday. On the equity intraday side, two setups have reasonable evidence:</w:t>
      </w:r>
    </w:p>
    <w:p>
      <w:pPr>
        <w:pStyle w:val="ListParagraph"/>
        <w:numPr>
          <w:ilvl w:val="0"/>
          <w:numId w:val="2"/>
        </w:numPr>
        <w:spacing w:after="40" w:before="40"/>
      </w:pPr>
      <w:r>
        <w:rPr>
          <w:b/>
          <w:bCs/>
          <w:sz w:val="22"/>
          <w:szCs w:val="22"/>
        </w:rPr>
        <w:t xml:space="preserve">Opening Range Breakout (ORB): </w:t>
      </w:r>
      <w:r>
        <w:rPr>
          <w:sz w:val="22"/>
          <w:szCs w:val="22"/>
        </w:rPr>
        <w:t xml:space="preserve">Define the 9:15-9:30 range. Go long on break of range high if stock is above VWAP; short below range low if below VWAP. Target 1:1 to 1:1.5 RR. Expect 40-50% win rate in trending environments.</w:t>
      </w:r>
    </w:p>
    <w:p>
      <w:pPr>
        <w:pStyle w:val="ListParagraph"/>
        <w:numPr>
          <w:ilvl w:val="0"/>
          <w:numId w:val="2"/>
        </w:numPr>
        <w:spacing w:after="40" w:before="40"/>
      </w:pPr>
      <w:r>
        <w:rPr>
          <w:b/>
          <w:bCs/>
          <w:sz w:val="22"/>
          <w:szCs w:val="22"/>
        </w:rPr>
        <w:t xml:space="preserve">Opening 9:20 Short Straddle (options, not equity): </w:t>
      </w:r>
      <w:r>
        <w:rPr>
          <w:sz w:val="22"/>
          <w:szCs w:val="22"/>
        </w:rPr>
        <w:t xml:space="preserve">Widely backtested on platforms like AlgoTest and OptionBacktesting.in. Win rates of 60-70% on Bank Nifty/Nifty ATM straddles with proper stop-loss management. Requires margin capital and options-specific knowledge — out of scope for this swing framework.</w:t>
      </w:r>
    </w:p>
    <w:p>
      <w:pPr>
        <w:spacing w:after="80" w:before="80"/>
        <w:jc w:val="both"/>
      </w:pPr>
      <w:r>
        <w:rPr>
          <w:sz w:val="22"/>
          <w:szCs w:val="22"/>
        </w:rPr>
        <w:t xml:space="preserve">Blanket warning on intraday: SEBI data released over 2022-2024 has repeatedly shown that ~90% of individual intraday equity/F&amp;O traders lose money net of costs. This is not curve-fit, it is actual client-level data. Do not go into intraday lightly, and never without a tested system and proper risk controls.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2026-04-17T19:00:54.218Z</dcterms:created>
  <dcterms:modified xsi:type="dcterms:W3CDTF">2026-04-17T19:00:54.219Z</dcterms:modified>
</cp:coreProperties>
</file>

<file path=docProps/custom.xml><?xml version="1.0" encoding="utf-8"?>
<Properties xmlns="http://schemas.openxmlformats.org/officeDocument/2006/custom-properties" xmlns:vt="http://schemas.openxmlformats.org/officeDocument/2006/docPropsVTypes"/>
</file>